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algun Gothic" w:hAnsi="Malgun Gothic" w:eastAsia="Malgun Gothic"/>
          <w:b/>
          <w:color w:val="241D18"/>
          <w:sz w:val="44"/>
        </w:rPr>
        <w:t>CoT Note · 2주차 Engineering CT</w:t>
      </w:r>
    </w:p>
    <w:p>
      <w:pPr>
        <w:spacing w:after="240"/>
      </w:pPr>
      <w:r>
        <w:rPr>
          <w:rFonts w:ascii="Malgun Gothic" w:hAnsi="Malgun Gothic" w:eastAsia="Malgun Gothic"/>
          <w:b w:val="0"/>
        </w:rPr>
        <w:t>주제: 모래시계와 태엽 오르골의 공통 추상화, 그리고 Wound Routine Player 프로토타입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/>
            <w:r>
              <w:rPr>
                <w:rFonts w:ascii="Malgun Gothic" w:hAnsi="Malgun Gothic" w:eastAsia="Malgun Gothic"/>
                <w:b/>
                <w:color w:val="1F4D78"/>
              </w:rPr>
              <w:t>작성 목적</w:t>
            </w:r>
          </w:p>
        </w:tc>
        <w:tc>
          <w:tcPr>
            <w:tcW w:type="dxa" w:w="6660"/>
          </w:tcPr>
          <w:p>
            <w:r/>
            <w:r>
              <w:rPr>
                <w:rFonts w:ascii="Malgun Gothic" w:hAnsi="Malgun Gothic" w:eastAsia="Malgun Gothic"/>
                <w:b w:val="0"/>
              </w:rPr>
              <w:t>최종 산출물보다 학습 과정과 판단 근거를 제출 가능한 형태로 기록</w:t>
            </w:r>
          </w:p>
        </w:tc>
      </w:tr>
      <w:tr>
        <w:tc>
          <w:tcPr>
            <w:tcW w:type="dxa" w:w="2700"/>
            <w:shd w:fill="F2F4F7"/>
          </w:tcPr>
          <w:p>
            <w:r/>
            <w:r>
              <w:rPr>
                <w:rFonts w:ascii="Malgun Gothic" w:hAnsi="Malgun Gothic" w:eastAsia="Malgun Gothic"/>
                <w:b/>
                <w:color w:val="1F4D78"/>
              </w:rPr>
              <w:t>참고 자료</w:t>
            </w:r>
          </w:p>
        </w:tc>
        <w:tc>
          <w:tcPr>
            <w:tcW w:type="dxa" w:w="6660"/>
          </w:tcPr>
          <w:p>
            <w:r/>
            <w:r>
              <w:rPr>
                <w:rFonts w:ascii="Malgun Gothic" w:hAnsi="Malgun Gothic" w:eastAsia="Malgun Gothic"/>
                <w:b w:val="0"/>
              </w:rPr>
              <w:t>2기_Course_Profile.pdf, 1주차 산출물, Engineering CT Docs Guidelines.pdf, [Engineering] Reference Book.pdf</w:t>
            </w:r>
          </w:p>
        </w:tc>
      </w:tr>
      <w:tr>
        <w:tc>
          <w:tcPr>
            <w:tcW w:type="dxa" w:w="2700"/>
            <w:shd w:fill="F2F4F7"/>
          </w:tcPr>
          <w:p>
            <w:r/>
            <w:r>
              <w:rPr>
                <w:rFonts w:ascii="Malgun Gothic" w:hAnsi="Malgun Gothic" w:eastAsia="Malgun Gothic"/>
                <w:b/>
                <w:color w:val="1F4D78"/>
              </w:rPr>
              <w:t>최종 산출물</w:t>
            </w:r>
          </w:p>
        </w:tc>
        <w:tc>
          <w:tcPr>
            <w:tcW w:type="dxa" w:w="6660"/>
          </w:tcPr>
          <w:p>
            <w:r/>
            <w:r>
              <w:rPr>
                <w:rFonts w:ascii="Malgun Gothic" w:hAnsi="Malgun Gothic" w:eastAsia="Malgun Gothic"/>
                <w:b w:val="0"/>
              </w:rPr>
              <w:t>2주차/과제_산출물.md, 2주차/prototype, 2주차/스크린샷</w:t>
            </w:r>
          </w:p>
        </w:tc>
      </w:tr>
      <w:tr>
        <w:tc>
          <w:tcPr>
            <w:tcW w:type="dxa" w:w="2700"/>
            <w:shd w:fill="F2F4F7"/>
          </w:tcPr>
          <w:p>
            <w:r/>
            <w:r>
              <w:rPr>
                <w:rFonts w:ascii="Malgun Gothic" w:hAnsi="Malgun Gothic" w:eastAsia="Malgun Gothic"/>
                <w:b/>
                <w:color w:val="1F4D78"/>
              </w:rPr>
              <w:t>주의</w:t>
            </w:r>
          </w:p>
        </w:tc>
        <w:tc>
          <w:tcPr>
            <w:tcW w:type="dxa" w:w="6660"/>
          </w:tcPr>
          <w:p>
            <w:r/>
            <w:r>
              <w:rPr>
                <w:rFonts w:ascii="Malgun Gothic" w:hAnsi="Malgun Gothic" w:eastAsia="Malgun Gothic"/>
                <w:b w:val="0"/>
              </w:rPr>
              <w:t>이 문서는 내부 추론 원문이 아니라 과제 진행 과정 요약과 결정 기록이다.</w:t>
            </w:r>
          </w:p>
        </w:tc>
      </w:tr>
    </w:tbl>
    <w:p>
      <w:pPr>
        <w:pStyle w:val="Heading1"/>
      </w:pPr>
      <w:r>
        <w:t>1. 출발점과 과제 해석</w:t>
      </w:r>
    </w:p>
    <w:p>
      <w:r>
        <w:rPr>
          <w:rFonts w:ascii="Malgun Gothic" w:hAnsi="Malgun Gothic" w:eastAsia="Malgun Gothic"/>
          <w:b w:val="0"/>
        </w:rPr>
        <w:t>이번 과제는 1주차 모래시계 분석을 유지하면서 오르골을 추가하고, 두 사물의 공통 구조를 찾아 새로운 디지털 인터페이스로 옮기는 것이 핵심이었다. 따라서 프로토타입은 모래시계나 오르골을 직접 재현하지 않고, 두 사물에서 공통으로 발견되는 작동 원리를 가져와야 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분해는 사물별로 따로 작성한다.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패턴 인식에서는 두 사물의 공통점과 차이점을 비교 매트릭스로 정리한다.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추상화는 특정 사물 명칭에서 벗어나 디지털 UI에서 재사용 가능한 변수, 상태, 트리거로 바꾼다.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플로우차트와 프로토타입은 추상화 모델에서 파생된 새 아이디어를 대상으로 한다.</w:t>
      </w:r>
    </w:p>
    <w:p>
      <w:pPr>
        <w:pStyle w:val="Heading1"/>
      </w:pPr>
      <w:r>
        <w:t>2. 자료 확인 기록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Course Profile에서 엔지니어링 수업의 목적이 “현실의 사물을 입력과 출력 구조로 읽고, 작동하는 프로토타입으로 구현하는 것”임을 확인했다.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CT Docs Guidelines에서 분해는 숫자 또는 참/거짓 수준까지 내려가야 하고, 플로우차트는 If/Else 상태 변화로 정리해야 함을 확인했다.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1주차 산출물에서는 모래시계를 “충전된 유한 자원이 시간에 따라 소모되고, 잔량이 진행도로 보이는 시스템”으로 이미 정리해 둔 점을 재사용했다.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Reference Book에서는 추상화, 상수/변수, 트리거, 종료 조건, 반복 루프 개념을 점검 기준으로 삼았다.</w:t>
      </w:r>
    </w:p>
    <w:p>
      <w:pPr>
        <w:pStyle w:val="Heading1"/>
      </w:pPr>
      <w:r>
        <w:t>3. 사물별 분해 과정 요약</w:t>
      </w:r>
    </w:p>
    <w:p>
      <w:pPr>
        <w:pStyle w:val="Heading2"/>
      </w:pPr>
      <w:r>
        <w:t>3-1. 모래시계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고수준 목적은 “고정량의 모래가 중력으로 이동하는 시간을 시각적으로 측정”하는 장치로 잡았다.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독립 상태변수는 상부 모래량 topSand 하나로 정리했다. bottomSand, remaining, progress, isDone은 topSand에서 파생된다.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주요 트리거는 flip과 tick이다. flip은 외부 입력이고 tick은 내부 반복이다.</w:t>
      </w:r>
    </w:p>
    <w:p>
      <w:pPr>
        <w:pStyle w:val="Heading2"/>
      </w:pPr>
      <w:r>
        <w:t>3-2. 태엽 오르골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고수준 목적은 “태엽 장력을 조절된 회전 운동으로 바꾸고, 핀 실린더와 금속 빗을 통해 멜로디를 자동 재생”하는 장치로 잡았다.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독립 상태변수는 springTension으로 정리했다. cylinderAngle, melodyPosition, noteOn, volume은 장력과 시간 흐름에서 파생된다.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주요 트리거는 wind, release, tick, auto stop이다. wind와 release는 외부 입력이고 tick과 auto stop은 내부 조건이다.</w:t>
      </w:r>
    </w:p>
    <w:p>
      <w:pPr>
        <w:pStyle w:val="Heading1"/>
      </w:pPr>
      <w:r>
        <w:t>4. 패턴 인식에서 얻은 판단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두 사물 모두 외부 입력으로 유한 자원을 준비한다. 모래시계는 상부 모래량, 오르골은 태엽 장력이다.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두 사물 모두 조절 장치를 거쳐 자원이 시간에 따라 감소한다. 모래시계는 좁은 목, 오르골은 기어와 조속기 역할이 중요하다.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사용자는 내부 자원량을 직접 읽는 것이 아니라 출력의 변화를 통해 상태를 이해한다. 모래시계는 시각 출력, 오르골은 청각 출력이 중심이다.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종료는 사용자가 직접 결정하기보다 자원 소진 조건에 의해 자동 발생한다.</w:t>
      </w:r>
    </w:p>
    <w:p>
      <w:r>
        <w:rPr>
          <w:rFonts w:ascii="Malgun Gothic" w:hAnsi="Malgun Gothic" w:eastAsia="Malgun Gothic"/>
          <w:b/>
        </w:rPr>
        <w:t xml:space="preserve">핵심 문장: </w:t>
      </w:r>
      <w:r>
        <w:rPr>
          <w:rFonts w:ascii="Malgun Gothic" w:hAnsi="Malgun Gothic" w:eastAsia="Malgun Gothic"/>
          <w:b w:val="0"/>
        </w:rPr>
        <w:t>물리적 입력으로 유한 자원을 충전하면, 내부 조절 장치가 그 자원을 일정한 속도로 방출하고, 방출 과정이 감각적 출력으로 변환되며, 자원이 소진되면 자동 종료된다.</w:t>
      </w:r>
    </w:p>
    <w:p>
      <w:pPr>
        <w:pStyle w:val="Heading1"/>
      </w:pPr>
      <w:r>
        <w:t>5. 추상화 조정 기록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처음에는 “시간 측정 장치”로 좁게 잡을 수 있었지만, 오르골은 시간을 측정하기보다 멜로디를 재생한다. 그래서 목적을 “측정”이 아니라 “충전된 자원의 방출과 출력 패턴”으로 조정했다.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너무 넓게 잡으면 휴대폰 배터리, 달력, 줄자까지 들어올 수 있으므로 “충전 가능한 유한 자원”, “조절된 시간 방출”, “감각적 출력 패턴”이라는 세 조건을 스코프 기준으로 세웠다.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디지털 프로토타입에는 원물에는 없는 PAUSED 상태를 추가했다. 이는 실제 사물 재현이 아니라 인터페이스 설계이기 때문에 허용되는 확장으로 보았다.</w:t>
      </w:r>
    </w:p>
    <w:p>
      <w:pPr>
        <w:pStyle w:val="Heading1"/>
      </w:pPr>
      <w:r>
        <w:t>6. 프로토타입 아이디어 결정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직접 구현 후보였던 “디지털 모래시계”와 “디지털 오르골”은 과제 조건에 맞지 않아 제외했다.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최종 아이디어는 Wound Routine Player로 정했다. 사용자가 태엽을 감듯 루틴 자원을 충전하고, 방출하면 충전량만큼 루틴 비트가 진행되는 인터페이스다.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이 아이디어는 모래시계의 잔량/진행도와 오르골의 비트/패턴 출력을 함께 반영한다.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React 앱에서는 상태 전이를 stateMachine.ts로 분리하여 WIND, RELEASE, TICK, PAUSE, RESUME, RESET을 명확하게 검증할 수 있게 했다.</w:t>
      </w:r>
    </w:p>
    <w:p>
      <w:pPr>
        <w:pStyle w:val="Heading1"/>
      </w:pPr>
      <w:r>
        <w:t>7. 구현 및 검증 기록</w:t>
      </w:r>
    </w:p>
    <w:p>
      <w:pPr>
        <w:pStyle w:val="ListNumber"/>
        <w:spacing w:after="80" w:line="280" w:lineRule="auto"/>
      </w:pPr>
      <w:r>
        <w:rPr>
          <w:rFonts w:ascii="Malgun Gothic" w:hAnsi="Malgun Gothic" w:eastAsia="Malgun Gothic"/>
          <w:b w:val="0"/>
        </w:rPr>
        <w:t>상태 머신 테스트를 먼저 작성하고, 구현 전 실패를 확인했다.</w:t>
      </w:r>
    </w:p>
    <w:p>
      <w:pPr>
        <w:pStyle w:val="ListNumber"/>
        <w:spacing w:after="80" w:line="280" w:lineRule="auto"/>
      </w:pPr>
      <w:r>
        <w:rPr>
          <w:rFonts w:ascii="Malgun Gothic" w:hAnsi="Malgun Gothic" w:eastAsia="Malgun Gothic"/>
          <w:b w:val="0"/>
        </w:rPr>
        <w:t>transition 함수와 selectRoutineView 함수를 구현해 상태 전이 테스트 7개를 통과시켰다.</w:t>
      </w:r>
    </w:p>
    <w:p>
      <w:pPr>
        <w:pStyle w:val="ListNumber"/>
        <w:spacing w:after="80" w:line="280" w:lineRule="auto"/>
      </w:pPr>
      <w:r>
        <w:rPr>
          <w:rFonts w:ascii="Malgun Gothic" w:hAnsi="Malgun Gothic" w:eastAsia="Malgun Gothic"/>
          <w:b w:val="0"/>
        </w:rPr>
        <w:t>UI 테스트를 추가해 감기, 방출, 일시정지, 재개, 초기화 버튼 흐름을 검증했다.</w:t>
      </w:r>
    </w:p>
    <w:p>
      <w:pPr>
        <w:pStyle w:val="ListNumber"/>
        <w:spacing w:after="80" w:line="280" w:lineRule="auto"/>
      </w:pPr>
      <w:r>
        <w:rPr>
          <w:rFonts w:ascii="Malgun Gothic" w:hAnsi="Malgun Gothic" w:eastAsia="Malgun Gothic"/>
          <w:b w:val="0"/>
        </w:rPr>
        <w:t>Vite production build를 실행해 TypeScript 컴파일과 번들 생성을 확인했다.</w:t>
      </w:r>
    </w:p>
    <w:p>
      <w:pPr>
        <w:pStyle w:val="ListNumber"/>
        <w:spacing w:after="80" w:line="280" w:lineRule="auto"/>
      </w:pPr>
      <w:r>
        <w:rPr>
          <w:rFonts w:ascii="Malgun Gothic" w:hAnsi="Malgun Gothic" w:eastAsia="Malgun Gothic"/>
          <w:b w:val="0"/>
        </w:rPr>
        <w:t>Playwright로 로컬 프로토타입과 Vercel 배포 URL의 로딩 상태를 확인했다.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600"/>
        <w:gridCol w:w="2100"/>
        <w:gridCol w:w="4660"/>
      </w:tblGrid>
      <w:tr>
        <w:tc>
          <w:tcPr>
            <w:tcW w:type="dxa" w:w="2600"/>
            <w:shd w:fill="F2F4F7"/>
          </w:tcPr>
          <w:p>
            <w:r/>
            <w:r>
              <w:rPr>
                <w:rFonts w:ascii="Malgun Gothic" w:hAnsi="Malgun Gothic" w:eastAsia="Malgun Gothic"/>
                <w:b/>
                <w:color w:val="1F4D78"/>
              </w:rPr>
              <w:t>검증 항목</w:t>
            </w:r>
          </w:p>
        </w:tc>
        <w:tc>
          <w:tcPr>
            <w:tcW w:type="dxa" w:w="2100"/>
            <w:shd w:fill="F2F4F7"/>
          </w:tcPr>
          <w:p>
            <w:r/>
            <w:r>
              <w:rPr>
                <w:rFonts w:ascii="Malgun Gothic" w:hAnsi="Malgun Gothic" w:eastAsia="Malgun Gothic"/>
                <w:b/>
                <w:color w:val="1F4D78"/>
              </w:rPr>
              <w:t>결과</w:t>
            </w:r>
          </w:p>
        </w:tc>
        <w:tc>
          <w:tcPr>
            <w:tcW w:type="dxa" w:w="4660"/>
            <w:shd w:fill="F2F4F7"/>
          </w:tcPr>
          <w:p>
            <w:r/>
            <w:r>
              <w:rPr>
                <w:rFonts w:ascii="Malgun Gothic" w:hAnsi="Malgun Gothic" w:eastAsia="Malgun Gothic"/>
                <w:b/>
                <w:color w:val="1F4D78"/>
              </w:rPr>
              <w:t>근거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Malgun Gothic" w:hAnsi="Malgun Gothic" w:eastAsia="Malgun Gothic"/>
                <w:b w:val="0"/>
              </w:rPr>
              <w:t>상태 머신 테스트</w:t>
            </w:r>
          </w:p>
        </w:tc>
        <w:tc>
          <w:tcPr>
            <w:tcW w:type="dxa" w:w="2100"/>
          </w:tcPr>
          <w:p>
            <w:r/>
            <w:r>
              <w:rPr>
                <w:rFonts w:ascii="Malgun Gothic" w:hAnsi="Malgun Gothic" w:eastAsia="Malgun Gothic"/>
                <w:b/>
              </w:rPr>
              <w:t>통과</w:t>
            </w:r>
          </w:p>
        </w:tc>
        <w:tc>
          <w:tcPr>
            <w:tcW w:type="dxa" w:w="4660"/>
          </w:tcPr>
          <w:p>
            <w:r/>
            <w:r>
              <w:rPr>
                <w:rFonts w:ascii="Malgun Gothic" w:hAnsi="Malgun Gothic" w:eastAsia="Malgun Gothic"/>
                <w:b w:val="0"/>
              </w:rPr>
              <w:t>2 files, 9 tests passed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Malgun Gothic" w:hAnsi="Malgun Gothic" w:eastAsia="Malgun Gothic"/>
                <w:b w:val="0"/>
              </w:rPr>
              <w:t>프로덕션 빌드</w:t>
            </w:r>
          </w:p>
        </w:tc>
        <w:tc>
          <w:tcPr>
            <w:tcW w:type="dxa" w:w="2100"/>
          </w:tcPr>
          <w:p>
            <w:r/>
            <w:r>
              <w:rPr>
                <w:rFonts w:ascii="Malgun Gothic" w:hAnsi="Malgun Gothic" w:eastAsia="Malgun Gothic"/>
                <w:b/>
              </w:rPr>
              <w:t>통과</w:t>
            </w:r>
          </w:p>
        </w:tc>
        <w:tc>
          <w:tcPr>
            <w:tcW w:type="dxa" w:w="4660"/>
          </w:tcPr>
          <w:p>
            <w:r/>
            <w:r>
              <w:rPr>
                <w:rFonts w:ascii="Malgun Gothic" w:hAnsi="Malgun Gothic" w:eastAsia="Malgun Gothic"/>
                <w:b w:val="0"/>
              </w:rPr>
              <w:t>tsc -b &amp;&amp; vite build 성공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Malgun Gothic" w:hAnsi="Malgun Gothic" w:eastAsia="Malgun Gothic"/>
                <w:b w:val="0"/>
              </w:rPr>
              <w:t>Vercel 배포</w:t>
            </w:r>
          </w:p>
        </w:tc>
        <w:tc>
          <w:tcPr>
            <w:tcW w:type="dxa" w:w="2100"/>
          </w:tcPr>
          <w:p>
            <w:r/>
            <w:r>
              <w:rPr>
                <w:rFonts w:ascii="Malgun Gothic" w:hAnsi="Malgun Gothic" w:eastAsia="Malgun Gothic"/>
                <w:b/>
              </w:rPr>
              <w:t>완료</w:t>
            </w:r>
          </w:p>
        </w:tc>
        <w:tc>
          <w:tcPr>
            <w:tcW w:type="dxa" w:w="4660"/>
          </w:tcPr>
          <w:p>
            <w:r/>
            <w:r>
              <w:rPr>
                <w:rFonts w:ascii="Malgun Gothic" w:hAnsi="Malgun Gothic" w:eastAsia="Malgun Gothic"/>
                <w:b w:val="0"/>
              </w:rPr>
              <w:t>https://prototype-delta-sandy.vercel.app, HTTP 200 확인</w:t>
            </w:r>
          </w:p>
        </w:tc>
      </w:tr>
    </w:tbl>
    <w:p>
      <w:pPr>
        <w:pStyle w:val="Heading1"/>
      </w:pPr>
      <w:r>
        <w:t>8. 배운 점과 다음 개선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분해 단계에서는 “보이는 출력”보다 “상태를 바꾸는 데이터”를 먼저 찾아야 추상화가 쉬워졌다.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패턴 인식은 단순 공통점 나열이 아니라, 두 사물의 차이를 설명할 수 있는 기준을 함께 세워야 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프로토타입은 원물의 형태를 복제하는 것보다, 상태 전이와 사용자의 조작 흐름이 추상화 모델과 일치하는지가 더 중요했다.</w:t>
      </w:r>
    </w:p>
    <w:p>
      <w:pPr>
        <w:pStyle w:val="ListBullet"/>
        <w:spacing w:after="80" w:line="280" w:lineRule="auto"/>
      </w:pPr>
      <w:r>
        <w:rPr>
          <w:rFonts w:ascii="Malgun Gothic" w:hAnsi="Malgun Gothic" w:eastAsia="Malgun Gothic"/>
          <w:b w:val="0"/>
        </w:rPr>
        <w:t>다음 개선으로는 실제 음향 피드백, 루틴 비트 편집, 제출용 시연 영상 녹화가 가능하다.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</w:rPr>
      <w:t>2주차 Engineering CT · CoT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