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sz w:val="37"/>
        </w:rPr>
        <w:t>One-Day Plan: Minimal but Decisive Empirical Ablations</w:t>
      </w:r>
    </w:p>
    <w:p>
      <w:pPr>
        <w:spacing w:after="200"/>
      </w:pPr>
      <w:r>
        <w:rPr>
          <w:i/>
          <w:color w:val="5F5F5F"/>
          <w:sz w:val="18"/>
        </w:rPr>
        <w:t>Goal: use one remaining day to distinguish the functional-critic mechanism from the strongest alternative explanations, rather than broaden the benchmark.</w:t>
      </w:r>
    </w:p>
    <w:tbl>
      <w:tblPr>
        <w:tblW w:type="auto" w:w="0"/>
        <w:tblLayout w:type="fixed"/>
        <w:tblLook w:firstColumn="1" w:firstRow="1" w:lastColumn="0" w:lastRow="0" w:noHBand="0" w:noVBand="1" w:val="04A0"/>
      </w:tblPr>
      <w:tblGrid>
        <w:gridCol w:w="1656"/>
        <w:gridCol w:w="8496"/>
      </w:tblGrid>
      <w:tr>
        <w:tc>
          <w:tcPr>
            <w:tcW w:type="dxa" w:w="5040"/>
            <w:shd w:fill="D9EAF7"/>
            <w:vAlign w:val="center"/>
            <w:tcMar>
              <w:top w:w="80" w:type="dxa"/>
              <w:bottom w:w="80" w:type="dxa"/>
              <w:left w:w="100" w:type="dxa"/>
              <w:right w:w="100" w:type="dxa"/>
            </w:tcMar>
          </w:tcPr>
          <w:p>
            <w:pPr>
              <w:jc w:val="center"/>
            </w:pPr>
            <w:r>
              <w:rPr>
                <w:b/>
                <w:color w:val="1F4E79"/>
                <w:sz w:val="18"/>
              </w:rPr>
              <w:t>Principle</w:t>
            </w:r>
          </w:p>
        </w:tc>
        <w:tc>
          <w:tcPr>
            <w:tcW w:type="dxa" w:w="5040"/>
            <w:shd w:fill="F4F8FB"/>
            <w:vAlign w:val="center"/>
            <w:tcMar>
              <w:top w:w="80" w:type="dxa"/>
              <w:bottom w:w="80" w:type="dxa"/>
              <w:left w:w="100" w:type="dxa"/>
              <w:right w:w="100" w:type="dxa"/>
            </w:tcMar>
          </w:tcPr>
          <w:p>
            <w:pPr>
              <w:spacing w:after="0"/>
            </w:pPr>
            <w:r>
              <w:rPr>
                <w:sz w:val="18"/>
              </w:rPr>
              <w:t>Do not spend the day on more tasks, more seeds everywhere, or a new exploration benchmark. Use the existing main runs as the reference and run a very small number of controls that change one mechanism at a time. The priority is causal discrimination, not coverage.</w:t>
            </w:r>
          </w:p>
        </w:tc>
      </w:tr>
    </w:tbl>
    <w:p>
      <w:pPr>
        <w:spacing w:after="0"/>
      </w:pPr>
    </w:p>
    <w:p>
      <w:pPr>
        <w:pStyle w:val="Heading1"/>
      </w:pPr>
      <w:r>
        <w:t>What the reviews say must be distinguished</w:t>
      </w:r>
    </w:p>
    <w:p>
      <w:pPr>
        <w:pStyle w:val="ListBullet"/>
        <w:spacing w:after="30"/>
      </w:pPr>
      <w:r>
        <w:t>Functional policy representation versus a simple actor-identity lookup inside the critic.</w:t>
      </w:r>
    </w:p>
    <w:p>
      <w:pPr>
        <w:pStyle w:val="ListBullet"/>
        <w:spacing w:after="30"/>
      </w:pPr>
      <w:r>
        <w:t>The direct functional-gradient pathway through the policy input versus an ordinary action-gradient update through a policy-conditioned critic.</w:t>
      </w:r>
    </w:p>
    <w:p>
      <w:pPr>
        <w:pStyle w:val="ListBullet"/>
        <w:spacing w:after="30"/>
      </w:pPr>
      <w:r>
        <w:t>Functional-critic gains versus the much larger amount of Bellman supervision consumed by each critic update.</w:t>
      </w:r>
    </w:p>
    <w:p>
      <w:pPr>
        <w:pStyle w:val="ListBullet"/>
        <w:spacing w:after="30"/>
      </w:pPr>
      <w:r>
        <w:t>Functional-critic exploration versus exploration that is already provided by the 10-actor ensemble.</w:t>
      </w:r>
    </w:p>
    <w:p>
      <w:r>
        <w:rPr>
          <w:b/>
        </w:rPr>
        <w:t xml:space="preserve">With only one day, the first three are the highest-value targets. </w:t>
      </w:r>
      <w:r>
        <w:t>For exploration, it is safer to soften the empirical claim to “posterior-sampling-inspired” or conceptual unless a dedicated hard-exploration experiment is already trivial to run.</w:t>
      </w:r>
    </w:p>
    <w:p>
      <w:pPr>
        <w:pStyle w:val="Heading1"/>
      </w:pPr>
      <w:r>
        <w:t>Ablation A — Actor-ID control (highest priority)</w:t>
      </w:r>
    </w:p>
    <w:p>
      <w:r>
        <w:rPr>
          <w:b/>
        </w:rPr>
        <w:t xml:space="preserve">Change. </w:t>
      </w:r>
      <w:r>
        <w:t>Replace the learned policy encoder E_act(pi) with a learned embedding e_i indexed only by actor identity. Keep the 10 actors, 10 critics, replay buffer, cross-product actor-transition training, critic update ratio, batch construction, target computation, joint encoder, and actor-update schedule unchanged. Match the embedding dimension to the existing actor-encoding dimension so the downstream critic has essentially the same interface.</w:t>
      </w:r>
    </w:p>
    <w:p>
      <w:r>
        <w:rPr>
          <w:b/>
        </w:rPr>
        <w:t xml:space="preserve">Why this is decisive. </w:t>
      </w:r>
      <w:r>
        <w:t>This control preserves almost everything that could explain the result — actor ensemble, critic ensemble, cross-policy multitask training, randomized critic selection, and most network capacity — while removing the claim that the critic represents a policy as a function and can generalize through policy space. If performance is unchanged, the current actor encoder may be serving mainly as an actor-ID code. If performance drops materially, that is direct evidence that functional policy representation matters.</w:t>
      </w:r>
    </w:p>
    <w:p>
      <w:r>
        <w:rPr>
          <w:b/>
        </w:rPr>
        <w:t xml:space="preserve">Implementation cost. </w:t>
      </w:r>
      <w:r>
        <w:t>Low. This is primarily a replacement of the policy-encoder output by a trainable lookup vector. It should reuse the existing training loop almost unchanged.</w:t>
      </w:r>
    </w:p>
    <w:p>
      <w:pPr>
        <w:pStyle w:val="Heading1"/>
      </w:pPr>
      <w:r>
        <w:t>Ablation B — Detach the policy pathway in the actor update</w:t>
      </w:r>
    </w:p>
    <w:p>
      <w:r>
        <w:rPr>
          <w:b/>
        </w:rPr>
        <w:t xml:space="preserve">Change. </w:t>
      </w:r>
      <w:r>
        <w:t>Train the functional critic exactly as in the main method, but during the actor update stop gradient through the policy-input / actor-encoder pathway. The actor should still receive the ordinary gradient through its action input, but not the additional derivative term coming from the critic's explicit dependence on the policy representation.</w:t>
      </w:r>
    </w:p>
    <w:p>
      <w:r>
        <w:rPr>
          <w:b/>
        </w:rPr>
        <w:t xml:space="preserve">Why this is decisive. </w:t>
      </w:r>
      <w:r>
        <w:t>The paper's theory is built around direct differentiation of a policy-conditioned critic. This ablation asks whether that extra functional-gradient pathway actually contributes in the deep algorithm. If the detached version performs the same, the representation may still help critic learning, but the main theoretical actor-gradient mechanism is not what drives the empirical gain. If performance degrades, the experiment directly supports the functional-gradient story.</w:t>
      </w:r>
    </w:p>
    <w:p>
      <w:r>
        <w:rPr>
          <w:b/>
        </w:rPr>
        <w:t xml:space="preserve">Implementation cost. </w:t>
      </w:r>
      <w:r>
        <w:t>Very low. This should be a localized stop-gradient / detach change and therefore is an excellent one-day experiment.</w:t>
      </w:r>
    </w:p>
    <w:p>
      <w:pPr>
        <w:pStyle w:val="Heading1"/>
      </w:pPr>
      <w:r>
        <w:t>Ablation C — Supervision-matched strongest baseline</w:t>
      </w:r>
    </w:p>
    <w:p>
      <w:r>
        <w:rPr>
          <w:b/>
        </w:rPr>
        <w:t xml:space="preserve">Change. </w:t>
      </w:r>
      <w:r>
        <w:t>Run only the strongest of SAC+ or TD3+ under a critic-supervision budget matched to the functional critic. The key quantity to match is TD target / training-example throughput per environment step, not merely the nominal critic-to-actor update ratio. If the functional critic processes 10 actor-policy targets for each replay transition, a baseline batch of 256 is not supervision-matched. A practical implementation is a batch of approximately 2560 if memory permits, or gradient accumulation over ten independent 256-example minibatches before one optimizer step.</w:t>
      </w:r>
    </w:p>
    <w:p>
      <w:r>
        <w:rPr>
          <w:b/>
        </w:rPr>
        <w:t xml:space="preserve">Why this is decisive. </w:t>
      </w:r>
      <w:r>
        <w:t>This directly addresses the strongest compute confound in the practical review: the main comparison currently matches the number of critic gradient steps, but not the amount of Bellman supervision inside each step. If the supervision-matched baseline still remains clearly behind, the performance difference is much harder to explain as simply “10x more critic supervision.”</w:t>
      </w:r>
    </w:p>
    <w:p>
      <w:r>
        <w:rPr>
          <w:b/>
        </w:rPr>
        <w:t xml:space="preserve">Implementation cost. </w:t>
      </w:r>
      <w:r>
        <w:t>Moderate. To stay within one day, do this for only the strongest baseline and only on the same small diagnostic task set used for Ablations A and B.</w:t>
      </w:r>
    </w:p>
    <w:p>
      <w:pPr>
        <w:pStyle w:val="Heading1"/>
      </w:pPr>
      <w:r>
        <w:t>Task / seed budget for one day</w:t>
      </w:r>
    </w:p>
    <w:p>
      <w:r>
        <w:rPr>
          <w:b/>
        </w:rPr>
        <w:t xml:space="preserve">Recommended scope. </w:t>
      </w:r>
      <w:r>
        <w:t>Use two representative tasks: one Dog task and one Humanoid task. Prefer tasks on which the main method has a clear, reproducible margin over the strongest baseline, because those tasks have the greatest power to reveal whether the margin survives the control. Reuse exactly the main hyperparameters and evaluation protocol; do not retune the ablations.</w:t>
      </w:r>
    </w:p>
    <w:p>
      <w:pPr>
        <w:pStyle w:val="ListBullet"/>
        <w:spacing w:after="30"/>
      </w:pPr>
      <w:r>
        <w:t>If parallel compute is available: run 4 seeds for both tasks for Ablations A and B; run Ablation C on the same tasks with as many seeds as the remaining time allows.</w:t>
      </w:r>
    </w:p>
    <w:p>
      <w:pPr>
        <w:pStyle w:val="ListBullet"/>
        <w:spacing w:after="30"/>
      </w:pPr>
      <w:r>
        <w:t>If compute is tight: run 2 seeds first as a fast screen. Any control that nearly matches the main method is already diagnostically important; only expand to 4 seeds if the conclusion is ambiguous.</w:t>
      </w:r>
    </w:p>
    <w:p>
      <w:pPr>
        <w:pStyle w:val="ListBullet"/>
        <w:spacing w:after="30"/>
      </w:pPr>
      <w:r>
        <w:t>Do not rerun the full main method unless required for an apples-to-apples software change. Reuse the existing main curves as the reference whenever the code path is otherwise identical.</w:t>
      </w:r>
    </w:p>
    <w:p>
      <w:pPr>
        <w:pStyle w:val="Heading1"/>
      </w:pPr>
      <w:r>
        <w:t>Optional zero- or low-training-cost diagnostic</w:t>
      </w:r>
    </w:p>
    <w:p>
      <w:r>
        <w:rPr>
          <w:b/>
        </w:rPr>
        <w:t xml:space="preserve">Held-out policy generalization. </w:t>
      </w:r>
      <w:r>
        <w:t>If existing checkpoints make this easy, evaluate the trained functional critic on policies that were not members of the current 10-actor ensemble (for example, held-out historical checkpoints or interpolated policies) and compare prediction error with that on training-ensemble policies. This is a direct test of the claim that the critic generalizes across policies rather than memorizing actor identity. Treat it as optional; do not let it displace Ablations A or B.</w:t>
      </w:r>
    </w:p>
    <w:p>
      <w:pPr>
        <w:pStyle w:val="Heading1"/>
      </w:pPr>
      <w:r>
        <w:t>What not to spend the day on</w:t>
      </w:r>
    </w:p>
    <w:p>
      <w:pPr>
        <w:pStyle w:val="ListBullet"/>
        <w:spacing w:after="30"/>
      </w:pPr>
      <w:r>
        <w:t>Do not add a broad new benchmark suite.</w:t>
      </w:r>
    </w:p>
    <w:p>
      <w:pPr>
        <w:pStyle w:val="ListBullet"/>
        <w:spacing w:after="30"/>
      </w:pPr>
      <w:r>
        <w:t>Do not implement several older PCVF baselines unless one is already essentially ready to run.</w:t>
      </w:r>
    </w:p>
    <w:p>
      <w:pPr>
        <w:pStyle w:val="ListBullet"/>
        <w:spacing w:after="30"/>
      </w:pPr>
      <w:r>
        <w:t>Do not launch a new hard-exploration study from scratch. If there is no ready benchmark, narrow the empirical exploration claim instead.</w:t>
      </w:r>
    </w:p>
    <w:p>
      <w:pPr>
        <w:pStyle w:val="ListBullet"/>
        <w:spacing w:after="30"/>
      </w:pPr>
      <w:r>
        <w:t>Do not run a large ensemble-size sweep. It is informative but less decisive than the controls above.</w:t>
      </w:r>
    </w:p>
    <w:p>
      <w:pPr>
        <w:pStyle w:val="Heading1"/>
      </w:pPr>
      <w:r>
        <w:t>Decision rule after the runs</w:t>
      </w:r>
    </w:p>
    <w:p>
      <w:r>
        <w:rPr>
          <w:b/>
        </w:rPr>
        <w:t xml:space="preserve">Ablation A is the most important mechanism test. </w:t>
      </w:r>
      <w:r>
        <w:t>If actor-ID conditioning matches the full method, the paper should stop attributing the main empirical gain to functional generalization across policy space. If it loses clearly, that is strong evidence for the representation. Ablation B then determines whether the direct functional-gradient pathway matters beyond representation. Ablation C determines whether the remaining gain can be explained by extra critic supervision. Together, these three controls give a much more defensible mechanism story than adding many more benchmark curves.</w:t>
      </w:r>
    </w:p>
    <w:p>
      <w:r>
        <w:rPr>
          <w:b/>
        </w:rPr>
        <w:t xml:space="preserve">If time permits only two experiments: run A and B. </w:t>
      </w:r>
      <w:r>
        <w:t>They are the cheapest and most directly tied to the paper's distinctive claims. If time permits a third, add C.</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5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