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book written for the course STAT 4500: Machine Learning offered at Auburn University at Montgomery.</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convariance.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r>
          <m:t>Y</m:t>
        </m:r>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0"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8"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w:t>
      </w:r>
      <w:r>
        <w:t xml:space="preserve"> </w:t>
      </w:r>
      <m:oMath>
        <m:r>
          <m:t>P</m:t>
        </m:r>
        <m:d>
          <m:dPr>
            <m:begChr m:val="("/>
            <m:endChr m:val=")"/>
            <m:sepChr m:val=""/>
            <m:grow/>
          </m:dPr>
          <m:e>
            <m:r>
              <m:t>Y</m:t>
            </m:r>
            <m:r>
              <m:rPr>
                <m:sty m:val="p"/>
              </m:rPr>
              <m:t>|</m:t>
            </m:r>
            <m:r>
              <m:t>X</m:t>
            </m:r>
          </m:e>
        </m:d>
      </m:oMath>
      <w:r>
        <w:t xml:space="preserve"> </w:t>
      </w:r>
      <w:r>
        <w:t xml:space="preserve">to make classification. ### Binary classification</w:t>
      </w:r>
      <w:r>
        <w:t xml:space="preserve"> </w:t>
      </w: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Start w:id="86" w:name="with-multiple-variables"/>
    <w:p>
      <w:pPr>
        <w:pStyle w:val="Heading3"/>
      </w:pPr>
      <w:r>
        <w:t xml:space="preserve">4.2.1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4" name="Picture"/>
                  <a:graphic>
                    <a:graphicData uri="http://schemas.openxmlformats.org/drawingml/2006/picture">
                      <pic:pic>
                        <pic:nvPicPr>
                          <pic:cNvPr descr="C:\Users\Yi\AppData\Local\Programs\Quarto\share\formats\docx\note.png" id="85" name="Picture"/>
                          <pic:cNvPicPr>
                            <a:picLocks noChangeArrowheads="1" noChangeAspect="1"/>
                          </pic:cNvPicPr>
                        </pic:nvPicPr>
                        <pic:blipFill>
                          <a:blip r:embed="rId8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6"/>
    <w:bookmarkStart w:id="87" w:name="X85dc4ab8014fb08ca7e68b15573f10fe972bc45"/>
    <w:p>
      <w:pPr>
        <w:pStyle w:val="Heading3"/>
      </w:pPr>
      <w:r>
        <w:t xml:space="preserve">4.2.2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oMath>
      </m:oMathPara>
    </w:p>
    <w:p>
      <w:pPr>
        <w:pStyle w:val="FirstParagraph"/>
      </w:pPr>
      <w:r>
        <w:t xml:space="preserve">for each class</w:t>
      </w:r>
      <w:r>
        <w:t xml:space="preserve"> </w:t>
      </w:r>
      <m:oMath>
        <m:r>
          <m:t>k</m:t>
        </m:r>
      </m:oMath>
      <w:r>
        <w:t xml:space="preserve">.</w:t>
      </w:r>
    </w:p>
    <w:bookmarkEnd w:id="87"/>
    <w:bookmarkEnd w:id="88"/>
    <w:bookmarkStart w:id="90" w:name="discriminant-classifier"/>
    <w:p>
      <w:pPr>
        <w:pStyle w:val="Heading2"/>
      </w:pPr>
      <w:r>
        <w:t xml:space="preserve">4.3 Discriminant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classficiation, so it’s know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 The score function</w:t>
      </w:r>
      <w:r>
        <w:t xml:space="preserve"> </w:t>
      </w:r>
      <w:r>
        <w:t xml:space="preserve">has a quadratic term</w:t>
      </w:r>
    </w:p>
    <w:p>
      <w:pPr>
        <w:pStyle w:val="Compac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22"/>
        </w:numPr>
        <w:pStyle w:val="Compact"/>
      </w:pPr>
      <w:r>
        <w:t xml:space="preserve">when each class chooses a different</w:t>
      </w:r>
      <w:r>
        <w:t xml:space="preserve"> </w:t>
      </w:r>
      <m:oMath>
        <m:sSub>
          <m:e>
            <m:r>
              <m:t>Σ</m:t>
            </m:r>
          </m:e>
          <m:sub>
            <m:r>
              <m:t>k</m:t>
            </m:r>
          </m:sub>
        </m:sSub>
      </m:oMath>
      <w:r>
        <w:t xml:space="preserve">, then it’s QDA.</w:t>
      </w:r>
    </w:p>
    <w:p>
      <w:pPr>
        <w:numPr>
          <w:ilvl w:val="0"/>
          <w:numId w:val="1022"/>
        </w:numPr>
        <w:pStyle w:val="Compact"/>
      </w:pPr>
      <w:r>
        <w:t xml:space="preserve">when the features are modeled independently, i.e.,</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w:t>
      </w:r>
    </w:p>
    <w:p>
      <w:pPr>
        <w:numPr>
          <w:ilvl w:val="1"/>
          <w:numId w:val="1023"/>
        </w:numPr>
        <w:pStyle w:val="Compact"/>
      </w:pPr>
      <w:r>
        <w:t xml:space="preserve">Can applied to</w:t>
      </w:r>
      <w:r>
        <w:t xml:space="preserve"> </w:t>
      </w:r>
      <w:r>
        <w:rPr>
          <w:iCs/>
          <w:i/>
        </w:rPr>
        <w:t xml:space="preserve">mixed</w:t>
      </w:r>
      <w:r>
        <w:t xml:space="preserve"> </w:t>
      </w:r>
      <w:r>
        <w:t xml:space="preserve">feature vectors (qualitative and</w:t>
      </w:r>
      <w:r>
        <w:t xml:space="preserve"> </w:t>
      </w:r>
      <w:r>
        <w:t xml:space="preserve">quantitative)</w:t>
      </w:r>
    </w:p>
    <w:p>
      <w:pPr>
        <w:numPr>
          <w:ilvl w:val="1"/>
          <w:numId w:val="1023"/>
        </w:numPr>
        <w:pStyle w:val="Compact"/>
      </w:pPr>
      <w:r>
        <w:t xml:space="preserve">Despite strong assumptions, performs well.</w:t>
      </w:r>
    </w:p>
    <w:p>
      <w:pPr>
        <w:numPr>
          <w:ilvl w:val="1"/>
          <w:numId w:val="1023"/>
        </w:numPr>
        <w:pStyle w:val="Compact"/>
      </w:pPr>
      <w:r>
        <w:t xml:space="preserve">Useful when</w:t>
      </w:r>
      <w:r>
        <w:t xml:space="preserve"> </w:t>
      </w:r>
      <m:oMath>
        <m:r>
          <m:t>P</m:t>
        </m:r>
      </m:oMath>
      <w:r>
        <w:t xml:space="preserve"> </w:t>
      </w:r>
      <w:r>
        <w:t xml:space="preserve">is very large.</w:t>
      </w:r>
    </w:p>
    <w:bookmarkStart w:id="89" w:name="why-discriminant-analysis"/>
    <w:p>
      <w:pPr>
        <w:pStyle w:val="Heading3"/>
      </w:pPr>
      <w:r>
        <w:t xml:space="preserve">4.3.1 why discriminant analysis</w:t>
      </w:r>
    </w:p>
    <w:p>
      <w:pPr>
        <w:numPr>
          <w:ilvl w:val="0"/>
          <w:numId w:val="1024"/>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4"/>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4"/>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dimentinal plane.</w:t>
      </w:r>
    </w:p>
    <w:p>
      <w:pPr>
        <w:numPr>
          <w:ilvl w:val="0"/>
          <w:numId w:val="1024"/>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practive, they are</w:t>
      </w:r>
      <w:r>
        <w:t xml:space="preserve"> </w:t>
      </w:r>
      <w:r>
        <w:t xml:space="preserve">similar.</w:t>
      </w:r>
    </w:p>
    <w:bookmarkEnd w:id="89"/>
    <w:bookmarkEnd w:id="90"/>
    <w:bookmarkStart w:id="91" w:name="assessment-of-a-classifier"/>
    <w:p>
      <w:pPr>
        <w:pStyle w:val="Heading2"/>
      </w:pPr>
      <w:r>
        <w:t xml:space="preserve">4.4 Assessment of a classifier</w:t>
      </w:r>
    </w:p>
    <w:p>
      <w:pPr>
        <w:numPr>
          <w:ilvl w:val="0"/>
          <w:numId w:val="1025"/>
        </w:numPr>
        <w:pStyle w:val="Compact"/>
      </w:pPr>
      <w:r>
        <w:t xml:space="preserve">Overall error rate: equals to</w:t>
      </w:r>
    </w:p>
    <w:p>
      <w:pPr>
        <w:pStyle w:val="Compac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25"/>
        </w:numPr>
        <w:pStyle w:val="Compact"/>
      </w:pPr>
      <w:r>
        <w:t xml:space="preserve">False positive rate (FPR): the fraction of negiative exampels (N)</w:t>
      </w:r>
      <w:r>
        <w:t xml:space="preserve"> </w:t>
      </w:r>
      <w:r>
        <w:t xml:space="preserve">that are classified as positive:</w:t>
      </w:r>
    </w:p>
    <w:p>
      <w:pPr>
        <w:pStyle w:val="Compact"/>
      </w:pPr>
      <m:oMathPara>
        <m:oMathParaPr>
          <m:jc m:val="center"/>
        </m:oMathParaPr>
        <m:oMath>
          <m:f>
            <m:fPr>
              <m:type m:val="bar"/>
            </m:fPr>
            <m:num>
              <m:r>
                <m:t>F</m:t>
              </m:r>
              <m:r>
                <m:t>P</m:t>
              </m:r>
            </m:num>
            <m:den>
              <m:r>
                <m:t>F</m:t>
              </m:r>
              <m:r>
                <m:t>P</m:t>
              </m:r>
              <m:r>
                <m:rPr>
                  <m:sty m:val="p"/>
                </m:rPr>
                <m:t>+</m:t>
              </m:r>
              <m:r>
                <m:t>T</m:t>
              </m:r>
              <m:r>
                <m:t>N</m:t>
              </m:r>
            </m:den>
          </m:f>
          <m:r>
            <m:rPr>
              <m:sty m:val="p"/>
            </m:rPr>
            <m:t>=</m:t>
          </m:r>
          <m:f>
            <m:fPr>
              <m:type m:val="bar"/>
            </m:fPr>
            <m:num>
              <m:r>
                <m:t>F</m:t>
              </m:r>
              <m:r>
                <m:t>P</m:t>
              </m:r>
            </m:num>
            <m:den>
              <m:r>
                <m:t>N</m:t>
              </m:r>
            </m:den>
          </m:f>
        </m:oMath>
      </m:oMathPara>
    </w:p>
    <w:p>
      <w:pPr>
        <w:numPr>
          <w:ilvl w:val="0"/>
          <w:numId w:val="1025"/>
        </w:numPr>
        <w:pStyle w:val="Compact"/>
      </w:pPr>
      <w:r>
        <w:t xml:space="preserve">False negative rate (FNR):</w:t>
      </w:r>
    </w:p>
    <w:p>
      <w:pPr>
        <w:pStyle w:val="Compac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0"/>
          <w:numId w:val="1025"/>
        </w:numPr>
        <w:pStyle w:val="Compact"/>
      </w:pPr>
      <w:r>
        <w:t xml:space="preserve">ROC (receiver operating characteristic curve): plot true positive</w:t>
      </w:r>
      <w:r>
        <w:t xml:space="preserve"> </w:t>
      </w:r>
      <w:r>
        <w:t xml:space="preserve">rate (TPR) ~ false postive rate (FPR) as a threshold changes from 0</w:t>
      </w:r>
      <w:r>
        <w:t xml:space="preserve"> </w:t>
      </w:r>
      <w:r>
        <w:t xml:space="preserve">to 1. The point on the ROC curve closest to the point (0,1)</w:t>
      </w:r>
      <w:r>
        <w:t xml:space="preserve"> </w:t>
      </w:r>
      <w:r>
        <w:t xml:space="preserve">corresponds to the best classifier.</w:t>
      </w:r>
    </w:p>
    <w:p>
      <w:pPr>
        <w:numPr>
          <w:ilvl w:val="0"/>
          <w:numId w:val="1025"/>
        </w:numPr>
        <w:pStyle w:val="Compact"/>
      </w:pPr>
      <w:r>
        <w:t xml:space="preserve">AUC (area under the ROC): a larger AUC indicates a better</w:t>
      </w:r>
      <w:r>
        <w:t xml:space="preserve"> </w:t>
      </w:r>
      <w:r>
        <w:t xml:space="preserve">classifier.</w:t>
      </w:r>
    </w:p>
    <w:bookmarkEnd w:id="91"/>
    <w:bookmarkStart w:id="99" w:name="code-gist-2"/>
    <w:p>
      <w:pPr>
        <w:pStyle w:val="Heading2"/>
      </w:pPr>
      <w:r>
        <w:t xml:space="preserve">4.5 Code Gist</w:t>
      </w:r>
    </w:p>
    <w:bookmarkStart w:id="92" w:name="python-2"/>
    <w:p>
      <w:pPr>
        <w:pStyle w:val="Heading3"/>
      </w:pPr>
      <w:r>
        <w:t xml:space="preserve">4.5.1 Python</w:t>
      </w:r>
    </w:p>
    <w:bookmarkEnd w:id="92"/>
    <w:bookmarkStart w:id="93" w:name="numpy-2"/>
    <w:p>
      <w:pPr>
        <w:pStyle w:val="Heading3"/>
      </w:pPr>
      <w:r>
        <w:t xml:space="preserve">4.5.2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93"/>
    <w:bookmarkStart w:id="94" w:name="pandas-2"/>
    <w:p>
      <w:pPr>
        <w:pStyle w:val="Heading3"/>
      </w:pPr>
      <w:r>
        <w:t xml:space="preserve">4.5.3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94"/>
    <w:bookmarkStart w:id="95" w:name="graphics-2"/>
    <w:p>
      <w:pPr>
        <w:pStyle w:val="Heading3"/>
      </w:pPr>
      <w:r>
        <w:t xml:space="preserve">4.5.4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95"/>
    <w:bookmarkStart w:id="96" w:name="islp-and-statsmodels"/>
    <w:p>
      <w:pPr>
        <w:pStyle w:val="Heading3"/>
      </w:pPr>
      <w:r>
        <w:t xml:space="preserve">4.5.5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96"/>
    <w:bookmarkStart w:id="97" w:name="sklearn"/>
    <w:p>
      <w:pPr>
        <w:pStyle w:val="Heading3"/>
      </w:pPr>
      <w:r>
        <w:t xml:space="preserve">4.5.6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97"/>
    <w:bookmarkStart w:id="98" w:name="useful-code-snippet"/>
    <w:p>
      <w:pPr>
        <w:pStyle w:val="Heading3"/>
      </w:pPr>
      <w:r>
        <w:t xml:space="preserve">4.5.7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98"/>
    <w:bookmarkEnd w:id="99"/>
    <w:bookmarkEnd w:id="100"/>
    <w:bookmarkStart w:id="101" w:name="summary"/>
    <w:p>
      <w:pPr>
        <w:pStyle w:val="Heading1"/>
      </w:pPr>
      <w:r>
        <w:t xml:space="preserve">5. Summary</w:t>
      </w:r>
    </w:p>
    <w:p>
      <w:pPr>
        <w:pStyle w:val="FirstParagraph"/>
      </w:pPr>
      <w:r>
        <w:t xml:space="preserve">In summary, this book has no content whatsoever.</w:t>
      </w:r>
    </w:p>
    <w:bookmarkEnd w:id="101"/>
    <w:bookmarkStart w:id="103" w:name="references"/>
    <w:p>
      <w:pPr>
        <w:pStyle w:val="Heading1"/>
      </w:pPr>
      <w:r>
        <w:t xml:space="preserve">References</w:t>
      </w:r>
    </w:p>
    <w:bookmarkStart w:id="102" w:name="refs"/>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2024-01-27T16:26:14Z</dcterms:created>
  <dcterms:modified xsi:type="dcterms:W3CDTF">2024-01-27T16:26:14Z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