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 NLM 索引体系，是一种长期人工维护的专业标注资源。该工作还报告，在温度缩放后没有哪个训练目标在校准上明显优于普通交叉熵，且公开的 RLCD 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pStyle w:val="Heading3"/>
      </w:pPr>
      <w:r>
        <w:rPr>
          <w:rFonts w:ascii="Times New Roman" w:hAnsi="Times New Roman" w:eastAsia="黑体"/>
          <w:b/>
          <w:sz w:val="28"/>
        </w:rPr>
        <w:t>3.1.1 任务范围与总体方案</w:t>
      </w:r>
    </w:p>
    <w:p>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2"/>
      </w:pPr>
      <w:r>
        <w:rPr>
          <w:rFonts w:ascii="Times New Roman" w:hAnsi="Times New Roman" w:eastAsia="黑体"/>
          <w:b/>
          <w:sz w:val="28"/>
        </w:rPr>
        <w:t>3.2 研究方案</w:t>
      </w:r>
    </w:p>
    <w:p>
      <w:r>
        <w:rPr>
          <w:rFonts w:ascii="Times New Roman" w:hAnsi="Times New Roman" w:eastAsia="宋体"/>
          <w:b/>
          <w:sz w:val="24"/>
        </w:rPr>
        <w:t>（一）拟创新点及其证据要求</w:t>
      </w:r>
    </w:p>
    <w:p>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具体分三步：第一步，把需求、证据与操作组织为可核验的教学任务，构造约束扰动并在扰动后重新核验答案，同时区分"观测支持型"与"探索建议型"两类示范；第二步，用任务检查器给出的可核验失误类型（总量、锁定项、单位、条件引用）作为学生薄弱度信号，结合约束组合覆盖度与重复惩罚，在固定预算内选择教学样本；第三步，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r>
        <w:rPr>
          <w:rFonts w:ascii="Times New Roman" w:hAnsi="Times New Roman" w:eastAsia="宋体"/>
          <w:b/>
          <w:sz w:val="24"/>
        </w:rPr>
        <w:t>（二）数据与可用资源</w:t>
      </w:r>
    </w:p>
    <w:p>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r>
        <w:rPr>
          <w:rFonts w:ascii="Times New Roman" w:hAnsi="Times New Roman" w:eastAsia="宋体"/>
          <w:b/>
          <w:sz w:val="24"/>
        </w:rPr>
        <w:t>（三）实验设计与公平比较</w:t>
      </w:r>
    </w:p>
    <w:p>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r>
        <w:rPr>
          <w:rFonts w:ascii="Times New Roman" w:hAnsi="Times New Roman" w:eastAsia="宋体"/>
          <w:b/>
          <w:sz w:val="24"/>
        </w:rPr>
        <w:t>（四）指标、接近标准与应用价值验证</w:t>
      </w:r>
    </w:p>
    <w:p>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r>
        <w:rPr>
          <w:rFonts w:ascii="Times New Roman" w:hAnsi="Times New Roman" w:eastAsia="宋体"/>
          <w:b/>
          <w:sz w:val="24"/>
        </w:rPr>
        <w:t>（五）技术路线与阶段衔接</w:t>
      </w:r>
    </w:p>
    <w:p>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r>
        <w:rPr>
          <w:rFonts w:ascii="Times New Roman" w:hAnsi="Times New Roman" w:eastAsia="宋体"/>
          <w:b/>
          <w:sz w:val="24"/>
        </w:rPr>
        <w:t>（六）资源与实施可行性</w:t>
      </w:r>
    </w:p>
    <w:p>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r>
        <w:rPr>
          <w:rFonts w:ascii="Times New Roman" w:hAnsi="Times New Roman" w:eastAsia="宋体"/>
          <w:b/>
          <w:sz w:val="24"/>
        </w:rPr>
        <w:t>（七）主要风险及处理边界</w:t>
      </w:r>
    </w:p>
    <w:p>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r>
        <w:rPr>
          <w:rFonts w:ascii="Times New Roman" w:hAnsi="Times New Roman" w:eastAsia="宋体"/>
          <w:b/>
          <w:sz w:val="24"/>
        </w:rPr>
        <w:t>（八）预期成果与完成标准</w:t>
      </w:r>
    </w:p>
    <w:p>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r>
        <w:rPr>
          <w:rFonts w:ascii="Times New Roman" w:hAnsi="Times New Roman" w:eastAsia="宋体"/>
          <w:b/>
          <w:sz w:val="24"/>
        </w:rPr>
        <w:t>（九）数据管理、授权与研究诚信</w:t>
      </w:r>
    </w:p>
    <w:p>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r>
        <w:rPr>
          <w:rFonts w:ascii="Times New Roman" w:hAnsi="Times New Roman" w:eastAsia="宋体"/>
          <w:b w:val="0"/>
          <w:sz w:val="24"/>
        </w:rPr>
        <w:t>时间表以正式启动后八个月为计划周期，不假设具体入学或答辩日期，实际节点由研究者填写调整。</w:t>
      </w:r>
    </w:p>
    <w:p>
      <w:r>
        <w:rPr>
          <w:rFonts w:ascii="Times New Roman" w:hAnsi="Times New Roman" w:eastAsia="宋体"/>
          <w:b w:val="0"/>
          <w:sz w:val="24"/>
        </w:rPr>
        <w:t>第 1 个月：完成研究资料、许可、来源关联与任务审计；固定首版合金范围、条件字段、教师和学生候选，完成小规模运行与预算估计。</w:t>
      </w:r>
    </w:p>
    <w:p>
      <w:r>
        <w:rPr>
          <w:rFonts w:ascii="Times New Roman" w:hAnsi="Times New Roman" w:eastAsia="宋体"/>
          <w:b w:val="0"/>
          <w:sz w:val="24"/>
        </w:rPr>
        <w:t>第 2 个月：构建任务本体、教师示范和准入规则；划分互斥数据集并检查派生样本泄漏，完成本地底座及常规蒸馏基线。</w:t>
      </w:r>
    </w:p>
    <w:p>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r>
        <w:rPr>
          <w:rFonts w:ascii="Times New Roman" w:hAnsi="Times New Roman" w:eastAsia="宋体"/>
          <w:b w:val="0"/>
          <w:sz w:val="24"/>
        </w:rPr>
        <w:t>第 5 个月：完成本地检索、条件过滤、分步生成和有限修正集成，做分组件消融，确认模型学习与数值工具收益的边界。</w:t>
      </w:r>
    </w:p>
    <w:p>
      <w:r>
        <w:rPr>
          <w:rFonts w:ascii="Times New Roman" w:hAnsi="Times New Roman" w:eastAsia="宋体"/>
          <w:b w:val="0"/>
          <w:sz w:val="24"/>
        </w:rPr>
        <w:t>第 6 个月：冻结正式配置，完成教师比较、来源组留出及约束组合泛化实验；资源和授权具备时组织有限用户任务试用。</w:t>
      </w:r>
    </w:p>
    <w:p>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firstLine="0" w:left="480"/>
      </w:pPr>
      <w:bookmarkStart w:id="1001" w:name="_Ref_ref001"/>
      <w:bookmarkEnd w:id="1001"/>
      <w:r>
        <w:rPr>
          <w:rFonts w:ascii="Times New Roman" w:hAnsi="Times New Roman" w:eastAsia="宋体"/>
          <w:sz w:val="21"/>
        </w:rPr>
        <w:t>[1] Jia S, Zhang C, Fung V. LLMatDesign: Autonomous materials discovery with large language models[EB/OL]. arXiv:2406.13163, 2024. DOI: 10.48550/arXiv.2406.13163.</w:t>
      </w:r>
    </w:p>
    <w:p>
      <w:pPr>
        <w:spacing w:line="312" w:lineRule="auto"/>
        <w:ind w:firstLine="0" w:left="480"/>
      </w:pPr>
      <w:bookmarkStart w:id="1002" w:name="_Ref_ref002"/>
      <w:bookmarkEnd w:id="1002"/>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line="312" w:lineRule="auto"/>
        <w:ind w:firstLine="0" w:left="480"/>
      </w:pPr>
      <w:bookmarkStart w:id="1003" w:name="_Ref_ref003"/>
      <w:bookmarkEnd w:id="1003"/>
      <w:r>
        <w:rPr>
          <w:rFonts w:ascii="Times New Roman" w:hAnsi="Times New Roman" w:eastAsia="宋体"/>
          <w:sz w:val="21"/>
        </w:rPr>
        <w:t>[3] Mishra V, Singh S, Ahlawat D, et al. Foundational large language models for materials research[EB/OL]. arXiv:2412.09560, 2024. DOI: 10.48550/arXiv.2412.09560.</w:t>
      </w:r>
    </w:p>
    <w:p>
      <w:pPr>
        <w:spacing w:line="312" w:lineRule="auto"/>
        <w:ind w:firstLine="0" w:left="480"/>
      </w:pPr>
      <w:bookmarkStart w:id="1004" w:name="_Ref_ref004"/>
      <w:bookmarkEnd w:id="1004"/>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line="312" w:lineRule="auto"/>
        <w:ind w:firstLine="0" w:left="480"/>
      </w:pPr>
      <w:bookmarkStart w:id="1005" w:name="_Ref_ref005"/>
      <w:bookmarkEnd w:id="1005"/>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line="312" w:lineRule="auto"/>
        <w:ind w:firstLine="0" w:left="480"/>
      </w:pPr>
      <w:bookmarkStart w:id="1006" w:name="_Ref_ref006"/>
      <w:bookmarkEnd w:id="1006"/>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line="312" w:lineRule="auto"/>
        <w:ind w:firstLine="0" w:left="480"/>
      </w:pPr>
      <w:bookmarkStart w:id="1007" w:name="_Ref_ref007"/>
      <w:bookmarkEnd w:id="1007"/>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line="312" w:lineRule="auto"/>
        <w:ind w:firstLine="0" w:left="480"/>
      </w:pPr>
      <w:bookmarkStart w:id="1008" w:name="_Ref_ref008"/>
      <w:bookmarkEnd w:id="1008"/>
      <w:r>
        <w:rPr>
          <w:rFonts w:ascii="Times New Roman" w:hAnsi="Times New Roman" w:eastAsia="宋体"/>
          <w:sz w:val="21"/>
        </w:rPr>
        <w:t>[8] Hinton G, Vinyals O, Dean J. Distilling the knowledge in a neural network[EB/OL]. arXiv:1503.02531, 2015. DOI: 10.48550/arXiv.1503.02531.</w:t>
      </w:r>
    </w:p>
    <w:p>
      <w:pPr>
        <w:spacing w:line="312" w:lineRule="auto"/>
        <w:ind w:firstLine="0" w:left="480"/>
      </w:pPr>
      <w:bookmarkStart w:id="1009" w:name="_Ref_ref009"/>
      <w:bookmarkEnd w:id="1009"/>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line="312" w:lineRule="auto"/>
        <w:ind w:firstLine="0" w:left="480"/>
      </w:pPr>
      <w:bookmarkStart w:id="1010" w:name="_Ref_ref010"/>
      <w:bookmarkEnd w:id="1010"/>
      <w:r>
        <w:rPr>
          <w:rFonts w:ascii="Times New Roman" w:hAnsi="Times New Roman" w:eastAsia="宋体"/>
          <w:sz w:val="21"/>
        </w:rPr>
        <w:t>[10] Mitra A, Del Corro L, Mahajan S, et al. Orca 2: Teaching small language models how to reason[EB/OL]. arXiv:2311.11045, 2023. DOI: 10.48550/arXiv.2311.11045.</w:t>
      </w:r>
    </w:p>
    <w:p>
      <w:pPr>
        <w:spacing w:line="312" w:lineRule="auto"/>
        <w:ind w:firstLine="0" w:left="480"/>
      </w:pPr>
      <w:bookmarkStart w:id="1011" w:name="_Ref_ref011"/>
      <w:bookmarkEnd w:id="1011"/>
      <w:r>
        <w:rPr>
          <w:rFonts w:ascii="Times New Roman" w:hAnsi="Times New Roman" w:eastAsia="宋体"/>
          <w:sz w:val="21"/>
        </w:rPr>
        <w:t>[11] Gu Y, Dong L, Wei F, Huang M. MiniLLM: On-policy distillation of large language models[EB/OL]. arXiv:2306.08543, 2023. DOI: 10.48550/arXiv.2306.08543.</w:t>
      </w:r>
    </w:p>
    <w:p>
      <w:pPr>
        <w:spacing w:line="312" w:lineRule="auto"/>
        <w:ind w:firstLine="0" w:left="480"/>
      </w:pPr>
      <w:bookmarkStart w:id="1012" w:name="_Ref_ref012"/>
      <w:bookmarkEnd w:id="1012"/>
      <w:r>
        <w:rPr>
          <w:rFonts w:ascii="Times New Roman" w:hAnsi="Times New Roman" w:eastAsia="宋体"/>
          <w:sz w:val="21"/>
        </w:rPr>
        <w:t>[12] Wang Y, Kordi Y, Mishra S, et al. Self-Instruct: Aligning language models with self-generated instructions[EB/OL]. arXiv:2212.10560, 2022. DOI: 10.48550/arXiv.2212.10560.</w:t>
      </w:r>
    </w:p>
    <w:p>
      <w:pPr>
        <w:spacing w:line="312" w:lineRule="auto"/>
        <w:ind w:firstLine="0" w:left="480"/>
      </w:pPr>
      <w:bookmarkStart w:id="1013" w:name="_Ref_ref013"/>
      <w:bookmarkEnd w:id="1013"/>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line="312" w:lineRule="auto"/>
        <w:ind w:firstLine="0" w:left="480"/>
      </w:pPr>
      <w:bookmarkStart w:id="1014" w:name="_Ref_ref014"/>
      <w:bookmarkEnd w:id="1014"/>
      <w:r>
        <w:rPr>
          <w:rFonts w:ascii="Times New Roman" w:hAnsi="Times New Roman" w:eastAsia="宋体"/>
          <w:sz w:val="21"/>
        </w:rPr>
        <w:t>[14] Xia M, Malladi S, Gururangan S, et al. LESS: Selecting influential data for targeted instruction tuning[EB/OL]. arXiv:2402.04333, 2024. DOI: 10.48550/arXiv.2402.04333.</w:t>
      </w:r>
    </w:p>
    <w:p>
      <w:pPr>
        <w:spacing w:line="312" w:lineRule="auto"/>
        <w:ind w:firstLine="0" w:left="480"/>
      </w:pPr>
      <w:bookmarkStart w:id="1015" w:name="_Ref_ref015"/>
      <w:bookmarkEnd w:id="1015"/>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firstLine="0" w:left="480"/>
      </w:pPr>
      <w:bookmarkStart w:id="1016" w:name="_Ref_ref016"/>
      <w:bookmarkEnd w:id="1016"/>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line="312" w:lineRule="auto"/>
        <w:ind w:firstLine="0" w:left="480"/>
      </w:pPr>
      <w:bookmarkStart w:id="1017" w:name="_Ref_ref017"/>
      <w:bookmarkEnd w:id="1017"/>
      <w:r>
        <w:rPr>
          <w:rFonts w:ascii="Times New Roman" w:hAnsi="Times New Roman" w:eastAsia="宋体"/>
          <w:sz w:val="21"/>
        </w:rPr>
        <w:t>[17] Lewis P, Perez E, Piktus A, et al. Retrieval-augmented generation for knowledge-intensive NLP tasks[EB/OL]. arXiv:2005.11401, 2020. DOI: 10.48550/arXiv.2005.11401.</w:t>
      </w:r>
    </w:p>
    <w:p>
      <w:pPr>
        <w:spacing w:line="312" w:lineRule="auto"/>
        <w:ind w:firstLine="0" w:left="480"/>
      </w:pPr>
      <w:bookmarkStart w:id="1018" w:name="_Ref_ref018"/>
      <w:bookmarkEnd w:id="1018"/>
      <w:r>
        <w:rPr>
          <w:rFonts w:ascii="Times New Roman" w:hAnsi="Times New Roman" w:eastAsia="宋体"/>
          <w:sz w:val="21"/>
        </w:rPr>
        <w:t>[18] Zhang T, Patil S G, Jain N, et al. RAFT: Adapting language model to domain specific RAG[EB/OL]. arXiv:2403.10131, 2024. DOI: 10.48550/arXiv.2403.10131.</w:t>
      </w:r>
    </w:p>
    <w:p>
      <w:pPr>
        <w:spacing w:line="312" w:lineRule="auto"/>
        <w:ind w:firstLine="0" w:left="480"/>
      </w:pPr>
      <w:bookmarkStart w:id="1019" w:name="_Ref_ref019"/>
      <w:bookmarkEnd w:id="1019"/>
      <w:r>
        <w:rPr>
          <w:rFonts w:ascii="Times New Roman" w:hAnsi="Times New Roman" w:eastAsia="宋体"/>
          <w:sz w:val="21"/>
        </w:rPr>
        <w:t>[19] Hu E J, Shen Y, Wallis P, et al. LoRA: Low-rank adaptation of large language models[EB/OL]. arXiv:2106.09685, 2021. DOI: 10.48550/arXiv.2106.09685.</w:t>
      </w:r>
    </w:p>
    <w:p>
      <w:pPr>
        <w:spacing w:line="312" w:lineRule="auto"/>
        <w:ind w:firstLine="0" w:left="480"/>
      </w:pPr>
      <w:bookmarkStart w:id="1020" w:name="_Ref_ref020"/>
      <w:bookmarkEnd w:id="1020"/>
      <w:r>
        <w:rPr>
          <w:rFonts w:ascii="Times New Roman" w:hAnsi="Times New Roman" w:eastAsia="宋体"/>
          <w:sz w:val="21"/>
        </w:rPr>
        <w:t>[20] Dettmers T, Pagnoni A, Holtzman A, Zettlemoyer L. QLoRA: Efficient finetuning of quantized LLMs[EB/OL]. arXiv:2305.14314, 2023. DOI: 10.48550/arXiv.2305.14314.</w:t>
      </w:r>
    </w:p>
    <w:p>
      <w:pPr>
        <w:spacing w:line="312" w:lineRule="auto"/>
        <w:ind w:firstLine="0" w:left="480"/>
      </w:pPr>
      <w:bookmarkStart w:id="1021" w:name="_Ref_ref021"/>
      <w:bookmarkEnd w:id="1021"/>
      <w:r>
        <w:rPr>
          <w:rFonts w:ascii="Times New Roman" w:hAnsi="Times New Roman" w:eastAsia="宋体"/>
          <w:sz w:val="21"/>
        </w:rPr>
        <w:t>[21] Yang A, Li A, Yang B, et al. Qwen3 technical report[EB/OL]. arXiv:2505.09388, 2025. DOI: 10.48550/arXiv.2505.09388.</w:t>
      </w:r>
    </w:p>
    <w:p>
      <w:pPr>
        <w:spacing w:line="312" w:lineRule="auto"/>
        <w:ind w:firstLine="0" w:left="480"/>
      </w:pPr>
      <w:bookmarkStart w:id="1022" w:name="_Ref_ref022"/>
      <w:bookmarkEnd w:id="1022"/>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line="312" w:lineRule="auto"/>
        <w:ind w:firstLine="0" w:left="480"/>
      </w:pPr>
      <w:bookmarkStart w:id="1023" w:name="_Ref_ref023"/>
      <w:bookmarkEnd w:id="1023"/>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line="312" w:lineRule="auto"/>
        <w:ind w:firstLine="0" w:left="480"/>
      </w:pPr>
      <w:bookmarkStart w:id="1024" w:name="_Ref_ref024"/>
      <w:bookmarkEnd w:id="1024"/>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p>
      <w:pPr>
        <w:spacing w:line="312" w:lineRule="auto"/>
        <w:ind w:firstLine="0" w:left="480"/>
      </w:pPr>
      <w:bookmarkStart w:id="1025" w:name="_Ref_ref025"/>
      <w:bookmarkEnd w:id="1025"/>
      <w:r>
        <w:rPr>
          <w:rFonts w:ascii="Times New Roman" w:hAnsi="Times New Roman" w:eastAsia="宋体"/>
          <w:sz w:val="21"/>
        </w:rPr>
        <w:t>[25] Zhang X, Li J, Shao B, et al. Fine-tuning small language models for reliable VASP INCAR generation[EB/OL]. arXiv:2608.05387, 2026. DOI: 10.48550/arXiv.2608.05387.</w:t>
      </w:r>
    </w:p>
    <w:p>
      <w:pPr>
        <w:spacing w:line="312" w:lineRule="auto"/>
        <w:ind w:firstLine="0" w:left="480"/>
      </w:pPr>
      <w:bookmarkStart w:id="1026" w:name="_Ref_ref026"/>
      <w:bookmarkEnd w:id="1026"/>
      <w:r>
        <w:rPr>
          <w:rFonts w:ascii="Times New Roman" w:hAnsi="Times New Roman" w:eastAsia="宋体"/>
          <w:sz w:val="21"/>
        </w:rPr>
        <w:t>[26]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