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val="0"/>
          <w:sz w:val="24"/>
        </w:rPr>
        <w:t>本课题的意义分三层递进：现实中的重复劳动、其背后暴露的方法缺陷、以及修复该缺陷的普适性。三层不是并列关系，后一层由前一层推出。</w:t>
      </w:r>
    </w:p>
    <w:p>
      <w:pPr>
        <w:ind w:firstLine="480" w:firstLineChars="200"/>
        <w:spacing w:line="312" w:lineRule="auto"/>
      </w:pPr>
      <w:r>
        <w:rPr>
          <w:rFonts w:ascii="Times New Roman" w:hAnsi="Times New Roman" w:eastAsia="宋体"/>
          <w:b/>
          <w:sz w:val="24"/>
        </w:rPr>
        <w:t>第一层，现实层面：配方方案准备中存在可拆解的重复劳动。</w:t>
      </w:r>
      <w:r>
        <w:rPr>
          <w:rFonts w:ascii="Times New Roman" w:hAnsi="Times New Roman" w:eastAsia="宋体"/>
          <w:b w:val="0"/>
          <w:sz w:val="24"/>
        </w:rPr>
        <w:t xml:space="preserve"> 配方研究中的资料筛选、条件核对、成分改写与结果整理，都可以被拆解为边界明确的操作。AlloyLens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工作转化为本地辅助能力，交付带证据与约束检查结果的候选；但不把“缩短全部研发周期”或“提升真实合成成功率”作为未经验证的承诺，应用收益通过候选可用性、人工修订量与任务耗时检验，不以系统演示效果代替。</w:t>
      </w:r>
    </w:p>
    <w:p>
      <w:pPr>
        <w:ind w:firstLine="480" w:firstLineChars="200"/>
        <w:spacing w:line="312" w:lineRule="auto"/>
      </w:pPr>
      <w:r>
        <w:rPr>
          <w:rFonts w:ascii="Times New Roman" w:hAnsi="Times New Roman" w:eastAsia="宋体"/>
          <w:b/>
          <w:sz w:val="24"/>
        </w:rPr>
        <w:t>第二层，方法层面（本课题的核心论点）：现有教学数据选择所依赖的难度信号，在答案空间开放的任务上失效。</w:t>
      </w:r>
      <w:r>
        <w:rPr>
          <w:rFonts w:ascii="Times New Roman" w:hAnsi="Times New Roman" w:eastAsia="宋体"/>
          <w:b w:val="0"/>
          <w:sz w:val="24"/>
        </w:rPr>
        <w:t xml:space="preserve"> 当前的数据选择方法主要依赖两类信号：一类来自模型自身的行为，如困惑度、是否答对、思维链长度；另一类是任务无关的启发式，如多样性、复杂度或质量评分。DEITA、D3、LASER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成立的前提是任务有唯一答案。只有答案唯一时，“模型没答对”才等于“模型做得不好”。近期工作把这一前提推到极致：在可验证奖励的强化学习场景中，仅保留验证器判定为失败的样本即可大幅提升数据效率，并以验证器耦合的覆盖度目标组织样本集</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然而配方生成不具备这一前提：同一需求可以由多个合法配方满足，模型未复述教师答案，可能只是选择了另一条同样合格的路径，也可能确实违反了硬约束。此时把行为信号直接当作薄弱度，会把“合法但不同”误判为“做错”，使选样朝错误方向集中。</w:t>
      </w:r>
    </w:p>
    <w:p>
      <w:pPr>
        <w:ind w:firstLine="480" w:firstLineChars="200"/>
        <w:spacing w:line="312" w:lineRule="auto"/>
      </w:pPr>
      <w:r>
        <w:rPr>
          <w:rFonts w:ascii="Times New Roman" w:hAnsi="Times New Roman" w:eastAsia="宋体"/>
          <w:b/>
          <w:sz w:val="24"/>
        </w:rPr>
        <w:t>本课题提出的思路是：把“什么算错”的判定从模型内部搬到一个外部可执行的任务检查器上。</w:t>
      </w:r>
      <w:r>
        <w:rPr>
          <w:rFonts w:ascii="Times New Roman" w:hAnsi="Times New Roman" w:eastAsia="宋体"/>
          <w:b w:val="0"/>
          <w:sz w:val="24"/>
        </w:rPr>
        <w:t xml:space="preserve"> 用检查器对总量守恒、锁定项、比例单位与条件引用的判定结果定义薄弱度，而不是用模型自身的行为指标；同时用约束组合的覆盖程度而非文本主题控制样本组成。因此薄弱度信号的含义是明确的：它指向可指出、可复现的执行错误，而非模型输出与参考文本之间的表面差异。研究问题因此收敛为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第三层，更一般的意义：这一思路不限于合金。</w:t>
      </w:r>
      <w:r>
        <w:rPr>
          <w:rFonts w:ascii="Times New Roman" w:hAnsi="Times New Roman" w:eastAsia="宋体"/>
          <w:b w:val="0"/>
          <w:sz w:val="24"/>
        </w:rPr>
        <w:t xml:space="preserve"> 任何“约束刚性但答案开放”的专业生成任务都面临同一困难。配方、结构、工艺参数与实验方案，答案空间开放，可核验的约束却是硬的。模型行为类难度信号在这些任务上会遇到同样的失效。本课题以合金配方为载体，把“可核验性”从模型能力问题转化为数据工程问题。若该思路在本题场景下成立，其形式（外部检查器定义薄弱度 + 约束组合定义覆盖）可直接迁移到相近任务；若在本题场景下不成立，这一否证同样限定了该思路的适用边界。</w:t>
      </w:r>
    </w:p>
    <w:p>
      <w:pPr>
        <w:ind w:firstLine="480" w:firstLineChars="200"/>
        <w:spacing w:line="312" w:lineRule="auto"/>
      </w:pPr>
      <w:r>
        <w:rPr>
          <w:rFonts w:ascii="Times New Roman" w:hAnsi="Times New Roman" w:eastAsia="宋体"/>
          <w:b/>
          <w:sz w:val="24"/>
        </w:rPr>
        <w:t>配套的两项支撑性工作。</w:t>
      </w:r>
      <w:r>
        <w:rPr>
          <w:rFonts w:ascii="Times New Roman" w:hAnsi="Times New Roman" w:eastAsia="宋体"/>
          <w:b w:val="0"/>
          <w:sz w:val="24"/>
        </w:rPr>
        <w:t xml:space="preserve"> 部署层面，模型权重、检索索引与数值工具在使用阶段均可位于本地，内部配方不必为完成一次任务而发送至外部接口，模型版本与资料快照可冻结复用；但私有化不是自动实现的属性，需对模型调用、向量化与外部工具请求逐项检查，也不宣称本地运行必然比低价 API 更便宜。证据链层面，若训练数据强调来源与适用条件，而推理时只输入无条件的相似文本，模型仍会错误迁移性能结论；本课题将资料来源、比例单位与约束状态作为教学与推理共用的信息，该价值须经消融验证，不把使用 LoRA、RAG 或结构化输出本身计为创新。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开放权重模型的许可证可能随版本调整，实际采用时以该版本随附的许可文本为准；若届时条款不再允许本课题所需用途，则更换为许可合适的底座，并重新核对教师与学生两侧的授权条件。</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其实验数据托管在需要额外访问条件的平台上，本课题尝试获取时受到限制，尚未完成字段与许可核对；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