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30"/>
        </w:rPr>
        <w:t>论文题目： 面向高熵合金设计辅助的小模型智能体选择性蒸馏方法研究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智能体的行为由多步决策构成，而现有可获取的小模型并未针对这类多步交互做过训练；同时，材料文献中"主题相关但条件不符"的证据极易被误用，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小模型驱动的工具调用"为技术形态，构建一个面向高熵合金设计辅助的本地智能体，并通过选择性蒸馏提升该智能体的决策能力。与直接生成配方文本不同，智能体的输出是一串工具调用决策：面对用户要求，它需要判断该查什么证据、该调哪个校验工具、结果不符时如何修正。研究工作先界定智能体的任务边界与工具集，明确可用工具、交互协议与终止条件；再从文献建立补充数据通道，对解析结果施加可核验的约束检测与修正，使含噪的自动提取资料可用于训练；进而构造证据可追溯的教学轨迹，把教师的"推理—调工具—观察结果—修正"完整过程记录为教学单元，并按来源分组划分数据分区；核心环节是以任务检查器给出的可核验失误类型作为薄弱度信号，结合工具调用类型的覆盖程度与轨迹长度成本，在固定预算内完成轨迹选择；推理阶段则研究条件可比的证据选择与工具调用约束，使小模型在有限上下文内做出稳定的调用决策。上述环节共同支撑一个可在本地运行、每步可追溯的高熵合金设计辅助智能体。</w:t>
      </w:r>
    </w:p>
    <w:p>
      <w:pPr>
        <w:pStyle w:val="Heading3"/>
      </w:pPr>
      <w:r>
        <w:rPr>
          <w:rFonts w:ascii="Times New Roman" w:hAnsi="Times New Roman" w:eastAsia="黑体"/>
          <w:b/>
          <w:sz w:val="28"/>
        </w:rPr>
        <w:t>3.1.1 面向自动提取资料的可核验约束检测与智能体修正方法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高质量的训练资料是智能体能力的基础，而目前可公开获取的合金数据规模有限：主流的 MPEA 数据集仅含 1,545 条记录，其中室温拉伸子集 287 条、铸态硬度子集 254 条，按来源分组后样本量更为紧张。要支撑多步工具调用的智能体训练，必须从文献中补充数据。文献解析工具已相当成熟，开源方案可把 PDF 稳定转换为 Markdown 或 JSON，通用场景下不易崩溃，这使规模化建库在工程上可行。</w:t>
      </w:r>
    </w:p>
    <w:p>
      <w:pPr>
        <w:ind w:firstLine="480" w:firstLineChars="200"/>
        <w:spacing w:line="312" w:lineRule="auto"/>
      </w:pPr>
      <w:r>
        <w:rPr>
          <w:rFonts w:ascii="Times New Roman" w:hAnsi="Times New Roman" w:eastAsia="宋体"/>
          <w:b w:val="0"/>
          <w:sz w:val="24"/>
        </w:rPr>
        <w:t>但解析只是第一步。从解析结果到可入库的结构化记录之间隔着一层字段抽取，而这一层会引入系统性错误：表格合并单元格错位导致元素与数值对不上；上下标在转换中丢失，使 Al0.5 变成 Al0.5 或 Al05；单位符号被误读，硬度 HV 与 HRC 混为一谈；比例基准在原子百分比与质量百分比之间混淆；测试条件写在表注或正文中而未被抽取，使记录失去可比性。已有针对文献抽取数据库的分析指出，这类错误在自动构建的库中占比可观，且会沿下游的筛选与建模流程传导；对金属有机框架数据库的核查显示近半数条目存在结构性错误，而修正需要整合晶体文件、合成描述与散落在文献中的上下文证据</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这一环节难以简单处理。第一，错误类型与解析器的失效模式强相关。不同解析工具在表格、公式、扫描件上的短板不同，检测点必须针对具体工具的实际输出设计，不能套用通用规则。第二，检测比修复更难。已有研究在化学对象校验上给出明确结论：只要错误被标记出来，修复的成功率可达 80% 至 97%，真正的瓶颈在于</w:t>
      </w:r>
      <w:r>
        <w:rPr>
          <w:rFonts w:ascii="Times New Roman" w:hAnsi="Times New Roman" w:eastAsia="宋体"/>
          <w:b/>
          <w:sz w:val="24"/>
        </w:rPr>
        <w:t>循环内的检测召回率</w:t>
      </w:r>
      <w:r>
        <w:rPr>
          <w:rFonts w:ascii="Times New Roman" w:hAnsi="Times New Roman" w:eastAsia="宋体"/>
          <w:b w:val="0"/>
          <w:sz w:val="24"/>
        </w:rPr>
        <w:t>；该工作在 528 条带条件限定的提示上，把公式类错误从 22% 降到 4%，且检索开销仅为全面检索的三分之一</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这提示本课题的投入重点应是检测而非修复。第三，检测结果如何驱动智能体的后续动作缺乏规范：检测到错误后是丢弃该记录、回退重新解析、还是标记为不确定继续使用，不同处置对最终可用性的影响不同。</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错误数据进入训练集：智能体学到的是被污染的示范，其输出会重现同样的数值错误，且因为错误来自数据而非模型，仅靠增加数据量无法消除。其次是虚假的可追溯性：若记录保留了来源页码但字段已经错位，引用行为表面上成立而实质不成立，这比没有引用更具误导性。第三是评测失真：若测试集本身包含抽取错误，方法之间的比较结果不可解释。</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界定针对解析器输出特性的检测点。检测器按四类约束组织：其一，总量归一，检查元素比例之和是否为单位总量，并识别计量基准（原子百分比或质量百分比）；其二，基准一致，检查同一记录内的比例基准是否统一，跨记录比较时是否已换算；其三，单位规范，检查硬度、强度、温度等字段的单位符号是否在允许集合内，是否存在同一数值多种单位并存；其四，条件完整，检查测试温度、样品状态、试验类型等决定可比性的字段是否齐全，缺失时标记为不确定而非默认填充。四类检测均以规则实现，不依赖模型判断，因而结果可复现、可审计。</w:t>
      </w:r>
    </w:p>
    <w:p>
      <w:pPr>
        <w:ind w:firstLine="480" w:firstLineChars="200"/>
        <w:spacing w:line="312" w:lineRule="auto"/>
      </w:pPr>
      <w:r>
        <w:rPr>
          <w:rFonts w:ascii="Times New Roman" w:hAnsi="Times New Roman" w:eastAsia="宋体"/>
          <w:b w:val="0"/>
          <w:sz w:val="24"/>
        </w:rPr>
        <w:t>第二步，由智能体调用检测并决定处置。检测器封装为智能体可调用的工具，返回结构化的检测报告，逐项标明通过、违反与未知。智能体依据报告采取不同动作：违反项可定位到原始片段时，调用修改工具修正并再次检测；无法定位时回退至更细粒度的解析结果；仍不确定时标记该记录为不可用于性能陈述，但可保留作为成分参考。所有处置动作与检测结论一并记录在轨迹中。</w:t>
      </w:r>
    </w:p>
    <w:p>
      <w:pPr>
        <w:ind w:firstLine="480" w:firstLineChars="200"/>
        <w:spacing w:line="312" w:lineRule="auto"/>
      </w:pPr>
      <w:r>
        <w:rPr>
          <w:rFonts w:ascii="Times New Roman" w:hAnsi="Times New Roman" w:eastAsia="宋体"/>
          <w:b w:val="0"/>
          <w:sz w:val="24"/>
        </w:rPr>
        <w:t>第三步，按检测结果构造与筛选教学轨迹。轨迹的价值不再仅取决于最终任务是否完成，而取决于它是否包含"检测出错误并有效处置"的过程。据此定义轨迹级的薄弱度信号：该轨迹覆盖了哪些检测类型、在每类上是否触发并正确处置、处置后是否收敛。以轨迹 token 成本归一化后，在固定预算内优先选择能补齐未覆盖检测类型、且包含有效处置行为的轨迹。</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数据质量从"事后抽查"变为"流程内检测"，使错误在入库前被拦截或标记；检测器采用规则实现，结论可复核，不依赖模型自评；将处置行为纳入轨迹价值，则使智能体学到的不只是完成任务，还包括发现并处理问题数据的能力。三者共同指向一个可检验命题：在同等预算下，以可核验检测为信号构造的教学轨迹，是否比以任务完成与否为信号的轨迹更能提升智能体在含噪资料上的可靠性。</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面向文献抽取资料的约束检测规则与智能体处置流程，并在检测召回率、误报率、修正后记录可用率、以及下游任务质量四个维度上，与不做检测直接入库、以及仅按任务完成度筛选轨迹两种做法对照。若检测端收益有限，则如实报告并分析瓶颈所在。</w:t>
      </w:r>
    </w:p>
    <w:p>
      <w:pPr>
        <w:pStyle w:val="Heading3"/>
      </w:pPr>
      <w:r>
        <w:rPr>
          <w:rFonts w:ascii="Times New Roman" w:hAnsi="Times New Roman" w:eastAsia="黑体"/>
          <w:b/>
          <w:sz w:val="28"/>
        </w:rPr>
        <w:t>3.1.2 条件感知的证据检索与工具调用约束方法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智能体的能力上限很大程度取决于它能否取到可用的信息。在材料文献场景中，检索到的记录常常"主题相关但条件不符"：一条抗拉强度数据可能来自不同热处理状态或不同测试温度。若智能体不加区分地引用，后续的校验工具会通过数值检查（因为数字本身合法），但结论在物理上不成立。这类错误不会在语法或数值层面暴露，是本场景最隐蔽的失效。同时，智能体的每一步工具调用都需要与上下文预算协调：调用过多会超出上下文，调用过少则信息不足。</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环节。第一，条件可比性判断依赖领域知识，通用嵌入模型按语义接近程度排序，恰恰把这类冲突证据排到前列。第二，工具调用的参数填错难以察觉：智能体可能把测试温度字段填成制备温度，工具会返回结果，但结果与该问题无关。第三，终止条件模糊：智能体在证据不足时可能强行给出结论，也可能无休止地继续检索，二者都不可接受。</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首先是无依据结论：引用真实存在但不适用的记录，输出表面可追溯，实质不成立。其次是工具误用：参数错配使校验工具形同虚设，而系统不会报错。第三是效率失控：缺少明确的终止判据，部署时的轮次与时延无法预估。</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训练条件感知的证据重排模型，并把它封装为智能体可调用的检索工具。重排器训练数据由本课题自行构造：取同一成分在不同测试温度、不同样品状态下的记录，配对生成"条件可比"与"条件冲突"的正负样本，其中冲突样本只改动条件字段而保持主题相关，迫使模型学到的是条件一致性而非语义相似度。模型输出三类判定（条件相符、条件冲突、条件未知），对应不同处置。重排器选用百兆级轻量模型，在单卡上即可完成微调，作为工具调用时不增加显著时延。</w:t>
      </w:r>
    </w:p>
    <w:p>
      <w:pPr>
        <w:ind w:firstLine="480" w:firstLineChars="200"/>
        <w:spacing w:line="312" w:lineRule="auto"/>
      </w:pPr>
      <w:r>
        <w:rPr>
          <w:rFonts w:ascii="Times New Roman" w:hAnsi="Times New Roman" w:eastAsia="宋体"/>
          <w:b w:val="0"/>
          <w:sz w:val="24"/>
        </w:rPr>
        <w:t>第二步，为工具调用设计参数约束与结果校验。每个工具声明必填参数与取值范围，智能体输出调用前先经一个轻量校验层检查参数类型与取值域；工具返回结果后，统一附加一个"可用性标记"，标明该结果是否可直接支持结论、仅可作背景、还是不可用。这样后续步骤不必重新判断证据质量。</w:t>
      </w:r>
    </w:p>
    <w:p>
      <w:pPr>
        <w:ind w:firstLine="480" w:firstLineChars="200"/>
        <w:spacing w:line="312" w:lineRule="auto"/>
      </w:pPr>
      <w:r>
        <w:rPr>
          <w:rFonts w:ascii="Times New Roman" w:hAnsi="Times New Roman" w:eastAsia="宋体"/>
          <w:b w:val="0"/>
          <w:sz w:val="24"/>
        </w:rPr>
        <w:t>第三步，设定明确的终止条件与修正上限。当所有硬约束满足且存在至少一条可用证据时，允许终止并输出；当证据缺失或约束冲突时，输出当前结论并标注未满足项，而不是继续无界检索。修正轮次设上限，超出则返回最佳当前方案并说明原因。</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条件判断交给微调后的重排器，比规则过滤更能处理字段残缺、表述不一致的情形；在工具接口层加入参数校验与可用性标记，使错误在发生处暴露而非累积到最终输出；明确的终止与修正上限则让智能体的行为在部署时可预期。</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预期形成一套条件感知的检索与工具约束方法，并在证据可用率、工具参数正确率、平均轮次与总时延四个维度上，与不作条件区分的通用检索、按规则硬过滤、无参数校验的裸工具调用等做法对照。</w:t>
      </w:r>
    </w:p>
    <w:p>
      <w:pPr>
        <w:pStyle w:val="Heading3"/>
      </w:pPr>
      <w:r>
        <w:rPr>
          <w:rFonts w:ascii="Times New Roman" w:hAnsi="Times New Roman" w:eastAsia="黑体"/>
          <w:b/>
          <w:sz w:val="28"/>
        </w:rPr>
        <w:t>3.1.3 面向高熵合金设计辅助的本地智能体实现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智能体的行为由工具集、交互协议与终止策略共同决定，若各处分别实现，基线条件难以统一，实验结论也无法归因。因此本部分实现一个可在本地运行的高熵合金设计辅助智能体，把资料准备、轨迹采集、学生诊断、轨迹选择、微调、检索与工具调用各环节串联为可复现流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工具接口若不早固定，后续改动会使已采集的轨迹全部失效。第二，实验可复现性依赖版本控制，底座、教师、检索索引与工具版本若不一致，对照结果无法回溯。第三，部署形态需支持离线运行，模型调用、向量化与外部工具请求都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缺少统一载体时，两项方法的增益会相互混淆，也可能被工程差异掩盖；版本记录缺失则他人无法判断结果来源；只有模型文件而无运行环境说明，交付物实际上不可用。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智能体按三条线组织。</w:t>
      </w:r>
    </w:p>
    <w:p>
      <w:pPr>
        <w:ind w:firstLine="480" w:firstLineChars="200"/>
        <w:spacing w:line="312" w:lineRule="auto"/>
      </w:pPr>
      <w:r>
        <w:rPr>
          <w:rFonts w:ascii="Times New Roman" w:hAnsi="Times New Roman" w:eastAsia="宋体"/>
          <w:b w:val="0"/>
          <w:sz w:val="24"/>
        </w:rPr>
        <w:t>第一步，固定工具集与交互协议。工具集包含四类：约束校验工具（检查元素总量、锁定项、比例基准与单位）、证据检索工具（封装条件感知重排，返回带可用性标记的记录）、配方修改工具（按增量指令改写成分并返回变更明细）、性能查询工具（调用带版本与适用范围的代理模型，输出估计值及不确定区间，明确区分于文献实测值）。协议规定每轮输出为结构化的工具调用，包含工具名、参数与调用理由。</w:t>
      </w:r>
    </w:p>
    <w:p>
      <w:pPr>
        <w:ind w:firstLine="480" w:firstLineChars="200"/>
        <w:spacing w:line="312" w:lineRule="auto"/>
      </w:pPr>
      <w:r>
        <w:rPr>
          <w:rFonts w:ascii="Times New Roman" w:hAnsi="Times New Roman" w:eastAsia="宋体"/>
          <w:b w:val="0"/>
          <w:sz w:val="24"/>
        </w:rPr>
        <w:t>第二步，建立可追溯的运行记录。冻结底座版本、教师服务版本、提示模板、检索索引快照与工具版本；每条轨迹保存输入、每轮工具调用及返回、最终输出，使任一结果可回溯到具体配置。教学与推理共用同一套工具接口与证据类型。</w:t>
      </w:r>
    </w:p>
    <w:p>
      <w:pPr>
        <w:ind w:firstLine="480" w:firstLineChars="200"/>
        <w:spacing w:line="312" w:lineRule="auto"/>
      </w:pPr>
      <w:r>
        <w:rPr>
          <w:rFonts w:ascii="Times New Roman" w:hAnsi="Times New Roman" w:eastAsia="宋体"/>
          <w:b w:val="0"/>
          <w:sz w:val="24"/>
        </w:rPr>
        <w:t>第三步，核查本地部署边界。逐项检查模型、嵌入模型、重排模型与工具链是否存在联网传输；对内部配方数据的上传、再训练与外发分别取得授权。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该实现使两项方法在同一条件下可比，其工程贡献与算法贡献分开表述，不把接口开发或界面实现计为算法贡献。它提供的是验证基础设施与可复现的实验记录。</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预期交付一个可在本地运行、能完成限定设计任务并逐轮可追溯的智能体原型，配套版本化实验配置与复现材料。</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为解决上述问题，本文提出"面向智能体轨迹的可核验选择性蒸馏"方法，构建一个由小模型驱动工具链的高熵合金设计辅助智能体。</w:t>
      </w:r>
      <w:r>
        <w:rPr>
          <w:rFonts w:ascii="Times New Roman" w:hAnsi="Times New Roman" w:eastAsia="宋体"/>
          <w:b w:val="0"/>
          <w:sz w:val="24"/>
        </w:rPr>
        <w:t xml:space="preserve"> 该方法要解决的问题是：在有限轨迹预算与受限算力下，使本地小模型稳定掌握"推理—调工具—观察结果—修正"的完整行为，而不只是单步生成。具体做法分三步：先把教师智能体在真实工具链上的执行过程记录为可核验的教学轨迹，经约束扰动派生出不同难度的版本，并对每步结果标注可用性；再以任务检查器给出的可核验失误（路径合理性、参数正确性、约束满足、证据对应）作为薄弱度信号，结合工具调用类型的覆盖度与轨迹 token 成本，在固定预算内完成轨迹选择；最后把条件感知的证据检索与工具调用约束接入推理，使小模型在有限上下文内做出稳定的调用决策。三项工作共同支撑一个可在本地运行、逐轮可追溯的设计辅助智能体，并以同预算公平对照说明该方法的实际增量。</w:t>
      </w:r>
    </w:p>
    <w:p>
      <w:pPr>
        <w:ind w:firstLine="480" w:firstLineChars="200"/>
        <w:spacing w:line="312" w:lineRule="auto"/>
      </w:pPr>
      <w:r>
        <w:rPr>
          <w:rFonts w:ascii="Times New Roman" w:hAnsi="Times New Roman" w:eastAsia="宋体"/>
          <w:b/>
          <w:sz w:val="24"/>
        </w:rPr>
        <w:t>拟创新点一：面向自动提取资料的可核验约束检测与智能体修正方法。</w:t>
      </w:r>
      <w:r>
        <w:rPr>
          <w:rFonts w:ascii="Times New Roman" w:hAnsi="Times New Roman" w:eastAsia="宋体"/>
          <w:b w:val="0"/>
          <w:sz w:val="24"/>
        </w:rPr>
        <w:t xml:space="preserve"> 本项针对"文献抽取数据带系统性错误"这一前提问题。文献解析工具已能稳定完成版式还原，但从解析结果到结构化记录之间的字段抽取会引入错误：表格错位、上下标丢失、单位误读、基准混淆、条件缺失。已有研究指出这类错误的修复成功率可达八成以上，真正的瓶颈在检测召回。本项据此把投入放在检测端：将材料领域的可核验约束（总量归一、基准一致、单位规范、条件完整）实现为规则化检测器，封装为智能体可调用的工具；智能体依据检测报告决定处置动作（修正后重检、回退细化解析、或标记为不确定），并把处置过程记入轨迹；轨迹的选择依据不再是任务完成与否，而是它覆盖了哪些检测类型、是否触发并正确处置。与通用轨迹质量评分的差别在于检测对象：通用方法关注信息聚焦与策略收敛等过程特征，而本项检测的是材料数据特有的语义一致性，这类错误在代码或推理任务中不出现。</w:t>
      </w:r>
    </w:p>
    <w:p>
      <w:pPr>
        <w:ind w:firstLine="480" w:firstLineChars="200"/>
        <w:spacing w:line="312" w:lineRule="auto"/>
      </w:pPr>
      <w:r>
        <w:rPr>
          <w:rFonts w:ascii="Times New Roman" w:hAnsi="Times New Roman" w:eastAsia="宋体"/>
          <w:b w:val="0"/>
          <w:sz w:val="24"/>
        </w:rPr>
        <w:t>本项的验证方式为：在相同资料与相同解析器输出上，比较不做检测直接入库、仅按字段存在性检查、以及本项的约束检测三种做法，报告检测召回率、误报率与修正后记录可用率；再在轨迹选择环节比较以任务完成度为信号与以检测覆盖为信号的效果差异，并分别移除四类检测中的一类，检验各有何贡献。</w:t>
      </w:r>
    </w:p>
    <w:p>
      <w:pPr>
        <w:ind w:firstLine="480" w:firstLineChars="200"/>
        <w:spacing w:line="312" w:lineRule="auto"/>
      </w:pPr>
      <w:r>
        <w:rPr>
          <w:rFonts w:ascii="Times New Roman" w:hAnsi="Times New Roman" w:eastAsia="宋体"/>
          <w:b/>
          <w:sz w:val="24"/>
        </w:rPr>
        <w:t>拟创新点二：条件感知的证据检索与工具调用约束方法。</w:t>
      </w:r>
      <w:r>
        <w:rPr>
          <w:rFonts w:ascii="Times New Roman" w:hAnsi="Times New Roman" w:eastAsia="宋体"/>
          <w:b w:val="0"/>
          <w:sz w:val="24"/>
        </w:rPr>
        <w:t xml:space="preserve"> 本项解决智能体在材料文献场景下的信息可用性问题。具体包括三部分：其一，训练一个条件感知的证据重排模型，用自行构造的"条件可比/条件冲突"成对样本微调百兆级轻量模型，使其判断依据为条件一致性而非语义相似度，并把它封装为智能体可调用的检索工具；其二，在工具接口层加入参数校验与结果可用性标记，使参数错配与不可用证据在发生处即被暴露，而非累积到最终输出；其三，设定明确的终止与修正上限，使智能体在证据不足时如实标注而非强行结论。与不作条件区分的通用检索、按规则硬过滤、无参数校验的裸工具调用对照，检验证据可用率、参数正确率、平均轮次与总时延。</w:t>
      </w:r>
    </w:p>
    <w:p>
      <w:pPr>
        <w:ind w:firstLine="480" w:firstLineChars="200"/>
        <w:spacing w:line="312" w:lineRule="auto"/>
      </w:pPr>
      <w:r>
        <w:rPr>
          <w:rFonts w:ascii="Times New Roman" w:hAnsi="Times New Roman" w:eastAsia="宋体"/>
          <w:b/>
          <w:sz w:val="24"/>
        </w:rPr>
        <w:t>上述两项是相互衔接的拟研究改进，并非已证实的两个突破。主要算法贡献集中于第一项，第二项构成其可靠应用条件。</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由于公开数据规模不足以支撑多步智能体的训练，本课题同时建立文献补充数据通道。解析环节采用开源工具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；该环节在通用场景下可靠性较好，但在表格合并单元格、上下标与真实扫描件上存在已知短板，故其输出必须经 3.1.1 的约束检测与修正后入库，不直接计入训练数据。文献补充库的规模以实际解析与检测通过率决定，在首轮试验后报告实际可用条数，不预设具体数字。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不带工具）、通用检索增强、用教师智能体直接驱动（作为性能上界参考）、本地常规轨迹蒸馏、选择性轨迹蒸馏及完整方案。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选样实验使用相同教学池、相同底座与相同训练 token 预算，比较随机选择、困难度选择、覆盖选择及成熟的质量—多样性选择；若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消融实验按两项创新点分别设计，每一组只移除一个组件，其余设置保持不变，使改进归因可追溯。</w:t>
      </w:r>
    </w:p>
    <w:p>
      <w:pPr>
        <w:ind w:firstLine="480" w:firstLineChars="200"/>
        <w:spacing w:line="312" w:lineRule="auto"/>
      </w:pPr>
      <w:r>
        <w:rPr>
          <w:rFonts w:ascii="Times New Roman" w:hAnsi="Times New Roman" w:eastAsia="宋体"/>
          <w:b w:val="0"/>
          <w:sz w:val="24"/>
        </w:rPr>
        <w:t>针对创新点一（约束检测与修正），设置四组消融。第一组关闭总量归一检测，只保留其余三类，检验该类错误对下游可用性的实际影响。第二组关闭基准一致检测。第三组关闭单位规范检测。第四组关闭条件完整检测。四类分别关闭后可测各类错误的独立贡献，并识别哪一类是主要瓶颈。此外做两组流程侧消融：一组在检测后不做修正直接入库，检验修正环节的必要性；另一组把检测结果从轨迹信号中移除、仅按任务完成度选轨迹，检验"以检测覆盖为选样信号"相对"以任务完成为信号"的增益。</w:t>
      </w:r>
    </w:p>
    <w:p>
      <w:pPr>
        <w:ind w:firstLine="480" w:firstLineChars="200"/>
        <w:spacing w:line="312" w:lineRule="auto"/>
      </w:pPr>
      <w:r>
        <w:rPr>
          <w:rFonts w:ascii="Times New Roman" w:hAnsi="Times New Roman" w:eastAsia="宋体"/>
          <w:b w:val="0"/>
          <w:sz w:val="24"/>
        </w:rPr>
        <w:t>针对创新点二（检索与工具约束），设置四组消融。第一组用不作条件区分的通用重排器替换微调重排器，检验条件感知是否必要。第二组保留重排器但把三类判定压成二值匹配，检验"未知"这一状态是否贡献信息。第三组关闭工具参数校验层，检验参数错配是否会被后续步骤察觉。第四组关闭结果可用性标记与终止条件，检验智能体是否出现轮次失控或强行结论。四组均固定底座、上下文预算与工具实现，只改变被检验的组件。</w:t>
      </w:r>
    </w:p>
    <w:p>
      <w:pPr>
        <w:ind w:firstLine="480" w:firstLineChars="200"/>
        <w:spacing w:line="312" w:lineRule="auto"/>
      </w:pPr>
      <w:r>
        <w:rPr>
          <w:rFonts w:ascii="Times New Roman" w:hAnsi="Times New Roman" w:eastAsia="宋体"/>
          <w:b w:val="0"/>
          <w:sz w:val="24"/>
        </w:rPr>
        <w:t>消融结果与主对照分开报告。主对照回答"所提方法是否优于既有方法"，消融回答"增益来自哪个组件"；两者若出现不一致，以消融结果解释主对照中增益的来源，而不是用主对照的总量差异替代组件分析。</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技术路线为：工具集与交互协议定义、文献解析与字段抽取、约束检测与修正、来源分组与数据隔离、教师智能体轨迹采集及可核验项目过滤、学生诊断与调用覆盖选样、QLoRA 轨迹蒸馏、条件感知的本地检索工具、带参数校验的工具调用与有限修正、与教师智能体及本地强基线比较。教学与推理共用同一套工具接口、约束状态与来源类型，最终输出模型适配权重、知识库版本与轨迹日志。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与数值检查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个月：实现并固定学生失误与约束覆盖选样方案，完成等预算强基线比较，检查数据选择计算成本及随机性；在开发集确定主要评价与"接近"容许差距。</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面向高熵合金设计辅助的小模型智能体选择性蒸馏方法研究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