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jc w:val="center"/>
      </w:pPr>
      <w:r>
        <w:rPr>
          <w:rFonts w:ascii="Times New Roman" w:hAnsi="Times New Roman" w:eastAsia="黑体"/>
          <w:b/>
          <w:color w:val="1B3A52"/>
          <w:sz w:val="40"/>
        </w:rPr>
        <w:t>硕士学位论文开题报告</w:t>
      </w:r>
    </w:p>
    <w:p>
      <w:pPr>
        <w:spacing w:before="320" w:after="120"/>
      </w:pPr>
      <w:r>
        <w:rPr>
          <w:rFonts w:ascii="Times New Roman" w:hAnsi="Times New Roman" w:eastAsia="黑体"/>
          <w:b/>
          <w:color w:val="1B3A52"/>
          <w:sz w:val="30"/>
        </w:rPr>
        <w:t>材料逆向设计的运行间稳定性：可复现性度量与稳定化方法</w:t>
      </w:r>
    </w:p>
    <w:p>
      <w:pPr>
        <w:spacing w:after="80"/>
        <w:ind w:firstLine="420"/>
      </w:pPr>
      <w:r>
        <w:rPr>
          <w:rFonts w:ascii="Times New Roman" w:hAnsi="Times New Roman" w:eastAsia="宋体"/>
          <w:b w:val="0"/>
          <w:color w:val="1A1A1A"/>
          <w:sz w:val="21"/>
        </w:rPr>
        <w:t>关键词：材料逆向设计；可复现性；运行间稳定性；大语言模型；可信 AI</w:t>
      </w:r>
    </w:p>
    <w:p>
      <w:pPr>
        <w:jc w:val="center"/>
      </w:pPr>
      <w:r>
        <w:rPr>
          <w:rFonts w:ascii="Times New Roman" w:hAnsi="Times New Roman" w:eastAsia="宋体"/>
          <w:b w:val="0"/>
          <w:color w:val="1A1A1A"/>
          <w:sz w:val="21"/>
        </w:rPr>
        <w:t>学科专业：计算机科学与技术</w:t>
      </w:r>
    </w:p>
    <w:p>
      <w:pPr>
        <w:jc w:val="center"/>
      </w:pPr>
      <w:r>
        <w:rPr>
          <w:rFonts w:ascii="Times New Roman" w:hAnsi="Times New Roman" w:eastAsia="宋体"/>
          <w:b w:val="0"/>
          <w:color w:val="1A1A1A"/>
          <w:sz w:val="21"/>
        </w:rPr>
        <w:t>研究方向：大模型与材料智能设计</w:t>
      </w:r>
    </w:p>
    <w:p>
      <w:pPr>
        <w:jc w:val="center"/>
      </w:pPr>
      <w:r>
        <w:rPr>
          <w:rFonts w:ascii="Times New Roman" w:hAnsi="Times New Roman" w:eastAsia="宋体"/>
          <w:b w:val="0"/>
          <w:color w:val="1A1A1A"/>
          <w:sz w:val="21"/>
        </w:rPr>
        <w:t>报告日期：2026 年 10 月 18 日</w:t>
      </w:r>
    </w:p>
    <w:p>
      <w:pPr>
        <w:jc w:val="center"/>
      </w:pPr>
      <w:r>
        <w:rPr>
          <w:rFonts w:ascii="Times New Roman" w:hAnsi="Times New Roman" w:eastAsia="宋体"/>
          <w:b w:val="0"/>
          <w:color w:val="1A1A1A"/>
          <w:sz w:val="21"/>
        </w:rPr>
        <w:t>工作语言：中文</w:t>
      </w:r>
    </w:p>
    <w:p>
      <w:pPr>
        <w:spacing w:before="320" w:after="120"/>
      </w:pPr>
      <w:r>
        <w:rPr>
          <w:rFonts w:ascii="Times New Roman" w:hAnsi="Times New Roman" w:eastAsia="黑体"/>
          <w:b/>
          <w:color w:val="1B3A52"/>
          <w:sz w:val="30"/>
        </w:rPr>
        <w:t>摘要</w:t>
      </w:r>
    </w:p>
    <w:p>
      <w:pPr>
        <w:spacing w:after="80"/>
        <w:ind w:firstLine="420"/>
      </w:pPr>
      <w:r>
        <w:rPr>
          <w:rFonts w:ascii="Times New Roman" w:hAnsi="Times New Roman" w:eastAsia="宋体"/>
          <w:b w:val="0"/>
          <w:color w:val="1A1A1A"/>
          <w:sz w:val="21"/>
        </w:rPr>
        <w:t>大语言模型的输出具有随机性。即使固定温度与解码参数，同一请求在不同运行之间也可能给出不同答案；已有研究分析了这种非确定性及其对评测的影响 [1, 2]，其中实现级非确定性足以让评测准确率波动两位数百分点 [2]；本文在此基础上把稳定性拆成比特级确定性、分布级可复现与表面一致性三个层次（见 1.2 节）。在材料逆向设计中，这一点尤其致命：如果同一个「带隙大于 2.5 eV、形成能低于 −1.0 eV/atom」的请求，两次运行推荐的是完全不同的材料，那么下游的实验决策就无法复现，整条设计流程的可信度也随之崩塌。</w:t>
      </w:r>
    </w:p>
    <w:p>
      <w:pPr>
        <w:spacing w:after="80"/>
        <w:ind w:firstLine="420"/>
      </w:pPr>
      <w:r>
        <w:rPr>
          <w:rFonts w:ascii="Times New Roman" w:hAnsi="Times New Roman" w:eastAsia="宋体"/>
          <w:b w:val="0"/>
          <w:color w:val="1A1A1A"/>
          <w:sz w:val="21"/>
        </w:rPr>
        <w:t>通用领域已有关于运行间稳定性的讨论 [1, 2]，也有面向特定学科的稳定性评测 [3]，但材料逆向设计领域据本轮检索尚无专门研究。现有的材料基准关心「推荐得对不对」[4, 5]，不关心「同样的请求会不会推荐同一个东西」。</w:t>
      </w:r>
    </w:p>
    <w:p>
      <w:pPr>
        <w:spacing w:after="80"/>
        <w:ind w:firstLine="420"/>
      </w:pPr>
      <w:r>
        <w:rPr>
          <w:rFonts w:ascii="Times New Roman" w:hAnsi="Times New Roman" w:eastAsia="宋体"/>
          <w:b w:val="0"/>
          <w:color w:val="1A1A1A"/>
          <w:sz w:val="21"/>
        </w:rPr>
        <w:t>本课题把稳定性作为材料逆向设计的一等评价维度，并把「敏感性」作为其必要补充：稳定性管「同一请求多次运行是否一致」，敏感性管「目标微调后推荐是否合理变化」——只测其一，都会得到片面的结论。具体而言：（1）形式化定义运行间稳定性，区分集合级、排序级与成分级三种一致性；（2）在 Elpasolite 与 Materials Project 上构建稳定性评测，量化温度、提示措辞、上下文长度与模型版本对稳定性的影响；（3）分析稳定性与正确性的权衡——是否存在「稳定但保守」与「不稳定但覆盖广」的两难；（4）提出稳定化方法（CCC）与敏感性校准方法（NSR），在尽量不损失覆盖率的前提下改善一致性。</w:t>
      </w:r>
    </w:p>
    <w:p>
      <w:pPr>
        <w:spacing w:after="80"/>
        <w:ind w:firstLine="420"/>
      </w:pPr>
      <w:r>
        <w:rPr>
          <w:rFonts w:ascii="Times New Roman" w:hAnsi="Times New Roman" w:eastAsia="宋体"/>
          <w:b w:val="0"/>
          <w:color w:val="1A1A1A"/>
          <w:sz w:val="21"/>
        </w:rPr>
        <w:t>预期贡献：首个材料逆向设计的稳定性评测；稳定性—正确性权衡的定量结果；两个可复现的算法基线（CCC 与 NSR）。</w:t>
      </w:r>
    </w:p>
    <w:p>
      <w:pPr>
        <w:spacing w:before="320" w:after="120"/>
      </w:pPr>
      <w:r>
        <w:rPr>
          <w:rFonts w:ascii="Times New Roman" w:hAnsi="Times New Roman" w:eastAsia="黑体"/>
          <w:b/>
          <w:color w:val="1B3A52"/>
          <w:sz w:val="30"/>
        </w:rPr>
        <w:t>1 研究背景与意义</w:t>
      </w:r>
    </w:p>
    <w:p>
      <w:pPr>
        <w:spacing w:before="200" w:after="80"/>
      </w:pPr>
      <w:r>
        <w:rPr>
          <w:rFonts w:ascii="Times New Roman" w:hAnsi="Times New Roman" w:eastAsia="黑体"/>
          <w:b/>
          <w:color w:val="1B3A52"/>
          <w:sz w:val="23"/>
        </w:rPr>
        <w:t>1.1 材料设计的决策链要求可复现</w:t>
      </w:r>
    </w:p>
    <w:p>
      <w:pPr>
        <w:spacing w:after="80"/>
        <w:ind w:firstLine="420"/>
      </w:pPr>
      <w:r>
        <w:rPr>
          <w:rFonts w:ascii="Times New Roman" w:hAnsi="Times New Roman" w:eastAsia="宋体"/>
          <w:b w:val="0"/>
          <w:color w:val="1A1A1A"/>
          <w:sz w:val="21"/>
        </w:rPr>
        <w:t>材料逆向设计的典型流程是：用户给出目标（如带隙范围、稳定性要求、元素限制），模型提出候选，领域专家筛选，最后送入计算或实验验证。这条链上每一环的成本都很高，因此「同一个请求应该得到同一个答案」是隐含前提。</w:t>
      </w:r>
    </w:p>
    <w:p>
      <w:pPr>
        <w:spacing w:after="80"/>
        <w:ind w:firstLine="420"/>
      </w:pPr>
      <w:r>
        <w:rPr>
          <w:rFonts w:ascii="Times New Roman" w:hAnsi="Times New Roman" w:eastAsia="宋体"/>
          <w:b w:val="0"/>
          <w:color w:val="1A1A1A"/>
          <w:sz w:val="21"/>
        </w:rPr>
        <w:t>如果这个前提不成立，会发生什么？团队 A 在周一得到候选 {LiFePO₄, NaFePO₄}，周二重跑得到 {LiMnPO₄, NaMnPO₄}，那么周一基于候选做的实验设计就失去了依据；审稿人要求复现时，作者也无法解释为什么数字对不上。这不是假设——大模型推理的非确定性已被反复报告 [1, 2]。</w:t>
      </w:r>
    </w:p>
    <w:p>
      <w:pPr>
        <w:spacing w:before="200" w:after="80"/>
      </w:pPr>
      <w:r>
        <w:rPr>
          <w:rFonts w:ascii="Times New Roman" w:hAnsi="Times New Roman" w:eastAsia="黑体"/>
          <w:b/>
          <w:color w:val="1B3A52"/>
          <w:sz w:val="23"/>
        </w:rPr>
        <w:t>1.2 通用领域的稳定性研究</w:t>
      </w:r>
    </w:p>
    <w:p>
      <w:pPr>
        <w:spacing w:after="80"/>
        <w:ind w:firstLine="420"/>
      </w:pPr>
      <w:r>
        <w:rPr>
          <w:rFonts w:ascii="Times New Roman" w:hAnsi="Times New Roman" w:eastAsia="宋体"/>
          <w:b w:val="0"/>
          <w:color w:val="1A1A1A"/>
          <w:sz w:val="21"/>
        </w:rPr>
        <w:t>近期有工作分析了 LLM 推理的非确定性及其对评测的影响 [1, 2]。本文把稳定性拆成三个层次：比特级确定性（输出逐位相同）、分布级可复现（重复运行近似同一分布）、表面一致性（语义相近）——这个三层框架是本文的归纳，不是某篇文献的原始提法。实现层的不确定性来源包括浮点归约顺序、批处理组合、硬件差异与隐藏的模型更新；这些因素足以让同一评测套件的准确率在不同运行间波动两位数百分点 [2]。</w:t>
      </w:r>
    </w:p>
    <w:p>
      <w:pPr>
        <w:spacing w:after="80"/>
        <w:ind w:firstLine="420"/>
      </w:pPr>
      <w:r>
        <w:rPr>
          <w:rFonts w:ascii="Times New Roman" w:hAnsi="Times New Roman" w:eastAsia="宋体"/>
          <w:b w:val="0"/>
          <w:color w:val="1A1A1A"/>
          <w:sz w:val="21"/>
        </w:rPr>
        <w:t>另一项面向医学教育的评测把「运行间一致性」与准确率、稳健性、可复现性区分开，发现部分模型能在高准确率的同时保持高一致性，而另一些模型则用平均值掩盖了巨大的会话间波动 [3]。这项工作的关键洞察是：</w:t>
      </w:r>
      <w:r>
        <w:rPr>
          <w:rFonts w:ascii="Times New Roman" w:hAnsi="Times New Roman" w:eastAsia="宋体"/>
          <w:b/>
          <w:color w:val="1A1A1A"/>
          <w:sz w:val="21"/>
        </w:rPr>
        <w:t>只看平均准确率会掩盖不稳定</w:t>
      </w:r>
      <w:r>
        <w:rPr>
          <w:rFonts w:ascii="Times New Roman" w:hAnsi="Times New Roman" w:eastAsia="宋体"/>
          <w:b w:val="0"/>
          <w:color w:val="1A1A1A"/>
          <w:sz w:val="21"/>
        </w:rPr>
        <w:t>。</w:t>
      </w:r>
    </w:p>
    <w:p>
      <w:pPr>
        <w:spacing w:before="200" w:after="80"/>
      </w:pPr>
      <w:r>
        <w:rPr>
          <w:rFonts w:ascii="Times New Roman" w:hAnsi="Times New Roman" w:eastAsia="黑体"/>
          <w:b/>
          <w:color w:val="1B3A52"/>
          <w:sz w:val="23"/>
        </w:rPr>
        <w:t>1.3 材料领域的特殊性</w:t>
      </w:r>
    </w:p>
    <w:p>
      <w:pPr>
        <w:spacing w:after="80"/>
        <w:ind w:firstLine="420"/>
      </w:pPr>
      <w:r>
        <w:rPr>
          <w:rFonts w:ascii="Times New Roman" w:hAnsi="Times New Roman" w:eastAsia="宋体"/>
          <w:b w:val="0"/>
          <w:color w:val="1A1A1A"/>
          <w:sz w:val="21"/>
        </w:rPr>
        <w:t>材料逆向设计的稳定性有其特殊结构。通用问答里，「答案不同」通常指文本不同；材料里，「答案不同」可能意味着推荐了完全不同元素体系的材料，其合成路线、成本与风险完全不同。因此稳定性的度量不能只看文本相似度，必须看：</w:t>
      </w:r>
    </w:p>
    <w:p>
      <w:pPr>
        <w:pStyle w:val="ListBullet"/>
        <w:spacing w:line="336" w:lineRule="auto" w:after="40"/>
      </w:pPr>
      <w:r>
        <w:rPr>
          <w:rFonts w:ascii="Times New Roman" w:hAnsi="Times New Roman" w:eastAsia="宋体"/>
          <w:b/>
          <w:color w:val="1A1A1A"/>
          <w:sz w:val="21"/>
        </w:rPr>
        <w:t>集合级</w:t>
      </w:r>
      <w:r>
        <w:rPr>
          <w:rFonts w:ascii="Times New Roman" w:hAnsi="Times New Roman" w:eastAsia="宋体"/>
          <w:b w:val="0"/>
          <w:color w:val="1A1A1A"/>
          <w:sz w:val="21"/>
        </w:rPr>
        <w:t>：两次运行的推荐集合重叠多少；</w:t>
      </w:r>
    </w:p>
    <w:p>
      <w:pPr>
        <w:pStyle w:val="ListBullet"/>
        <w:spacing w:line="336" w:lineRule="auto" w:after="40"/>
      </w:pPr>
      <w:r>
        <w:rPr>
          <w:rFonts w:ascii="Times New Roman" w:hAnsi="Times New Roman" w:eastAsia="宋体"/>
          <w:b/>
          <w:color w:val="1A1A1A"/>
          <w:sz w:val="21"/>
        </w:rPr>
        <w:t>排序级</w:t>
      </w:r>
      <w:r>
        <w:rPr>
          <w:rFonts w:ascii="Times New Roman" w:hAnsi="Times New Roman" w:eastAsia="宋体"/>
          <w:b w:val="0"/>
          <w:color w:val="1A1A1A"/>
          <w:sz w:val="21"/>
        </w:rPr>
        <w:t>：推荐的先后顺序是否一致；</w:t>
      </w:r>
    </w:p>
    <w:p>
      <w:pPr>
        <w:pStyle w:val="ListBullet"/>
        <w:spacing w:line="336" w:lineRule="auto" w:after="40"/>
      </w:pPr>
      <w:r>
        <w:rPr>
          <w:rFonts w:ascii="Times New Roman" w:hAnsi="Times New Roman" w:eastAsia="宋体"/>
          <w:b/>
          <w:color w:val="1A1A1A"/>
          <w:sz w:val="21"/>
        </w:rPr>
        <w:t>成分级</w:t>
      </w:r>
      <w:r>
        <w:rPr>
          <w:rFonts w:ascii="Times New Roman" w:hAnsi="Times New Roman" w:eastAsia="宋体"/>
          <w:b w:val="0"/>
          <w:color w:val="1A1A1A"/>
          <w:sz w:val="21"/>
        </w:rPr>
        <w:t>：推荐成分之间的元素距离。</w:t>
      </w:r>
    </w:p>
    <w:p>
      <w:pPr>
        <w:spacing w:after="80"/>
        <w:ind w:firstLine="420"/>
      </w:pPr>
      <w:r>
        <w:rPr>
          <w:rFonts w:ascii="Times New Roman" w:hAnsi="Times New Roman" w:eastAsia="宋体"/>
          <w:b w:val="0"/>
          <w:color w:val="1A1A1A"/>
          <w:sz w:val="21"/>
        </w:rPr>
        <w:t>此外，材料设计常常是「多解」的：给定目标可能存在多个合理候选。因此「两次推荐不同」不一定是坏事——可能是模型探索了不同的合理解。这使得稳定性的定义必须与「正确性」联合考虑，而不能单独追求一致。</w:t>
      </w:r>
    </w:p>
    <w:p>
      <w:pPr>
        <w:spacing w:before="200" w:after="80"/>
      </w:pPr>
      <w:r>
        <w:rPr>
          <w:rFonts w:ascii="Times New Roman" w:hAnsi="Times New Roman" w:eastAsia="黑体"/>
          <w:b/>
          <w:color w:val="1B3A52"/>
          <w:sz w:val="23"/>
        </w:rPr>
        <w:t>1.4 研究意义</w:t>
      </w:r>
    </w:p>
    <w:p>
      <w:pPr>
        <w:spacing w:after="80"/>
        <w:ind w:firstLine="420"/>
      </w:pPr>
      <w:r>
        <w:rPr>
          <w:rFonts w:ascii="Times New Roman" w:hAnsi="Times New Roman" w:eastAsia="宋体"/>
          <w:b/>
          <w:color w:val="1A1A1A"/>
          <w:sz w:val="21"/>
        </w:rPr>
        <w:t>理论意义。</w:t>
      </w:r>
      <w:r>
        <w:rPr>
          <w:rFonts w:ascii="Times New Roman" w:hAnsi="Times New Roman" w:eastAsia="宋体"/>
          <w:b w:val="0"/>
          <w:color w:val="1A1A1A"/>
          <w:sz w:val="21"/>
        </w:rPr>
        <w:t xml:space="preserve"> 材料逆向设计的稳定性需要一个新的度量框架：它既不能像通用问答那样用文本相似度，也不能像分类任务那样用准确率。本课题要给出与材料语义对齐的稳定性定义。</w:t>
      </w:r>
    </w:p>
    <w:p>
      <w:pPr>
        <w:spacing w:after="80"/>
        <w:ind w:firstLine="420"/>
      </w:pPr>
      <w:r>
        <w:rPr>
          <w:rFonts w:ascii="Times New Roman" w:hAnsi="Times New Roman" w:eastAsia="宋体"/>
          <w:b/>
          <w:color w:val="1A1A1A"/>
          <w:sz w:val="21"/>
        </w:rPr>
        <w:t>应用意义。</w:t>
      </w:r>
      <w:r>
        <w:rPr>
          <w:rFonts w:ascii="Times New Roman" w:hAnsi="Times New Roman" w:eastAsia="宋体"/>
          <w:b w:val="0"/>
          <w:color w:val="1A1A1A"/>
          <w:sz w:val="21"/>
        </w:rPr>
        <w:t xml:space="preserve"> 一个稳定的设计助手才能进入真实工作流。如果稳定性可以通过温度、提示或解码策略显著改善，这是低成本、高回报的工程改进。</w:t>
      </w:r>
    </w:p>
    <w:p>
      <w:pPr>
        <w:spacing w:before="320" w:after="120"/>
      </w:pPr>
      <w:r>
        <w:rPr>
          <w:rFonts w:ascii="Times New Roman" w:hAnsi="Times New Roman" w:eastAsia="黑体"/>
          <w:b/>
          <w:color w:val="1B3A52"/>
          <w:sz w:val="30"/>
        </w:rPr>
        <w:t>2 国内外研究现状</w:t>
      </w:r>
    </w:p>
    <w:p>
      <w:pPr>
        <w:spacing w:before="200" w:after="80"/>
      </w:pPr>
      <w:r>
        <w:rPr>
          <w:rFonts w:ascii="Times New Roman" w:hAnsi="Times New Roman" w:eastAsia="黑体"/>
          <w:b/>
          <w:color w:val="1B3A52"/>
          <w:sz w:val="23"/>
        </w:rPr>
        <w:t>2.1 国内研究现状</w:t>
      </w:r>
    </w:p>
    <w:p>
      <w:pPr>
        <w:spacing w:after="80"/>
        <w:ind w:firstLine="420"/>
      </w:pPr>
      <w:r>
        <w:rPr>
          <w:rFonts w:ascii="Times New Roman" w:hAnsi="Times New Roman" w:eastAsia="宋体"/>
          <w:b w:val="0"/>
          <w:color w:val="1A1A1A"/>
          <w:sz w:val="21"/>
        </w:rPr>
        <w:t>国内在材料基因工程框架下已建立高通量计算与材料大数据平台 [6]，并在目标性质导向的材料生成上有系统综述 [7]。在生成式逆向设计方向，国内工作主要关注生成质量与约束满足，尚未见到针对「同一请求多次运行是否一致」的专门研究。</w:t>
      </w:r>
    </w:p>
    <w:p>
      <w:pPr>
        <w:spacing w:before="200" w:after="80"/>
      </w:pPr>
      <w:r>
        <w:rPr>
          <w:rFonts w:ascii="Times New Roman" w:hAnsi="Times New Roman" w:eastAsia="黑体"/>
          <w:b/>
          <w:color w:val="1B3A52"/>
          <w:sz w:val="23"/>
        </w:rPr>
        <w:t>2.2 通用领域的 LLM 稳定性</w:t>
      </w:r>
    </w:p>
    <w:p>
      <w:pPr>
        <w:pStyle w:val="ListBullet"/>
        <w:spacing w:line="336" w:lineRule="auto" w:after="40"/>
      </w:pPr>
      <w:r>
        <w:rPr>
          <w:rFonts w:ascii="Times New Roman" w:hAnsi="Times New Roman" w:eastAsia="宋体"/>
          <w:b/>
          <w:color w:val="1A1A1A"/>
          <w:sz w:val="21"/>
        </w:rPr>
        <w:t>稳定性分层</w:t>
      </w:r>
      <w:r>
        <w:rPr>
          <w:rFonts w:ascii="Times New Roman" w:hAnsi="Times New Roman" w:eastAsia="宋体"/>
          <w:b w:val="0"/>
          <w:color w:val="1A1A1A"/>
          <w:sz w:val="21"/>
        </w:rPr>
        <w:t>：比特级、分布级、表面一致性三层框架（本文归纳），实现级非确定性对评测的影响见 [1, 2]。</w:t>
      </w:r>
    </w:p>
    <w:p>
      <w:pPr>
        <w:pStyle w:val="ListBullet"/>
        <w:spacing w:line="336" w:lineRule="auto" w:after="40"/>
      </w:pPr>
      <w:r>
        <w:rPr>
          <w:rFonts w:ascii="Times New Roman" w:hAnsi="Times New Roman" w:eastAsia="宋体"/>
          <w:b/>
          <w:color w:val="1A1A1A"/>
          <w:sz w:val="21"/>
        </w:rPr>
        <w:t>运行间一致性评测</w:t>
      </w:r>
      <w:r>
        <w:rPr>
          <w:rFonts w:ascii="Times New Roman" w:hAnsi="Times New Roman" w:eastAsia="宋体"/>
          <w:b w:val="0"/>
          <w:color w:val="1A1A1A"/>
          <w:sz w:val="21"/>
        </w:rPr>
        <w:t>：把一致性作为独立构念，与准确率、稳健性、可复现性区分，发现部分模型以平均值掩盖不稳定 [3]。</w:t>
      </w:r>
    </w:p>
    <w:p>
      <w:pPr>
        <w:spacing w:after="80"/>
        <w:ind w:firstLine="420"/>
      </w:pPr>
      <w:r>
        <w:rPr>
          <w:rFonts w:ascii="Times New Roman" w:hAnsi="Times New Roman" w:eastAsia="宋体"/>
          <w:b w:val="0"/>
          <w:color w:val="1A1A1A"/>
          <w:sz w:val="21"/>
        </w:rPr>
        <w:t>这些工作提供了概念框架，但没有给出材料领域的度量。</w:t>
      </w:r>
    </w:p>
    <w:p>
      <w:pPr>
        <w:spacing w:before="200" w:after="80"/>
      </w:pPr>
      <w:r>
        <w:rPr>
          <w:rFonts w:ascii="Times New Roman" w:hAnsi="Times New Roman" w:eastAsia="黑体"/>
          <w:b/>
          <w:color w:val="1B3A52"/>
          <w:sz w:val="23"/>
        </w:rPr>
        <w:t>2.3 材料领域的生成与评测</w:t>
      </w:r>
    </w:p>
    <w:p>
      <w:pPr>
        <w:spacing w:after="80"/>
        <w:ind w:firstLine="420"/>
      </w:pPr>
      <w:r>
        <w:rPr>
          <w:rFonts w:ascii="Times New Roman" w:hAnsi="Times New Roman" w:eastAsia="宋体"/>
          <w:b w:val="0"/>
          <w:color w:val="1A1A1A"/>
          <w:sz w:val="21"/>
        </w:rPr>
        <w:t>材料生成的主流评测指标是稳定性、唯一性、新颖性（如 mSUN）与覆盖率 [4, 5]。闭环发现基准 MADE 用 AUDC、加速因子与增强因子刻画发现效率 [5]。这些指标都假设「一次运行的结果」是有意义的，没有处理多次运行的方差。</w:t>
      </w:r>
    </w:p>
    <w:p>
      <w:pPr>
        <w:spacing w:after="80"/>
        <w:ind w:firstLine="420"/>
      </w:pPr>
      <w:r>
        <w:rPr>
          <w:rFonts w:ascii="Times New Roman" w:hAnsi="Times New Roman" w:eastAsia="宋体"/>
          <w:b w:val="0"/>
          <w:color w:val="1A1A1A"/>
          <w:sz w:val="21"/>
        </w:rPr>
        <w:t>在材料问答方向，LLaMP 提出过「响应自一致性」（SCoR）指标，用置信度与一致性相乘来评估回答的稳定程度 [8]。但它是为知识检索设计的，不针对逆向设计的候选集合。</w:t>
      </w:r>
    </w:p>
    <w:p>
      <w:pPr>
        <w:spacing w:before="200" w:after="80"/>
      </w:pPr>
      <w:r>
        <w:rPr>
          <w:rFonts w:ascii="Times New Roman" w:hAnsi="Times New Roman" w:eastAsia="黑体"/>
          <w:b/>
          <w:color w:val="1B3A52"/>
          <w:sz w:val="23"/>
        </w:rPr>
        <w:t>2.4 现有研究的空白</w:t>
      </w:r>
    </w:p>
    <w:p>
      <w:pPr>
        <w:spacing w:after="80"/>
        <w:ind w:firstLine="420"/>
      </w:pPr>
      <w:r>
        <w:rPr>
          <w:rFonts w:ascii="Times New Roman" w:hAnsi="Times New Roman" w:eastAsia="宋体"/>
          <w:b/>
          <w:color w:val="1A1A1A"/>
          <w:sz w:val="21"/>
        </w:rPr>
        <w:t>空白一：材料逆向设计没有稳定性评测。</w:t>
      </w:r>
      <w:r>
        <w:rPr>
          <w:rFonts w:ascii="Times New Roman" w:hAnsi="Times New Roman" w:eastAsia="宋体"/>
          <w:b w:val="0"/>
          <w:color w:val="1A1A1A"/>
          <w:sz w:val="21"/>
        </w:rPr>
        <w:t xml:space="preserve"> 现有材料基准比较的是单次运行的质量 [4, 5]，没有报告跨运行的方差，也没有定义「推荐集合的一致性」。</w:t>
      </w:r>
    </w:p>
    <w:p>
      <w:pPr>
        <w:spacing w:after="80"/>
        <w:ind w:firstLine="420"/>
      </w:pPr>
      <w:r>
        <w:rPr>
          <w:rFonts w:ascii="Times New Roman" w:hAnsi="Times New Roman" w:eastAsia="宋体"/>
          <w:b/>
          <w:color w:val="1A1A1A"/>
          <w:sz w:val="21"/>
        </w:rPr>
        <w:t>空白二：稳定性与正确性的权衡没有被量化。</w:t>
      </w:r>
      <w:r>
        <w:rPr>
          <w:rFonts w:ascii="Times New Roman" w:hAnsi="Times New Roman" w:eastAsia="宋体"/>
          <w:b w:val="0"/>
          <w:color w:val="1A1A1A"/>
          <w:sz w:val="21"/>
        </w:rPr>
        <w:t xml:space="preserve"> 直觉上，更保守的模型更稳定但覆盖更少；更激进的模型覆盖更广但更不稳定。这个权衡在材料领域没有数据。</w:t>
      </w:r>
    </w:p>
    <w:p>
      <w:pPr>
        <w:spacing w:after="80"/>
        <w:ind w:firstLine="420"/>
      </w:pPr>
      <w:r>
        <w:rPr>
          <w:rFonts w:ascii="Times New Roman" w:hAnsi="Times New Roman" w:eastAsia="宋体"/>
          <w:b/>
          <w:color w:val="1A1A1A"/>
          <w:sz w:val="21"/>
        </w:rPr>
        <w:t>空白三：稳定化方法没有被系统比较。</w:t>
      </w:r>
      <w:r>
        <w:rPr>
          <w:rFonts w:ascii="Times New Roman" w:hAnsi="Times New Roman" w:eastAsia="宋体"/>
          <w:b w:val="0"/>
          <w:color w:val="1A1A1A"/>
          <w:sz w:val="21"/>
        </w:rPr>
        <w:t xml:space="preserve"> 温度调节、多次采样投票、约束解码、提示固定等手段都能影响稳定性，但哪种在材料任务上最有效、代价多大，没有对照实验。</w:t>
      </w:r>
    </w:p>
    <w:p>
      <w:pPr>
        <w:spacing w:before="320" w:after="120"/>
      </w:pPr>
      <w:r>
        <w:rPr>
          <w:rFonts w:ascii="Times New Roman" w:hAnsi="Times New Roman" w:eastAsia="黑体"/>
          <w:b/>
          <w:color w:val="1B3A52"/>
          <w:sz w:val="30"/>
        </w:rPr>
        <w:t>3 研究内容与目标</w:t>
      </w:r>
    </w:p>
    <w:p>
      <w:pPr>
        <w:spacing w:before="200" w:after="80"/>
      </w:pPr>
      <w:r>
        <w:rPr>
          <w:rFonts w:ascii="Times New Roman" w:hAnsi="Times New Roman" w:eastAsia="黑体"/>
          <w:b/>
          <w:color w:val="1B3A52"/>
          <w:sz w:val="23"/>
        </w:rPr>
        <w:t>3.1 研究目标</w:t>
      </w:r>
    </w:p>
    <w:p>
      <w:pPr>
        <w:spacing w:after="80"/>
        <w:ind w:firstLine="420"/>
      </w:pPr>
      <w:r>
        <w:rPr>
          <w:rFonts w:ascii="Times New Roman" w:hAnsi="Times New Roman" w:eastAsia="宋体"/>
          <w:b w:val="0"/>
          <w:color w:val="1A1A1A"/>
          <w:sz w:val="21"/>
        </w:rPr>
        <w:t>给出材料逆向设计的稳定性度量，量化影响稳定性的因素，并找到「在可接受的覆盖率损失内最大化稳定性」的配置。</w:t>
      </w:r>
    </w:p>
    <w:p>
      <w:pPr>
        <w:spacing w:before="200" w:after="80"/>
      </w:pPr>
      <w:r>
        <w:rPr>
          <w:rFonts w:ascii="Times New Roman" w:hAnsi="Times New Roman" w:eastAsia="黑体"/>
          <w:b/>
          <w:color w:val="1B3A52"/>
          <w:sz w:val="23"/>
        </w:rPr>
        <w:t>3.2 研究内容</w:t>
      </w:r>
    </w:p>
    <w:p>
      <w:pPr>
        <w:spacing w:after="80"/>
        <w:ind w:firstLine="420"/>
      </w:pPr>
      <w:r>
        <w:rPr>
          <w:rFonts w:ascii="Times New Roman" w:hAnsi="Times New Roman" w:eastAsia="宋体"/>
          <w:b/>
          <w:color w:val="1A1A1A"/>
          <w:sz w:val="21"/>
        </w:rPr>
        <w:t>内容一：稳定性的形式化与度量。</w:t>
      </w:r>
      <w:r>
        <w:rPr>
          <w:rFonts w:ascii="Times New Roman" w:hAnsi="Times New Roman" w:eastAsia="宋体"/>
          <w:b w:val="0"/>
          <w:color w:val="1A1A1A"/>
          <w:sz w:val="21"/>
        </w:rPr>
        <w:t xml:space="preserve"> 定义集合级、排序级与成分级三种一致性指标，并给出它们与「正确性」的联合评价方式。</w:t>
      </w:r>
    </w:p>
    <w:p>
      <w:pPr>
        <w:spacing w:after="80"/>
        <w:ind w:firstLine="420"/>
      </w:pPr>
      <w:r>
        <w:rPr>
          <w:rFonts w:ascii="Times New Roman" w:hAnsi="Times New Roman" w:eastAsia="宋体"/>
          <w:b/>
          <w:color w:val="1A1A1A"/>
          <w:sz w:val="21"/>
        </w:rPr>
        <w:t>内容二：影响因素的量化。</w:t>
      </w:r>
      <w:r>
        <w:rPr>
          <w:rFonts w:ascii="Times New Roman" w:hAnsi="Times New Roman" w:eastAsia="宋体"/>
          <w:b w:val="0"/>
          <w:color w:val="1A1A1A"/>
          <w:sz w:val="21"/>
        </w:rPr>
        <w:t xml:space="preserve"> 系统改变温度、top-p、提示措辞、上下文长度、few-shot 示例与模型版本，测量每种因素对稳定性的影响。</w:t>
      </w:r>
    </w:p>
    <w:p>
      <w:pPr>
        <w:spacing w:after="80"/>
        <w:ind w:firstLine="420"/>
      </w:pPr>
      <w:r>
        <w:rPr>
          <w:rFonts w:ascii="Times New Roman" w:hAnsi="Times New Roman" w:eastAsia="宋体"/>
          <w:b/>
          <w:color w:val="1A1A1A"/>
          <w:sz w:val="21"/>
        </w:rPr>
        <w:t>内容三：稳定性—正确性权衡。</w:t>
      </w:r>
      <w:r>
        <w:rPr>
          <w:rFonts w:ascii="Times New Roman" w:hAnsi="Times New Roman" w:eastAsia="宋体"/>
          <w:b w:val="0"/>
          <w:color w:val="1A1A1A"/>
          <w:sz w:val="21"/>
        </w:rPr>
        <w:t xml:space="preserve"> 在多个任务上绘制「稳定性 vs 覆盖率」曲线，判断是否存在帕累托前沿，以及不同方法的相对位置。</w:t>
      </w:r>
    </w:p>
    <w:p>
      <w:pPr>
        <w:spacing w:after="80"/>
        <w:ind w:firstLine="420"/>
      </w:pPr>
      <w:r>
        <w:rPr>
          <w:rFonts w:ascii="Times New Roman" w:hAnsi="Times New Roman" w:eastAsia="宋体"/>
          <w:b/>
          <w:color w:val="1A1A1A"/>
          <w:sz w:val="21"/>
        </w:rPr>
        <w:t>内容四：稳定化方法。</w:t>
      </w:r>
      <w:r>
        <w:rPr>
          <w:rFonts w:ascii="Times New Roman" w:hAnsi="Times New Roman" w:eastAsia="宋体"/>
          <w:b w:val="0"/>
          <w:color w:val="1A1A1A"/>
          <w:sz w:val="21"/>
        </w:rPr>
        <w:t xml:space="preserve"> 比较四类手段：低温解码、多次采样后投票、约束解码（固定可行域）、提示规范化；并给出组合建议。</w:t>
      </w:r>
    </w:p>
    <w:p>
      <w:pPr>
        <w:spacing w:before="200" w:after="80"/>
      </w:pPr>
      <w:r>
        <w:rPr>
          <w:rFonts w:ascii="Times New Roman" w:hAnsi="Times New Roman" w:eastAsia="黑体"/>
          <w:b/>
          <w:color w:val="1B3A52"/>
          <w:sz w:val="23"/>
        </w:rPr>
        <w:t>3.3 拟解决的关键问题</w:t>
      </w:r>
    </w:p>
    <w:p>
      <w:pPr>
        <w:spacing w:after="80"/>
        <w:ind w:firstLine="420"/>
      </w:pPr>
      <w:r>
        <w:rPr>
          <w:rFonts w:ascii="Times New Roman" w:hAnsi="Times New Roman" w:eastAsia="宋体"/>
          <w:b/>
          <w:color w:val="1A1A1A"/>
          <w:sz w:val="21"/>
        </w:rPr>
        <w:t>关键问题一：多解任务里「稳定」是否等于「好」。</w:t>
      </w:r>
      <w:r>
        <w:rPr>
          <w:rFonts w:ascii="Times New Roman" w:hAnsi="Times New Roman" w:eastAsia="宋体"/>
          <w:b w:val="0"/>
          <w:color w:val="1A1A1A"/>
          <w:sz w:val="21"/>
        </w:rPr>
        <w:t xml:space="preserve"> 材料设计允许多个合理解，因此「两次推荐不同」不必然是缺陷。本课题把稳定性定义为「在给定正确性水平下的条件稳定性」，即只在都正确的推荐之间比较一致性，避免把「探索」误判为「不稳定」。</w:t>
      </w:r>
    </w:p>
    <w:p>
      <w:pPr>
        <w:spacing w:after="80"/>
        <w:ind w:firstLine="420"/>
      </w:pPr>
      <w:r>
        <w:rPr>
          <w:rFonts w:ascii="Times New Roman" w:hAnsi="Times New Roman" w:eastAsia="宋体"/>
          <w:b/>
          <w:color w:val="1A1A1A"/>
          <w:sz w:val="21"/>
        </w:rPr>
        <w:t>关键问题二：成分距离如何度量。</w:t>
      </w:r>
      <w:r>
        <w:rPr>
          <w:rFonts w:ascii="Times New Roman" w:hAnsi="Times New Roman" w:eastAsia="宋体"/>
          <w:b w:val="0"/>
          <w:color w:val="1A1A1A"/>
          <w:sz w:val="21"/>
        </w:rPr>
        <w:t xml:space="preserve"> 两个成分「相近」需要定义。本课题采用元素分数向量的 L1 距离与元素集合的 Jaccard 距离两种度量，并在消融中比较。</w:t>
      </w:r>
    </w:p>
    <w:p>
      <w:pPr>
        <w:spacing w:after="80"/>
        <w:ind w:firstLine="420"/>
      </w:pPr>
      <w:r>
        <w:rPr>
          <w:rFonts w:ascii="Times New Roman" w:hAnsi="Times New Roman" w:eastAsia="宋体"/>
          <w:b/>
          <w:color w:val="1A1A1A"/>
          <w:sz w:val="21"/>
        </w:rPr>
        <w:t>关键问题三：稳定性评测的样本量。</w:t>
      </w:r>
      <w:r>
        <w:rPr>
          <w:rFonts w:ascii="Times New Roman" w:hAnsi="Times New Roman" w:eastAsia="宋体"/>
          <w:b w:val="0"/>
          <w:color w:val="1A1A1A"/>
          <w:sz w:val="21"/>
        </w:rPr>
        <w:t xml:space="preserve"> 每个请求需要重复多少次才能稳定估计？本课题用预实验确定重复次数（初步按 5—10 次），并报告置信区间。</w:t>
      </w:r>
    </w:p>
    <w:p>
      <w:pPr>
        <w:spacing w:before="320" w:after="120"/>
      </w:pPr>
      <w:r>
        <w:rPr>
          <w:rFonts w:ascii="Times New Roman" w:hAnsi="Times New Roman" w:eastAsia="黑体"/>
          <w:b/>
          <w:color w:val="1B3A52"/>
          <w:sz w:val="30"/>
        </w:rPr>
        <w:t>4 研究方法与技术路线</w:t>
      </w:r>
    </w:p>
    <w:p>
      <w:pPr>
        <w:spacing w:before="200" w:after="80"/>
      </w:pPr>
      <w:r>
        <w:rPr>
          <w:rFonts w:ascii="Times New Roman" w:hAnsi="Times New Roman" w:eastAsia="黑体"/>
          <w:b/>
          <w:color w:val="1B3A52"/>
          <w:sz w:val="23"/>
        </w:rPr>
        <w:t>4.1 问题形式化</w:t>
      </w:r>
    </w:p>
    <w:p>
      <w:pPr>
        <w:spacing w:after="80"/>
        <w:ind w:firstLine="420"/>
      </w:pPr>
      <w:r>
        <w:rPr>
          <w:rFonts w:ascii="Times New Roman" w:hAnsi="Times New Roman" w:eastAsia="宋体"/>
          <w:b w:val="0"/>
          <w:color w:val="1A1A1A"/>
          <w:sz w:val="21"/>
        </w:rPr>
        <w:t>设一个逆向设计请求为 q（目标性能 + 约束），模型在温度 T 下运行 K 次，得到候选集合 S₁, …, S_K，每个 Sᵢ 是若干候选材料。</w:t>
      </w:r>
    </w:p>
    <w:p>
      <w:pPr>
        <w:spacing w:after="80"/>
        <w:ind w:firstLine="420"/>
      </w:pPr>
      <w:r>
        <w:rPr>
          <w:rFonts w:ascii="Times New Roman" w:hAnsi="Times New Roman" w:eastAsia="宋体"/>
          <w:b w:val="0"/>
          <w:color w:val="1A1A1A"/>
          <w:sz w:val="21"/>
        </w:rPr>
        <w:t>定义三种一致性：</w:t>
      </w:r>
    </w:p>
    <w:p>
      <w:pPr>
        <w:pStyle w:val="ListBullet"/>
        <w:spacing w:line="336" w:lineRule="auto" w:after="40"/>
      </w:pPr>
      <w:r>
        <w:rPr>
          <w:rFonts w:ascii="Times New Roman" w:hAnsi="Times New Roman" w:eastAsia="宋体"/>
          <w:b/>
          <w:color w:val="1A1A1A"/>
          <w:sz w:val="21"/>
        </w:rPr>
        <w:t>集合一致性</w:t>
      </w:r>
      <w:r>
        <w:rPr>
          <w:rFonts w:ascii="Times New Roman" w:hAnsi="Times New Roman" w:eastAsia="宋体"/>
          <w:b w:val="0"/>
          <w:color w:val="1A1A1A"/>
          <w:sz w:val="21"/>
        </w:rPr>
        <w:t>：J_set = (1/K) Σᵢ Jaccard(Sᵢ, S_ref)，其中 S_ref 是 K 次运行的并集或多数集合；</w:t>
      </w:r>
    </w:p>
    <w:p>
      <w:pPr>
        <w:pStyle w:val="ListBullet"/>
        <w:spacing w:line="336" w:lineRule="auto" w:after="40"/>
      </w:pPr>
      <w:r>
        <w:rPr>
          <w:rFonts w:ascii="Times New Roman" w:hAnsi="Times New Roman" w:eastAsia="宋体"/>
          <w:b/>
          <w:color w:val="1A1A1A"/>
          <w:sz w:val="21"/>
        </w:rPr>
        <w:t>排序一致性</w:t>
      </w:r>
      <w:r>
        <w:rPr>
          <w:rFonts w:ascii="Times New Roman" w:hAnsi="Times New Roman" w:eastAsia="宋体"/>
          <w:b w:val="0"/>
          <w:color w:val="1A1A1A"/>
          <w:sz w:val="21"/>
        </w:rPr>
        <w:t>：若模型给出排序，用 Kendall τ 或 top-k 重叠率；</w:t>
      </w:r>
    </w:p>
    <w:p>
      <w:pPr>
        <w:pStyle w:val="ListBullet"/>
        <w:spacing w:line="336" w:lineRule="auto" w:after="40"/>
      </w:pPr>
      <w:r>
        <w:rPr>
          <w:rFonts w:ascii="Times New Roman" w:hAnsi="Times New Roman" w:eastAsia="宋体"/>
          <w:b/>
          <w:color w:val="1A1A1A"/>
          <w:sz w:val="21"/>
        </w:rPr>
        <w:t>成分一致性</w:t>
      </w:r>
      <w:r>
        <w:rPr>
          <w:rFonts w:ascii="Times New Roman" w:hAnsi="Times New Roman" w:eastAsia="宋体"/>
          <w:b w:val="0"/>
          <w:color w:val="1A1A1A"/>
          <w:sz w:val="21"/>
        </w:rPr>
        <w:t>：对每个推荐计算与其他运行的最近成分距离，取平均。</w:t>
      </w:r>
    </w:p>
    <w:p>
      <w:pPr>
        <w:spacing w:after="80"/>
        <w:ind w:firstLine="420"/>
      </w:pPr>
      <w:r>
        <w:rPr>
          <w:rFonts w:ascii="Times New Roman" w:hAnsi="Times New Roman" w:eastAsia="宋体"/>
          <w:b w:val="0"/>
          <w:color w:val="1A1A1A"/>
          <w:sz w:val="21"/>
        </w:rPr>
        <w:t>联合评价：在「正确候选」子集上计算一致性（条件稳定性），并同时报告整体覆盖率，避免用稳定性换覆盖率。</w:t>
      </w:r>
    </w:p>
    <w:p>
      <w:pPr>
        <w:spacing w:before="200" w:after="80"/>
      </w:pPr>
      <w:r>
        <w:rPr>
          <w:rFonts w:ascii="Times New Roman" w:hAnsi="Times New Roman" w:eastAsia="黑体"/>
          <w:b/>
          <w:color w:val="1B3A52"/>
          <w:sz w:val="23"/>
        </w:rPr>
        <w:t>4.2 实验设置</w:t>
      </w:r>
    </w:p>
    <w:p>
      <w:pPr>
        <w:spacing w:after="80"/>
        <w:ind w:firstLine="420"/>
      </w:pPr>
      <w:r>
        <w:rPr>
          <w:rFonts w:ascii="Times New Roman" w:hAnsi="Times New Roman" w:eastAsia="宋体"/>
          <w:b/>
          <w:color w:val="1A1A1A"/>
          <w:sz w:val="21"/>
        </w:rPr>
        <w:t>任务</w:t>
      </w:r>
      <w:r>
        <w:rPr>
          <w:rFonts w:ascii="Times New Roman" w:hAnsi="Times New Roman" w:eastAsia="宋体"/>
          <w:b w:val="0"/>
          <w:color w:val="1A1A1A"/>
          <w:sz w:val="21"/>
        </w:rPr>
        <w:t>：给定目标带隙区间与形成能上限，生成候选成分/结构。任务来自 Elpasolite 与 Materials Project 两个基准 [4, 5]。</w:t>
      </w:r>
    </w:p>
    <w:p>
      <w:pPr>
        <w:spacing w:after="80"/>
        <w:ind w:firstLine="420"/>
      </w:pPr>
      <w:r>
        <w:rPr>
          <w:rFonts w:ascii="Times New Roman" w:hAnsi="Times New Roman" w:eastAsia="宋体"/>
          <w:b/>
          <w:color w:val="1A1A1A"/>
          <w:sz w:val="21"/>
        </w:rPr>
        <w:t>模型</w:t>
      </w:r>
      <w:r>
        <w:rPr>
          <w:rFonts w:ascii="Times New Roman" w:hAnsi="Times New Roman" w:eastAsia="宋体"/>
          <w:b w:val="0"/>
          <w:color w:val="1A1A1A"/>
          <w:sz w:val="21"/>
        </w:rPr>
        <w:t>：至少三个开源模型（不同规模）与两个闭源模型，覆盖不同训练方式。</w:t>
      </w:r>
    </w:p>
    <w:p>
      <w:pPr>
        <w:spacing w:after="80"/>
        <w:ind w:firstLine="420"/>
      </w:pPr>
      <w:r>
        <w:rPr>
          <w:rFonts w:ascii="Times New Roman" w:hAnsi="Times New Roman" w:eastAsia="宋体"/>
          <w:b/>
          <w:color w:val="1A1A1A"/>
          <w:sz w:val="21"/>
        </w:rPr>
        <w:t>变量</w:t>
      </w:r>
      <w:r>
        <w:rPr>
          <w:rFonts w:ascii="Times New Roman" w:hAnsi="Times New Roman" w:eastAsia="宋体"/>
          <w:b w:val="0"/>
          <w:color w:val="1A1A1A"/>
          <w:sz w:val="21"/>
        </w:rPr>
        <w:t>：</w:t>
      </w:r>
    </w:p>
    <w:p>
      <w:pPr>
        <w:pStyle w:val="ListBullet"/>
        <w:spacing w:line="336" w:lineRule="auto" w:after="40"/>
      </w:pPr>
      <w:r>
        <w:rPr>
          <w:rFonts w:ascii="Times New Roman" w:hAnsi="Times New Roman" w:eastAsia="宋体"/>
          <w:b w:val="0"/>
          <w:color w:val="1A1A1A"/>
          <w:sz w:val="21"/>
        </w:rPr>
        <w:t>温度 T ∈ {0.0, 0.3, 0.7, 1.0}</w:t>
      </w:r>
    </w:p>
    <w:p>
      <w:pPr>
        <w:pStyle w:val="ListBullet"/>
        <w:spacing w:line="336" w:lineRule="auto" w:after="40"/>
      </w:pPr>
      <w:r>
        <w:rPr>
          <w:rFonts w:ascii="Times New Roman" w:hAnsi="Times New Roman" w:eastAsia="宋体"/>
          <w:b w:val="0"/>
          <w:color w:val="1A1A1A"/>
          <w:sz w:val="21"/>
        </w:rPr>
        <w:t>top-p ∈ {0.9, 0.95, 1.0}</w:t>
      </w:r>
    </w:p>
    <w:p>
      <w:pPr>
        <w:pStyle w:val="ListBullet"/>
        <w:spacing w:line="336" w:lineRule="auto" w:after="40"/>
      </w:pPr>
      <w:r>
        <w:rPr>
          <w:rFonts w:ascii="Times New Roman" w:hAnsi="Times New Roman" w:eastAsia="宋体"/>
          <w:b w:val="0"/>
          <w:color w:val="1A1A1A"/>
          <w:sz w:val="21"/>
        </w:rPr>
        <w:t>提示措辞：三种等价表述</w:t>
      </w:r>
    </w:p>
    <w:p>
      <w:pPr>
        <w:pStyle w:val="ListBullet"/>
        <w:spacing w:line="336" w:lineRule="auto" w:after="40"/>
      </w:pPr>
      <w:r>
        <w:rPr>
          <w:rFonts w:ascii="Times New Roman" w:hAnsi="Times New Roman" w:eastAsia="宋体"/>
          <w:b w:val="0"/>
          <w:color w:val="1A1A1A"/>
          <w:sz w:val="21"/>
        </w:rPr>
        <w:t>few-shot 示例：0 / 3 / 5 条</w:t>
      </w:r>
    </w:p>
    <w:p>
      <w:pPr>
        <w:pStyle w:val="ListBullet"/>
        <w:spacing w:line="336" w:lineRule="auto" w:after="40"/>
      </w:pPr>
      <w:r>
        <w:rPr>
          <w:rFonts w:ascii="Times New Roman" w:hAnsi="Times New Roman" w:eastAsia="宋体"/>
          <w:b w:val="0"/>
          <w:color w:val="1A1A1A"/>
          <w:sz w:val="21"/>
        </w:rPr>
        <w:t>上下文长度：短 / 长</w:t>
      </w:r>
    </w:p>
    <w:p>
      <w:pPr>
        <w:spacing w:before="200" w:after="80"/>
      </w:pPr>
      <w:r>
        <w:rPr>
          <w:rFonts w:ascii="Times New Roman" w:hAnsi="Times New Roman" w:eastAsia="黑体"/>
          <w:b/>
          <w:color w:val="1B3A52"/>
          <w:sz w:val="23"/>
        </w:rPr>
        <w:t>4.3 核心算法：成分聚类共识（CCC）</w:t>
      </w:r>
    </w:p>
    <w:p>
      <w:pPr>
        <w:spacing w:after="80"/>
        <w:ind w:firstLine="420"/>
      </w:pPr>
      <w:r>
        <w:rPr>
          <w:rFonts w:ascii="Times New Roman" w:hAnsi="Times New Roman" w:eastAsia="宋体"/>
          <w:b/>
          <w:color w:val="1A1A1A"/>
          <w:sz w:val="21"/>
        </w:rPr>
        <w:t>输入</w:t>
      </w:r>
      <w:r>
        <w:rPr>
          <w:rFonts w:ascii="Times New Roman" w:hAnsi="Times New Roman" w:eastAsia="宋体"/>
          <w:b w:val="0"/>
          <w:color w:val="1A1A1A"/>
          <w:sz w:val="21"/>
        </w:rPr>
        <w:t>：同一请求的 K 次运行结果 {S₁, …, S_K}。</w:t>
      </w:r>
    </w:p>
    <w:p>
      <w:pPr>
        <w:spacing w:after="80"/>
        <w:ind w:firstLine="420"/>
      </w:pPr>
      <w:r>
        <w:rPr>
          <w:rFonts w:ascii="Times New Roman" w:hAnsi="Times New Roman" w:eastAsia="宋体"/>
          <w:b/>
          <w:color w:val="1A1A1A"/>
          <w:sz w:val="21"/>
        </w:rPr>
        <w:t>步骤</w:t>
      </w:r>
      <w:r>
        <w:rPr>
          <w:rFonts w:ascii="Times New Roman" w:hAnsi="Times New Roman" w:eastAsia="宋体"/>
          <w:b w:val="0"/>
          <w:color w:val="1A1A1A"/>
          <w:sz w:val="21"/>
        </w:rPr>
        <w:t>：</w:t>
      </w:r>
    </w:p>
    <w:p>
      <w:pPr>
        <w:spacing w:after="80"/>
        <w:ind w:firstLine="420"/>
      </w:pPr>
      <w:r>
        <w:rPr>
          <w:rFonts w:ascii="Times New Roman" w:hAnsi="Times New Roman" w:eastAsia="宋体"/>
          <w:b w:val="0"/>
          <w:color w:val="1A1A1A"/>
          <w:sz w:val="21"/>
        </w:rPr>
        <w:t>1. 把每个候选转成元素分数向量；</w:t>
      </w:r>
    </w:p>
    <w:p>
      <w:pPr>
        <w:spacing w:after="80"/>
        <w:ind w:firstLine="420"/>
      </w:pPr>
      <w:r>
        <w:rPr>
          <w:rFonts w:ascii="Times New Roman" w:hAnsi="Times New Roman" w:eastAsia="宋体"/>
          <w:b w:val="0"/>
          <w:color w:val="1A1A1A"/>
          <w:sz w:val="21"/>
        </w:rPr>
        <w:t>2. 对所有候选按成分 L1 距离做凝聚聚类，阈值 ε；</w:t>
      </w:r>
    </w:p>
    <w:p>
      <w:pPr>
        <w:spacing w:after="80"/>
        <w:ind w:firstLine="420"/>
      </w:pPr>
      <w:r>
        <w:rPr>
          <w:rFonts w:ascii="Times New Roman" w:hAnsi="Times New Roman" w:eastAsia="宋体"/>
          <w:b w:val="0"/>
          <w:color w:val="1A1A1A"/>
          <w:sz w:val="21"/>
        </w:rPr>
        <w:t>3. 统计每个簇在多少次不同运行中出现（运行覆盖数 c）；</w:t>
      </w:r>
    </w:p>
    <w:p>
      <w:pPr>
        <w:spacing w:after="80"/>
        <w:ind w:firstLine="420"/>
      </w:pPr>
      <w:r>
        <w:rPr>
          <w:rFonts w:ascii="Times New Roman" w:hAnsi="Times New Roman" w:eastAsia="宋体"/>
          <w:b w:val="0"/>
          <w:color w:val="1A1A1A"/>
          <w:sz w:val="21"/>
        </w:rPr>
        <w:t>4. 保留 c ≥ θ·K 的簇，每簇取代表候选；</w:t>
      </w:r>
    </w:p>
    <w:p>
      <w:pPr>
        <w:spacing w:after="80"/>
        <w:ind w:firstLine="420"/>
      </w:pPr>
      <w:r>
        <w:rPr>
          <w:rFonts w:ascii="Times New Roman" w:hAnsi="Times New Roman" w:eastAsia="宋体"/>
          <w:b w:val="0"/>
          <w:color w:val="1A1A1A"/>
          <w:sz w:val="21"/>
        </w:rPr>
        <w:t>5. 按出现频率排序输出。</w:t>
      </w:r>
    </w:p>
    <w:p>
      <w:pPr>
        <w:spacing w:after="80"/>
        <w:ind w:firstLine="420"/>
      </w:pPr>
      <w:r>
        <w:rPr>
          <w:rFonts w:ascii="Times New Roman" w:hAnsi="Times New Roman" w:eastAsia="宋体"/>
          <w:b/>
          <w:color w:val="1A1A1A"/>
          <w:sz w:val="21"/>
        </w:rPr>
        <w:t>复杂度</w:t>
      </w:r>
      <w:r>
        <w:rPr>
          <w:rFonts w:ascii="Times New Roman" w:hAnsi="Times New Roman" w:eastAsia="宋体"/>
          <w:b w:val="0"/>
          <w:color w:val="1A1A1A"/>
          <w:sz w:val="21"/>
        </w:rPr>
        <w:t>：候选总数 N 的 O(N²) 距离计算，N 通常小于 200，单次毫秒级。</w:t>
      </w:r>
    </w:p>
    <w:p>
      <w:pPr>
        <w:spacing w:after="80"/>
        <w:ind w:firstLine="420"/>
      </w:pPr>
      <w:r>
        <w:rPr>
          <w:rFonts w:ascii="Times New Roman" w:hAnsi="Times New Roman" w:eastAsia="宋体"/>
          <w:b/>
          <w:color w:val="1A1A1A"/>
          <w:sz w:val="21"/>
        </w:rPr>
        <w:t>与 self-consistency 的区别</w:t>
      </w:r>
      <w:r>
        <w:rPr>
          <w:rFonts w:ascii="Times New Roman" w:hAnsi="Times New Roman" w:eastAsia="宋体"/>
          <w:b w:val="0"/>
          <w:color w:val="1A1A1A"/>
          <w:sz w:val="21"/>
        </w:rPr>
        <w:t>：self-consistency 针对「单一答案」的任务，对答案做投票；材料逆向设计输出的是候选集合，且集合大小可变。CCC 在集合层面做聚类，而不是对单个答案投票。</w:t>
      </w:r>
    </w:p>
    <w:p>
      <w:pPr>
        <w:spacing w:after="80"/>
        <w:ind w:firstLine="420"/>
      </w:pPr>
      <w:r>
        <w:rPr>
          <w:rFonts w:ascii="Times New Roman" w:hAnsi="Times New Roman" w:eastAsia="宋体"/>
          <w:b/>
          <w:color w:val="1A1A1A"/>
          <w:sz w:val="21"/>
        </w:rPr>
        <w:t>验证协议</w:t>
      </w:r>
      <w:r>
        <w:rPr>
          <w:rFonts w:ascii="Times New Roman" w:hAnsi="Times New Roman" w:eastAsia="宋体"/>
          <w:b w:val="0"/>
          <w:color w:val="1A1A1A"/>
          <w:sz w:val="21"/>
        </w:rPr>
        <w:t>：在相同 K 下比较 CCC 与「取首个结果」「逐答案投票」「全并集」三种做法的集合一致性 Jaccard 与覆盖率；报告阈值 θ 的敏感性。预期 CCC 在 Jaccard 上优于取首个，在覆盖率上优于全并集。</w:t>
      </w:r>
    </w:p>
    <w:p>
      <w:pPr>
        <w:spacing w:before="200" w:after="80"/>
      </w:pPr>
      <w:r>
        <w:rPr>
          <w:rFonts w:ascii="Times New Roman" w:hAnsi="Times New Roman" w:eastAsia="黑体"/>
          <w:b/>
          <w:color w:val="1B3A52"/>
          <w:sz w:val="23"/>
        </w:rPr>
        <w:t>4.4 稳定化方法对照</w:t>
      </w:r>
    </w:p>
    <w:p>
      <w:pPr>
        <w:spacing w:after="80"/>
        <w:ind w:firstLine="420"/>
      </w:pPr>
      <w:r>
        <w:rPr>
          <w:rFonts w:ascii="Times New Roman" w:hAnsi="Times New Roman" w:eastAsia="宋体"/>
          <w:b w:val="0"/>
          <w:color w:val="1A1A1A"/>
          <w:sz w:val="21"/>
        </w:rPr>
        <w:t>除 CCC 外，另实现三类对照手段，逐一与基线比较：</w:t>
      </w:r>
    </w:p>
    <w:p>
      <w:pPr>
        <w:spacing w:after="80"/>
        <w:ind w:firstLine="420"/>
      </w:pPr>
      <w:r>
        <w:rPr>
          <w:rFonts w:ascii="Times New Roman" w:hAnsi="Times New Roman" w:eastAsia="宋体"/>
          <w:b w:val="0"/>
          <w:color w:val="1A1A1A"/>
          <w:sz w:val="21"/>
        </w:rPr>
        <w:t xml:space="preserve">1. </w:t>
      </w:r>
      <w:r>
        <w:rPr>
          <w:rFonts w:ascii="Times New Roman" w:hAnsi="Times New Roman" w:eastAsia="宋体"/>
          <w:b/>
          <w:color w:val="1A1A1A"/>
          <w:sz w:val="21"/>
        </w:rPr>
        <w:t>低温解码</w:t>
      </w:r>
      <w:r>
        <w:rPr>
          <w:rFonts w:ascii="Times New Roman" w:hAnsi="Times New Roman" w:eastAsia="宋体"/>
          <w:b w:val="0"/>
          <w:color w:val="1A1A1A"/>
          <w:sz w:val="21"/>
        </w:rPr>
        <w:t>：T → 0，牺牲多样性换一致性；</w:t>
      </w:r>
    </w:p>
    <w:p>
      <w:pPr>
        <w:spacing w:after="80"/>
        <w:ind w:firstLine="420"/>
      </w:pPr>
      <w:r>
        <w:rPr>
          <w:rFonts w:ascii="Times New Roman" w:hAnsi="Times New Roman" w:eastAsia="宋体"/>
          <w:b w:val="0"/>
          <w:color w:val="1A1A1A"/>
          <w:sz w:val="21"/>
        </w:rPr>
        <w:t xml:space="preserve">2. </w:t>
      </w:r>
      <w:r>
        <w:rPr>
          <w:rFonts w:ascii="Times New Roman" w:hAnsi="Times New Roman" w:eastAsia="宋体"/>
          <w:b/>
          <w:color w:val="1A1A1A"/>
          <w:sz w:val="21"/>
        </w:rPr>
        <w:t>逐答案投票</w:t>
      </w:r>
      <w:r>
        <w:rPr>
          <w:rFonts w:ascii="Times New Roman" w:hAnsi="Times New Roman" w:eastAsia="宋体"/>
          <w:b w:val="0"/>
          <w:color w:val="1A1A1A"/>
          <w:sz w:val="21"/>
        </w:rPr>
        <w:t>：运行 K 次，取出现频率最高的单个候选；</w:t>
      </w:r>
    </w:p>
    <w:p>
      <w:pPr>
        <w:spacing w:after="80"/>
        <w:ind w:firstLine="420"/>
      </w:pPr>
      <w:r>
        <w:rPr>
          <w:rFonts w:ascii="Times New Roman" w:hAnsi="Times New Roman" w:eastAsia="宋体"/>
          <w:b w:val="0"/>
          <w:color w:val="1A1A1A"/>
          <w:sz w:val="21"/>
        </w:rPr>
        <w:t xml:space="preserve">3. </w:t>
      </w:r>
      <w:r>
        <w:rPr>
          <w:rFonts w:ascii="Times New Roman" w:hAnsi="Times New Roman" w:eastAsia="宋体"/>
          <w:b/>
          <w:color w:val="1A1A1A"/>
          <w:sz w:val="21"/>
        </w:rPr>
        <w:t>约束解码</w:t>
      </w:r>
      <w:r>
        <w:rPr>
          <w:rFonts w:ascii="Times New Roman" w:hAnsi="Times New Roman" w:eastAsia="宋体"/>
          <w:b w:val="0"/>
          <w:color w:val="1A1A1A"/>
          <w:sz w:val="21"/>
        </w:rPr>
        <w:t>：固定可行域（如元素范围、化学计量原型），减少无效探索。</w:t>
      </w:r>
    </w:p>
    <w:p>
      <w:pPr>
        <w:spacing w:after="80"/>
        <w:ind w:firstLine="420"/>
      </w:pPr>
      <w:r>
        <w:rPr>
          <w:rFonts w:ascii="Times New Roman" w:hAnsi="Times New Roman" w:eastAsia="宋体"/>
          <w:b w:val="0"/>
          <w:color w:val="1A1A1A"/>
          <w:sz w:val="21"/>
        </w:rPr>
        <w:t>组合策略：CCC + 低温、CCC + 约束等。</w:t>
      </w:r>
    </w:p>
    <w:p>
      <w:pPr>
        <w:spacing w:before="200" w:after="80"/>
      </w:pPr>
      <w:r>
        <w:rPr>
          <w:rFonts w:ascii="Times New Roman" w:hAnsi="Times New Roman" w:eastAsia="黑体"/>
          <w:b/>
          <w:color w:val="1B3A52"/>
          <w:sz w:val="23"/>
        </w:rPr>
        <w:t>4.5 技术路线</w:t>
      </w:r>
    </w:p>
    <w:p>
      <w:pPr>
        <w:spacing w:after="80"/>
        <w:ind w:firstLine="420"/>
      </w:pPr>
      <w:r>
        <w:rPr>
          <w:rFonts w:ascii="Consolas" w:hAnsi="Consolas" w:eastAsia="宋体"/>
          <w:b w:val="0"/>
          <w:color w:val="1A1A1A"/>
          <w:sz w:val="20"/>
        </w:rPr>
        <w:t>`</w:t>
      </w:r>
    </w:p>
    <w:p>
      <w:pPr>
        <w:spacing w:after="80"/>
        <w:ind w:firstLine="420"/>
      </w:pPr>
      <w:r>
        <w:rPr>
          <w:rFonts w:ascii="Times New Roman" w:hAnsi="Times New Roman" w:eastAsia="宋体"/>
          <w:b w:val="0"/>
          <w:color w:val="1A1A1A"/>
          <w:sz w:val="21"/>
        </w:rPr>
        <w:t>任务与数据准备（Elpasolite / MP）</w:t>
      </w:r>
    </w:p>
    <w:p>
      <w:pPr>
        <w:spacing w:after="80"/>
        <w:ind w:firstLine="420"/>
      </w:pPr>
      <w:r>
        <w:rPr>
          <w:rFonts w:ascii="Times New Roman" w:hAnsi="Times New Roman" w:eastAsia="宋体"/>
          <w:b w:val="0"/>
          <w:color w:val="1A1A1A"/>
          <w:sz w:val="21"/>
        </w:rPr>
        <w:t>↓</w:t>
      </w:r>
    </w:p>
    <w:p>
      <w:pPr>
        <w:spacing w:after="80"/>
        <w:ind w:firstLine="420"/>
      </w:pPr>
      <w:r>
        <w:rPr>
          <w:rFonts w:ascii="Times New Roman" w:hAnsi="Times New Roman" w:eastAsia="宋体"/>
          <w:b w:val="0"/>
          <w:color w:val="1A1A1A"/>
          <w:sz w:val="21"/>
        </w:rPr>
        <w:t>稳定性度量实现（集合 / 排序 / 成分）</w:t>
      </w:r>
    </w:p>
    <w:p>
      <w:pPr>
        <w:spacing w:after="80"/>
        <w:ind w:firstLine="420"/>
      </w:pPr>
      <w:r>
        <w:rPr>
          <w:rFonts w:ascii="Times New Roman" w:hAnsi="Times New Roman" w:eastAsia="宋体"/>
          <w:b w:val="0"/>
          <w:color w:val="1A1A1A"/>
          <w:sz w:val="21"/>
        </w:rPr>
        <w:t>↓</w:t>
      </w:r>
    </w:p>
    <w:p>
      <w:pPr>
        <w:spacing w:after="80"/>
        <w:ind w:firstLine="420"/>
      </w:pPr>
      <w:r>
        <w:rPr>
          <w:rFonts w:ascii="Times New Roman" w:hAnsi="Times New Roman" w:eastAsia="宋体"/>
          <w:b w:val="0"/>
          <w:color w:val="1A1A1A"/>
          <w:sz w:val="21"/>
        </w:rPr>
        <w:t>影响因素扫描（温度、提示、上下文、模型）</w:t>
      </w:r>
    </w:p>
    <w:p>
      <w:pPr>
        <w:spacing w:after="80"/>
        <w:ind w:firstLine="420"/>
      </w:pPr>
      <w:r>
        <w:rPr>
          <w:rFonts w:ascii="Times New Roman" w:hAnsi="Times New Roman" w:eastAsia="宋体"/>
          <w:b w:val="0"/>
          <w:color w:val="1A1A1A"/>
          <w:sz w:val="21"/>
        </w:rPr>
        <w:t>↓</w:t>
      </w:r>
    </w:p>
    <w:p>
      <w:pPr>
        <w:spacing w:after="80"/>
        <w:ind w:firstLine="420"/>
      </w:pPr>
      <w:r>
        <w:rPr>
          <w:rFonts w:ascii="Times New Roman" w:hAnsi="Times New Roman" w:eastAsia="宋体"/>
          <w:b w:val="0"/>
          <w:color w:val="1A1A1A"/>
          <w:sz w:val="21"/>
        </w:rPr>
        <w:t>稳定性—覆盖率曲线</w:t>
      </w:r>
    </w:p>
    <w:p>
      <w:pPr>
        <w:spacing w:after="80"/>
        <w:ind w:firstLine="420"/>
      </w:pPr>
      <w:r>
        <w:rPr>
          <w:rFonts w:ascii="Times New Roman" w:hAnsi="Times New Roman" w:eastAsia="宋体"/>
          <w:b w:val="0"/>
          <w:color w:val="1A1A1A"/>
          <w:sz w:val="21"/>
        </w:rPr>
        <w:t>↓</w:t>
      </w:r>
    </w:p>
    <w:p>
      <w:pPr>
        <w:spacing w:after="80"/>
        <w:ind w:firstLine="420"/>
      </w:pPr>
      <w:r>
        <w:rPr>
          <w:rFonts w:ascii="Times New Roman" w:hAnsi="Times New Roman" w:eastAsia="宋体"/>
          <w:b w:val="0"/>
          <w:color w:val="1A1A1A"/>
          <w:sz w:val="21"/>
        </w:rPr>
        <w:t>稳定化方法对比</w:t>
      </w:r>
    </w:p>
    <w:p>
      <w:pPr>
        <w:spacing w:after="80"/>
        <w:ind w:firstLine="420"/>
      </w:pPr>
      <w:r>
        <w:rPr>
          <w:rFonts w:ascii="Times New Roman" w:hAnsi="Times New Roman" w:eastAsia="宋体"/>
          <w:b w:val="0"/>
          <w:color w:val="1A1A1A"/>
          <w:sz w:val="21"/>
        </w:rPr>
        <w:t>↓</w:t>
      </w:r>
    </w:p>
    <w:p>
      <w:pPr>
        <w:spacing w:after="80"/>
        <w:ind w:firstLine="420"/>
      </w:pPr>
      <w:r>
        <w:rPr>
          <w:rFonts w:ascii="Times New Roman" w:hAnsi="Times New Roman" w:eastAsia="宋体"/>
          <w:b w:val="0"/>
          <w:color w:val="1A1A1A"/>
          <w:sz w:val="21"/>
        </w:rPr>
        <w:t>组合建议与消融</w:t>
      </w:r>
    </w:p>
    <w:p>
      <w:pPr>
        <w:spacing w:after="80"/>
        <w:ind w:firstLine="420"/>
      </w:pPr>
      <w:r>
        <w:rPr>
          <w:rFonts w:ascii="Consolas" w:hAnsi="Consolas" w:eastAsia="宋体"/>
          <w:b w:val="0"/>
          <w:color w:val="1A1A1A"/>
          <w:sz w:val="20"/>
        </w:rPr>
        <w:t>`</w:t>
      </w:r>
    </w:p>
    <w:p>
      <w:pPr>
        <w:spacing w:before="200" w:after="80"/>
      </w:pPr>
      <w:r>
        <w:rPr>
          <w:rFonts w:ascii="Times New Roman" w:hAnsi="Times New Roman" w:eastAsia="黑体"/>
          <w:b/>
          <w:color w:val="1B3A52"/>
          <w:sz w:val="23"/>
        </w:rPr>
        <w:t>4.6 敏感性扩展：邻域稳定重排（NSR）</w:t>
      </w:r>
    </w:p>
    <w:p>
      <w:pPr>
        <w:spacing w:after="80"/>
        <w:ind w:firstLine="420"/>
      </w:pPr>
      <w:r>
        <w:rPr>
          <w:rFonts w:ascii="Times New Roman" w:hAnsi="Times New Roman" w:eastAsia="宋体"/>
          <w:b w:val="0"/>
          <w:color w:val="1A1A1A"/>
          <w:sz w:val="21"/>
        </w:rPr>
        <w:t>稳定性回答「同一请求多次运行是否一致」，但不回答「目标微调后推荐是否合理变化」。后者是原报告 08 的内容，现并入本节。</w:t>
      </w:r>
    </w:p>
    <w:p>
      <w:pPr>
        <w:spacing w:after="80"/>
        <w:ind w:firstLine="420"/>
      </w:pPr>
      <w:r>
        <w:rPr>
          <w:rFonts w:ascii="Times New Roman" w:hAnsi="Times New Roman" w:eastAsia="宋体"/>
          <w:b/>
          <w:color w:val="1A1A1A"/>
          <w:sz w:val="21"/>
        </w:rPr>
        <w:t>定义</w:t>
      </w:r>
      <w:r>
        <w:rPr>
          <w:rFonts w:ascii="Times New Roman" w:hAnsi="Times New Roman" w:eastAsia="宋体"/>
          <w:b w:val="0"/>
          <w:color w:val="1A1A1A"/>
          <w:sz w:val="21"/>
        </w:rPr>
        <w:t>：设目标条件 c 与扰动 δ，c' = c + δ。模型在 c 与 c' 下分别给出 S(c) 与 S(c')，集合差异用 Δ = 1 − Jaccard(S(c), S(c')) 度量。</w:t>
      </w:r>
    </w:p>
    <w:p>
      <w:pPr>
        <w:spacing w:after="80"/>
        <w:ind w:firstLine="420"/>
      </w:pPr>
      <w:r>
        <w:rPr>
          <w:rFonts w:ascii="Times New Roman" w:hAnsi="Times New Roman" w:eastAsia="宋体"/>
          <w:b/>
          <w:color w:val="1A1A1A"/>
          <w:sz w:val="21"/>
        </w:rPr>
        <w:t>参照点</w:t>
      </w:r>
      <w:r>
        <w:rPr>
          <w:rFonts w:ascii="Times New Roman" w:hAnsi="Times New Roman" w:eastAsia="宋体"/>
          <w:b w:val="0"/>
          <w:color w:val="1A1A1A"/>
          <w:sz w:val="21"/>
        </w:rPr>
        <w:t>：不用 Δ/ρ 的比值——它缺少理论依据（为什么「推荐变化比例」应等于「目标区变化比例」），且 ρ→0 时爆炸。改用两种参照：</w:t>
      </w:r>
    </w:p>
    <w:p>
      <w:pPr>
        <w:pStyle w:val="ListBullet"/>
        <w:spacing w:line="336" w:lineRule="auto" w:after="40"/>
      </w:pPr>
      <w:r>
        <w:rPr>
          <w:rFonts w:ascii="Times New Roman" w:hAnsi="Times New Roman" w:eastAsia="宋体"/>
          <w:b/>
          <w:color w:val="1A1A1A"/>
          <w:sz w:val="21"/>
        </w:rPr>
        <w:t>二维分布</w:t>
      </w:r>
      <w:r>
        <w:rPr>
          <w:rFonts w:ascii="Times New Roman" w:hAnsi="Times New Roman" w:eastAsia="宋体"/>
          <w:b w:val="0"/>
          <w:color w:val="1A1A1A"/>
          <w:sz w:val="21"/>
        </w:rPr>
        <w:t>：报告 (ρ, Δ) 的散点与等值线，让读者看到联合关系；</w:t>
      </w:r>
    </w:p>
    <w:p>
      <w:pPr>
        <w:pStyle w:val="ListBullet"/>
        <w:spacing w:line="336" w:lineRule="auto" w:after="40"/>
      </w:pPr>
      <w:r>
        <w:rPr>
          <w:rFonts w:ascii="Times New Roman" w:hAnsi="Times New Roman" w:eastAsia="宋体"/>
          <w:b/>
          <w:color w:val="1A1A1A"/>
          <w:sz w:val="21"/>
        </w:rPr>
        <w:t>零模型 z-score</w:t>
      </w:r>
      <w:r>
        <w:rPr>
          <w:rFonts w:ascii="Times New Roman" w:hAnsi="Times New Roman" w:eastAsia="宋体"/>
          <w:b w:val="0"/>
          <w:color w:val="1A1A1A"/>
          <w:sz w:val="21"/>
        </w:rPr>
        <w:t>：在目标区 c 内随机重采样得到推荐集合，计算 Δ 的分布（μ₀, σ₀），把实际 Δ 标准化为 z = (Δ − μ₀)/σ₀。z &gt; 2 表示推荐变化显著超过「目标区内部随机性」所能解释的程度。</w:t>
      </w:r>
    </w:p>
    <w:p>
      <w:pPr>
        <w:spacing w:after="80"/>
        <w:ind w:firstLine="420"/>
      </w:pPr>
      <w:r>
        <w:rPr>
          <w:rFonts w:ascii="Times New Roman" w:hAnsi="Times New Roman" w:eastAsia="宋体"/>
          <w:b/>
          <w:color w:val="1A1A1A"/>
          <w:sz w:val="21"/>
        </w:rPr>
        <w:t>算法 NSR</w:t>
      </w:r>
      <w:r>
        <w:rPr>
          <w:rFonts w:ascii="Times New Roman" w:hAnsi="Times New Roman" w:eastAsia="宋体"/>
          <w:b w:val="0"/>
          <w:color w:val="1A1A1A"/>
          <w:sz w:val="21"/>
        </w:rPr>
        <w:t>：</w:t>
      </w:r>
    </w:p>
    <w:p>
      <w:pPr>
        <w:spacing w:after="80"/>
        <w:ind w:firstLine="420"/>
      </w:pPr>
      <w:r>
        <w:rPr>
          <w:rFonts w:ascii="Times New Roman" w:hAnsi="Times New Roman" w:eastAsia="宋体"/>
          <w:b w:val="0"/>
          <w:color w:val="1A1A1A"/>
          <w:sz w:val="21"/>
        </w:rPr>
        <w:t>1. 在 c、c−ε、c+ε 三个目标下各采样一次；</w:t>
      </w:r>
    </w:p>
    <w:p>
      <w:pPr>
        <w:spacing w:after="80"/>
        <w:ind w:firstLine="420"/>
      </w:pPr>
      <w:r>
        <w:rPr>
          <w:rFonts w:ascii="Times New Roman" w:hAnsi="Times New Roman" w:eastAsia="宋体"/>
          <w:b w:val="0"/>
          <w:color w:val="1A1A1A"/>
          <w:sz w:val="21"/>
        </w:rPr>
        <w:t>2. 对 S(c) 中每个候选 m，计算它在三个集合中出现的次数 occ(m)；</w:t>
      </w:r>
    </w:p>
    <w:p>
      <w:pPr>
        <w:spacing w:after="80"/>
        <w:ind w:firstLine="420"/>
      </w:pPr>
      <w:r>
        <w:rPr>
          <w:rFonts w:ascii="Times New Roman" w:hAnsi="Times New Roman" w:eastAsia="宋体"/>
          <w:b w:val="0"/>
          <w:color w:val="1A1A1A"/>
          <w:sz w:val="21"/>
        </w:rPr>
        <w:t>3. 按 occ(m) 降序重排；occ(m)=1 的候选保留但标注「仅在一个邻域出现」。</w:t>
      </w:r>
    </w:p>
    <w:p>
      <w:pPr>
        <w:spacing w:after="80"/>
        <w:ind w:firstLine="420"/>
      </w:pPr>
      <w:r>
        <w:rPr>
          <w:rFonts w:ascii="Times New Roman" w:hAnsi="Times New Roman" w:eastAsia="宋体"/>
          <w:b/>
          <w:color w:val="1A1A1A"/>
          <w:sz w:val="21"/>
        </w:rPr>
        <w:t>与鲁棒优化的区别</w:t>
      </w:r>
      <w:r>
        <w:rPr>
          <w:rFonts w:ascii="Times New Roman" w:hAnsi="Times New Roman" w:eastAsia="宋体"/>
          <w:b w:val="0"/>
          <w:color w:val="1A1A1A"/>
          <w:sz w:val="21"/>
        </w:rPr>
        <w:t>：Robust Satisficing BO 找「对最大扰动仍满足阈值」的单个解；NSR 不改变候选，只根据邻域出现频率重排，回答「哪些候选对目标微调不敏感」。这是排序问题，不是优化问题。</w:t>
      </w:r>
    </w:p>
    <w:p>
      <w:pPr>
        <w:spacing w:after="80"/>
        <w:ind w:firstLine="420"/>
      </w:pPr>
      <w:r>
        <w:rPr>
          <w:rFonts w:ascii="Times New Roman" w:hAnsi="Times New Roman" w:eastAsia="宋体"/>
          <w:b/>
          <w:color w:val="1A1A1A"/>
          <w:sz w:val="21"/>
        </w:rPr>
        <w:t>复杂度</w:t>
      </w:r>
      <w:r>
        <w:rPr>
          <w:rFonts w:ascii="Times New Roman" w:hAnsi="Times New Roman" w:eastAsia="宋体"/>
          <w:b w:val="0"/>
          <w:color w:val="1A1A1A"/>
          <w:sz w:val="21"/>
        </w:rPr>
        <w:t>：额外两次采样，O(N) 计数，毫秒级。</w:t>
      </w:r>
    </w:p>
    <w:p>
      <w:pPr>
        <w:spacing w:before="320" w:after="120"/>
      </w:pPr>
      <w:r>
        <w:rPr>
          <w:rFonts w:ascii="Times New Roman" w:hAnsi="Times New Roman" w:eastAsia="黑体"/>
          <w:b/>
          <w:color w:val="1B3A52"/>
          <w:sz w:val="30"/>
        </w:rPr>
        <w:t>5 实验设计</w:t>
      </w:r>
    </w:p>
    <w:p>
      <w:pPr>
        <w:spacing w:before="200" w:after="80"/>
      </w:pPr>
      <w:r>
        <w:rPr>
          <w:rFonts w:ascii="Times New Roman" w:hAnsi="Times New Roman" w:eastAsia="黑体"/>
          <w:b/>
          <w:color w:val="1B3A52"/>
          <w:sz w:val="23"/>
        </w:rPr>
        <w:t>5.1 数据与任务</w:t>
      </w:r>
    </w:p>
    <w:tbl>
      <w:tblPr>
        <w:tblStyle w:val="TableGrid"/>
        <w:tblW w:type="auto" w:w="0"/>
        <w:jc w:val="center"/>
        <w:tblLook w:firstColumn="1" w:firstRow="1" w:lastColumn="0" w:lastRow="0" w:noHBand="0" w:noVBand="1" w:val="04A0"/>
      </w:tblPr>
      <w:tblGrid>
        <w:gridCol w:w="2911"/>
        <w:gridCol w:w="2911"/>
        <w:gridCol w:w="2911"/>
      </w:tblGrid>
      <w:tr>
        <w:tc>
          <w:tcPr>
            <w:tcW w:type="dxa" w:w="2911"/>
          </w:tcPr>
          <w:p>
            <w:pPr>
              <w:spacing w:before="40" w:after="40" w:line="276" w:lineRule="auto"/>
            </w:pPr>
            <w:r/>
            <w:r>
              <w:rPr>
                <w:rFonts w:ascii="Times New Roman" w:hAnsi="Times New Roman" w:eastAsia="宋体"/>
                <w:b/>
                <w:color w:val="1A1A1A"/>
                <w:sz w:val="18"/>
              </w:rPr>
              <w:t>基准</w:t>
            </w:r>
          </w:p>
        </w:tc>
        <w:tc>
          <w:tcPr>
            <w:tcW w:type="dxa" w:w="2911"/>
          </w:tcPr>
          <w:p>
            <w:pPr>
              <w:spacing w:before="40" w:after="40" w:line="276" w:lineRule="auto"/>
            </w:pPr>
            <w:r/>
            <w:r>
              <w:rPr>
                <w:rFonts w:ascii="Times New Roman" w:hAnsi="Times New Roman" w:eastAsia="宋体"/>
                <w:b/>
                <w:color w:val="1A1A1A"/>
                <w:sz w:val="18"/>
              </w:rPr>
              <w:t>规模</w:t>
            </w:r>
          </w:p>
        </w:tc>
        <w:tc>
          <w:tcPr>
            <w:tcW w:type="dxa" w:w="2911"/>
          </w:tcPr>
          <w:p>
            <w:pPr>
              <w:spacing w:before="40" w:after="40" w:line="276" w:lineRule="auto"/>
            </w:pPr>
            <w:r/>
            <w:r>
              <w:rPr>
                <w:rFonts w:ascii="Times New Roman" w:hAnsi="Times New Roman" w:eastAsia="宋体"/>
                <w:b/>
                <w:color w:val="1A1A1A"/>
                <w:sz w:val="18"/>
              </w:rPr>
              <w:t>用途</w:t>
            </w:r>
          </w:p>
        </w:tc>
      </w:tr>
      <w:tr>
        <w:tc>
          <w:tcPr>
            <w:tcW w:type="dxa" w:w="2911"/>
          </w:tcPr>
          <w:p>
            <w:pPr>
              <w:spacing w:before="40" w:after="40" w:line="276" w:lineRule="auto"/>
            </w:pPr>
            <w:r/>
            <w:r>
              <w:rPr>
                <w:rFonts w:ascii="Times New Roman" w:hAnsi="Times New Roman" w:eastAsia="宋体"/>
                <w:b w:val="0"/>
                <w:color w:val="1A1A1A"/>
                <w:sz w:val="18"/>
              </w:rPr>
              <w:t>Elpasolite</w:t>
            </w:r>
          </w:p>
        </w:tc>
        <w:tc>
          <w:tcPr>
            <w:tcW w:type="dxa" w:w="2911"/>
          </w:tcPr>
          <w:p>
            <w:pPr>
              <w:spacing w:before="40" w:after="40" w:line="276" w:lineRule="auto"/>
            </w:pPr>
            <w:r/>
            <w:r>
              <w:rPr>
                <w:rFonts w:ascii="Times New Roman" w:hAnsi="Times New Roman" w:eastAsia="宋体"/>
                <w:b w:val="0"/>
                <w:color w:val="1A1A1A"/>
                <w:sz w:val="18"/>
              </w:rPr>
              <w:t>2×10⁶ 化学空间（ML 预测，MAE≈0.1 eV/atom）；约 10⁴ DFT 真值</w:t>
            </w:r>
          </w:p>
        </w:tc>
        <w:tc>
          <w:tcPr>
            <w:tcW w:type="dxa" w:w="2911"/>
          </w:tcPr>
          <w:p>
            <w:pPr>
              <w:spacing w:before="40" w:after="40" w:line="276" w:lineRule="auto"/>
            </w:pPr>
            <w:r/>
            <w:r>
              <w:rPr>
                <w:rFonts w:ascii="Times New Roman" w:hAnsi="Times New Roman" w:eastAsia="宋体"/>
                <w:b w:val="0"/>
                <w:color w:val="1A1A1A"/>
                <w:sz w:val="18"/>
              </w:rPr>
              <w:t>闭集评测只用 DFT 子集</w:t>
            </w:r>
          </w:p>
        </w:tc>
      </w:tr>
      <w:tr>
        <w:tc>
          <w:tcPr>
            <w:tcW w:type="dxa" w:w="2911"/>
          </w:tcPr>
          <w:p>
            <w:pPr>
              <w:spacing w:before="40" w:after="40" w:line="276" w:lineRule="auto"/>
            </w:pPr>
            <w:r/>
            <w:r>
              <w:rPr>
                <w:rFonts w:ascii="Times New Roman" w:hAnsi="Times New Roman" w:eastAsia="宋体"/>
                <w:b w:val="0"/>
                <w:color w:val="1A1A1A"/>
                <w:sz w:val="18"/>
              </w:rPr>
              <w:t>Materials Project 子集</w:t>
            </w:r>
          </w:p>
        </w:tc>
        <w:tc>
          <w:tcPr>
            <w:tcW w:type="dxa" w:w="2911"/>
          </w:tcPr>
          <w:p>
            <w:pPr>
              <w:spacing w:before="40" w:after="40" w:line="276" w:lineRule="auto"/>
            </w:pPr>
            <w:r/>
            <w:r>
              <w:rPr>
                <w:rFonts w:ascii="Times New Roman" w:hAnsi="Times New Roman" w:eastAsia="宋体"/>
                <w:b w:val="0"/>
                <w:color w:val="1A1A1A"/>
                <w:sz w:val="18"/>
              </w:rPr>
              <w:t>按体系选取</w:t>
            </w:r>
          </w:p>
        </w:tc>
        <w:tc>
          <w:tcPr>
            <w:tcW w:type="dxa" w:w="2911"/>
          </w:tcPr>
          <w:p>
            <w:pPr>
              <w:spacing w:before="40" w:after="40" w:line="276" w:lineRule="auto"/>
            </w:pPr>
            <w:r/>
            <w:r>
              <w:rPr>
                <w:rFonts w:ascii="Times New Roman" w:hAnsi="Times New Roman" w:eastAsia="宋体"/>
                <w:b w:val="0"/>
                <w:color w:val="1A1A1A"/>
                <w:sz w:val="18"/>
              </w:rPr>
              <w:t>开放集，检验泛化</w:t>
            </w:r>
          </w:p>
        </w:tc>
      </w:tr>
    </w:tbl>
    <w:p/>
    <w:p>
      <w:pPr>
        <w:spacing w:after="80"/>
        <w:ind w:firstLine="420"/>
      </w:pPr>
      <w:r>
        <w:rPr>
          <w:rFonts w:ascii="Times New Roman" w:hAnsi="Times New Roman" w:eastAsia="宋体"/>
          <w:b w:val="0"/>
          <w:color w:val="1A1A1A"/>
          <w:sz w:val="21"/>
        </w:rPr>
        <w:t>任务构造：从目标区随机抽取 200 个目标条件，每个条件形成一个请求；每个请求重复 K 次。</w:t>
      </w:r>
    </w:p>
    <w:p>
      <w:pPr>
        <w:spacing w:before="200" w:after="80"/>
      </w:pPr>
      <w:r>
        <w:rPr>
          <w:rFonts w:ascii="Times New Roman" w:hAnsi="Times New Roman" w:eastAsia="黑体"/>
          <w:b/>
          <w:color w:val="1B3A52"/>
          <w:sz w:val="23"/>
        </w:rPr>
        <w:t>5.2 对比基线</w:t>
      </w:r>
    </w:p>
    <w:tbl>
      <w:tblPr>
        <w:tblStyle w:val="TableGrid"/>
        <w:tblW w:type="auto" w:w="0"/>
        <w:jc w:val="center"/>
        <w:tblLook w:firstColumn="1" w:firstRow="1" w:lastColumn="0" w:lastRow="0" w:noHBand="0" w:noVBand="1" w:val="04A0"/>
      </w:tblPr>
      <w:tblGrid>
        <w:gridCol w:w="2911"/>
        <w:gridCol w:w="2911"/>
        <w:gridCol w:w="2911"/>
      </w:tblGrid>
      <w:tr>
        <w:tc>
          <w:tcPr>
            <w:tcW w:type="dxa" w:w="2911"/>
          </w:tcPr>
          <w:p>
            <w:pPr>
              <w:spacing w:before="40" w:after="40" w:line="276" w:lineRule="auto"/>
            </w:pPr>
            <w:r/>
            <w:r>
              <w:rPr>
                <w:rFonts w:ascii="Times New Roman" w:hAnsi="Times New Roman" w:eastAsia="宋体"/>
                <w:b/>
                <w:color w:val="1A1A1A"/>
                <w:sz w:val="18"/>
              </w:rPr>
              <w:t>编号</w:t>
            </w:r>
          </w:p>
        </w:tc>
        <w:tc>
          <w:tcPr>
            <w:tcW w:type="dxa" w:w="2911"/>
          </w:tcPr>
          <w:p>
            <w:pPr>
              <w:spacing w:before="40" w:after="40" w:line="276" w:lineRule="auto"/>
            </w:pPr>
            <w:r/>
            <w:r>
              <w:rPr>
                <w:rFonts w:ascii="Times New Roman" w:hAnsi="Times New Roman" w:eastAsia="宋体"/>
                <w:b/>
                <w:color w:val="1A1A1A"/>
                <w:sz w:val="18"/>
              </w:rPr>
              <w:t>配置</w:t>
            </w:r>
          </w:p>
        </w:tc>
        <w:tc>
          <w:tcPr>
            <w:tcW w:type="dxa" w:w="2911"/>
          </w:tcPr>
          <w:p>
            <w:pPr>
              <w:spacing w:before="40" w:after="40" w:line="276" w:lineRule="auto"/>
            </w:pPr>
            <w:r/>
            <w:r>
              <w:rPr>
                <w:rFonts w:ascii="Times New Roman" w:hAnsi="Times New Roman" w:eastAsia="宋体"/>
                <w:b/>
                <w:color w:val="1A1A1A"/>
                <w:sz w:val="18"/>
              </w:rPr>
              <w:t>说明</w:t>
            </w:r>
          </w:p>
        </w:tc>
      </w:tr>
      <w:tr>
        <w:tc>
          <w:tcPr>
            <w:tcW w:type="dxa" w:w="2911"/>
          </w:tcPr>
          <w:p>
            <w:pPr>
              <w:spacing w:before="40" w:after="40" w:line="276" w:lineRule="auto"/>
            </w:pPr>
            <w:r/>
            <w:r>
              <w:rPr>
                <w:rFonts w:ascii="Times New Roman" w:hAnsi="Times New Roman" w:eastAsia="宋体"/>
                <w:b w:val="0"/>
                <w:color w:val="1A1A1A"/>
                <w:sz w:val="18"/>
              </w:rPr>
              <w:t>B0</w:t>
            </w:r>
          </w:p>
        </w:tc>
        <w:tc>
          <w:tcPr>
            <w:tcW w:type="dxa" w:w="2911"/>
          </w:tcPr>
          <w:p>
            <w:pPr>
              <w:spacing w:before="40" w:after="40" w:line="276" w:lineRule="auto"/>
            </w:pPr>
            <w:r/>
            <w:r>
              <w:rPr>
                <w:rFonts w:ascii="Times New Roman" w:hAnsi="Times New Roman" w:eastAsia="宋体"/>
                <w:b w:val="0"/>
                <w:color w:val="1A1A1A"/>
                <w:sz w:val="18"/>
              </w:rPr>
              <w:t>默认温度、默认提示</w:t>
            </w:r>
          </w:p>
        </w:tc>
        <w:tc>
          <w:tcPr>
            <w:tcW w:type="dxa" w:w="2911"/>
          </w:tcPr>
          <w:p>
            <w:pPr>
              <w:spacing w:before="40" w:after="40" w:line="276" w:lineRule="auto"/>
            </w:pPr>
            <w:r/>
            <w:r>
              <w:rPr>
                <w:rFonts w:ascii="Times New Roman" w:hAnsi="Times New Roman" w:eastAsia="宋体"/>
                <w:b w:val="0"/>
                <w:color w:val="1A1A1A"/>
                <w:sz w:val="18"/>
              </w:rPr>
              <w:t>现状基线</w:t>
            </w:r>
          </w:p>
        </w:tc>
      </w:tr>
      <w:tr>
        <w:tc>
          <w:tcPr>
            <w:tcW w:type="dxa" w:w="2911"/>
          </w:tcPr>
          <w:p>
            <w:pPr>
              <w:spacing w:before="40" w:after="40" w:line="276" w:lineRule="auto"/>
            </w:pPr>
            <w:r/>
            <w:r>
              <w:rPr>
                <w:rFonts w:ascii="Times New Roman" w:hAnsi="Times New Roman" w:eastAsia="宋体"/>
                <w:b w:val="0"/>
                <w:color w:val="1A1A1A"/>
                <w:sz w:val="18"/>
              </w:rPr>
              <w:t>B1</w:t>
            </w:r>
          </w:p>
        </w:tc>
        <w:tc>
          <w:tcPr>
            <w:tcW w:type="dxa" w:w="2911"/>
          </w:tcPr>
          <w:p>
            <w:pPr>
              <w:spacing w:before="40" w:after="40" w:line="276" w:lineRule="auto"/>
            </w:pPr>
            <w:r/>
            <w:r>
              <w:rPr>
                <w:rFonts w:ascii="Times New Roman" w:hAnsi="Times New Roman" w:eastAsia="宋体"/>
                <w:b w:val="0"/>
                <w:color w:val="1A1A1A"/>
                <w:sz w:val="18"/>
              </w:rPr>
              <w:t>低温解码</w:t>
            </w:r>
          </w:p>
        </w:tc>
        <w:tc>
          <w:tcPr>
            <w:tcW w:type="dxa" w:w="2911"/>
          </w:tcPr>
          <w:p>
            <w:pPr>
              <w:spacing w:before="40" w:after="40" w:line="276" w:lineRule="auto"/>
            </w:pPr>
            <w:r/>
            <w:r>
              <w:rPr>
                <w:rFonts w:ascii="Times New Roman" w:hAnsi="Times New Roman" w:eastAsia="宋体"/>
                <w:b w:val="0"/>
                <w:color w:val="1A1A1A"/>
                <w:sz w:val="18"/>
              </w:rPr>
              <w:t>最直接的稳定化</w:t>
            </w:r>
          </w:p>
        </w:tc>
      </w:tr>
      <w:tr>
        <w:tc>
          <w:tcPr>
            <w:tcW w:type="dxa" w:w="2911"/>
          </w:tcPr>
          <w:p>
            <w:pPr>
              <w:spacing w:before="40" w:after="40" w:line="276" w:lineRule="auto"/>
            </w:pPr>
            <w:r/>
            <w:r>
              <w:rPr>
                <w:rFonts w:ascii="Times New Roman" w:hAnsi="Times New Roman" w:eastAsia="宋体"/>
                <w:b w:val="0"/>
                <w:color w:val="1A1A1A"/>
                <w:sz w:val="18"/>
              </w:rPr>
              <w:t>B2</w:t>
            </w:r>
          </w:p>
        </w:tc>
        <w:tc>
          <w:tcPr>
            <w:tcW w:type="dxa" w:w="2911"/>
          </w:tcPr>
          <w:p>
            <w:pPr>
              <w:spacing w:before="40" w:after="40" w:line="276" w:lineRule="auto"/>
            </w:pPr>
            <w:r/>
            <w:r>
              <w:rPr>
                <w:rFonts w:ascii="Times New Roman" w:hAnsi="Times New Roman" w:eastAsia="宋体"/>
                <w:b w:val="0"/>
                <w:color w:val="1A1A1A"/>
                <w:sz w:val="18"/>
              </w:rPr>
              <w:t>多次采样投票</w:t>
            </w:r>
          </w:p>
        </w:tc>
        <w:tc>
          <w:tcPr>
            <w:tcW w:type="dxa" w:w="2911"/>
          </w:tcPr>
          <w:p>
            <w:pPr>
              <w:spacing w:before="40" w:after="40" w:line="276" w:lineRule="auto"/>
            </w:pPr>
            <w:r/>
            <w:r>
              <w:rPr>
                <w:rFonts w:ascii="Times New Roman" w:hAnsi="Times New Roman" w:eastAsia="宋体"/>
                <w:b w:val="0"/>
                <w:color w:val="1A1A1A"/>
                <w:sz w:val="18"/>
              </w:rPr>
              <w:t>用计算换稳定</w:t>
            </w:r>
          </w:p>
        </w:tc>
      </w:tr>
      <w:tr>
        <w:tc>
          <w:tcPr>
            <w:tcW w:type="dxa" w:w="2911"/>
          </w:tcPr>
          <w:p>
            <w:pPr>
              <w:spacing w:before="40" w:after="40" w:line="276" w:lineRule="auto"/>
            </w:pPr>
            <w:r/>
            <w:r>
              <w:rPr>
                <w:rFonts w:ascii="Times New Roman" w:hAnsi="Times New Roman" w:eastAsia="宋体"/>
                <w:b w:val="0"/>
                <w:color w:val="1A1A1A"/>
                <w:sz w:val="18"/>
              </w:rPr>
              <w:t>B3</w:t>
            </w:r>
          </w:p>
        </w:tc>
        <w:tc>
          <w:tcPr>
            <w:tcW w:type="dxa" w:w="2911"/>
          </w:tcPr>
          <w:p>
            <w:pPr>
              <w:spacing w:before="40" w:after="40" w:line="276" w:lineRule="auto"/>
            </w:pPr>
            <w:r/>
            <w:r>
              <w:rPr>
                <w:rFonts w:ascii="Times New Roman" w:hAnsi="Times New Roman" w:eastAsia="宋体"/>
                <w:b w:val="0"/>
                <w:color w:val="1A1A1A"/>
                <w:sz w:val="18"/>
              </w:rPr>
              <w:t>约束解码</w:t>
            </w:r>
          </w:p>
        </w:tc>
        <w:tc>
          <w:tcPr>
            <w:tcW w:type="dxa" w:w="2911"/>
          </w:tcPr>
          <w:p>
            <w:pPr>
              <w:spacing w:before="40" w:after="40" w:line="276" w:lineRule="auto"/>
            </w:pPr>
            <w:r/>
            <w:r>
              <w:rPr>
                <w:rFonts w:ascii="Times New Roman" w:hAnsi="Times New Roman" w:eastAsia="宋体"/>
                <w:b w:val="0"/>
                <w:color w:val="1A1A1A"/>
                <w:sz w:val="18"/>
              </w:rPr>
              <w:t>缩小可行域</w:t>
            </w:r>
          </w:p>
        </w:tc>
      </w:tr>
      <w:tr>
        <w:tc>
          <w:tcPr>
            <w:tcW w:type="dxa" w:w="2911"/>
          </w:tcPr>
          <w:p>
            <w:pPr>
              <w:spacing w:before="40" w:after="40" w:line="276" w:lineRule="auto"/>
            </w:pPr>
            <w:r/>
            <w:r>
              <w:rPr>
                <w:rFonts w:ascii="Times New Roman" w:hAnsi="Times New Roman" w:eastAsia="宋体"/>
                <w:b w:val="0"/>
                <w:color w:val="1A1A1A"/>
                <w:sz w:val="18"/>
              </w:rPr>
              <w:t>B4</w:t>
            </w:r>
          </w:p>
        </w:tc>
        <w:tc>
          <w:tcPr>
            <w:tcW w:type="dxa" w:w="2911"/>
          </w:tcPr>
          <w:p>
            <w:pPr>
              <w:spacing w:before="40" w:after="40" w:line="276" w:lineRule="auto"/>
            </w:pPr>
            <w:r/>
            <w:r>
              <w:rPr>
                <w:rFonts w:ascii="Times New Roman" w:hAnsi="Times New Roman" w:eastAsia="宋体"/>
                <w:b w:val="0"/>
                <w:color w:val="1A1A1A"/>
                <w:sz w:val="18"/>
              </w:rPr>
              <w:t>提示规范化</w:t>
            </w:r>
          </w:p>
        </w:tc>
        <w:tc>
          <w:tcPr>
            <w:tcW w:type="dxa" w:w="2911"/>
          </w:tcPr>
          <w:p>
            <w:pPr>
              <w:spacing w:before="40" w:after="40" w:line="276" w:lineRule="auto"/>
            </w:pPr>
            <w:r/>
            <w:r>
              <w:rPr>
                <w:rFonts w:ascii="Times New Roman" w:hAnsi="Times New Roman" w:eastAsia="宋体"/>
                <w:b w:val="0"/>
                <w:color w:val="1A1A1A"/>
                <w:sz w:val="18"/>
              </w:rPr>
              <w:t>消除措辞影响</w:t>
            </w:r>
          </w:p>
        </w:tc>
      </w:tr>
      <w:tr>
        <w:tc>
          <w:tcPr>
            <w:tcW w:type="dxa" w:w="2911"/>
          </w:tcPr>
          <w:p>
            <w:pPr>
              <w:spacing w:before="40" w:after="40" w:line="276" w:lineRule="auto"/>
            </w:pPr>
            <w:r/>
            <w:r>
              <w:rPr>
                <w:rFonts w:ascii="Times New Roman" w:hAnsi="Times New Roman" w:eastAsia="宋体"/>
                <w:b w:val="0"/>
                <w:color w:val="1A1A1A"/>
                <w:sz w:val="18"/>
              </w:rPr>
              <w:t>B5</w:t>
            </w:r>
          </w:p>
        </w:tc>
        <w:tc>
          <w:tcPr>
            <w:tcW w:type="dxa" w:w="2911"/>
          </w:tcPr>
          <w:p>
            <w:pPr>
              <w:spacing w:before="40" w:after="40" w:line="276" w:lineRule="auto"/>
            </w:pPr>
            <w:r/>
            <w:r>
              <w:rPr>
                <w:rFonts w:ascii="Times New Roman" w:hAnsi="Times New Roman" w:eastAsia="宋体"/>
                <w:b w:val="0"/>
                <w:color w:val="1A1A1A"/>
                <w:sz w:val="18"/>
              </w:rPr>
              <w:t>组合策略</w:t>
            </w:r>
          </w:p>
        </w:tc>
        <w:tc>
          <w:tcPr>
            <w:tcW w:type="dxa" w:w="2911"/>
          </w:tcPr>
          <w:p>
            <w:pPr>
              <w:spacing w:before="40" w:after="40" w:line="276" w:lineRule="auto"/>
            </w:pPr>
            <w:r/>
            <w:r>
              <w:rPr>
                <w:rFonts w:ascii="Times New Roman" w:hAnsi="Times New Roman" w:eastAsia="宋体"/>
                <w:b w:val="0"/>
                <w:color w:val="1A1A1A"/>
                <w:sz w:val="18"/>
              </w:rPr>
              <w:t>本文建议</w:t>
            </w:r>
          </w:p>
        </w:tc>
      </w:tr>
    </w:tbl>
    <w:p/>
    <w:p>
      <w:pPr>
        <w:spacing w:before="200" w:after="80"/>
      </w:pPr>
      <w:r>
        <w:rPr>
          <w:rFonts w:ascii="Times New Roman" w:hAnsi="Times New Roman" w:eastAsia="黑体"/>
          <w:b/>
          <w:color w:val="1B3A52"/>
          <w:sz w:val="23"/>
        </w:rPr>
        <w:t>5.3 评价指标</w:t>
      </w:r>
    </w:p>
    <w:p>
      <w:pPr>
        <w:pStyle w:val="ListBullet"/>
        <w:spacing w:line="336" w:lineRule="auto" w:after="40"/>
      </w:pPr>
      <w:r>
        <w:rPr>
          <w:rFonts w:ascii="Times New Roman" w:hAnsi="Times New Roman" w:eastAsia="宋体"/>
          <w:b w:val="0"/>
          <w:color w:val="1A1A1A"/>
          <w:sz w:val="21"/>
        </w:rPr>
        <w:t>集合一致性 J_set</w:t>
      </w:r>
    </w:p>
    <w:p>
      <w:pPr>
        <w:pStyle w:val="ListBullet"/>
        <w:spacing w:line="336" w:lineRule="auto" w:after="40"/>
      </w:pPr>
      <w:r>
        <w:rPr>
          <w:rFonts w:ascii="Times New Roman" w:hAnsi="Times New Roman" w:eastAsia="宋体"/>
          <w:b w:val="0"/>
          <w:color w:val="1A1A1A"/>
          <w:sz w:val="21"/>
        </w:rPr>
        <w:t>排序一致性（若适用）</w:t>
      </w:r>
    </w:p>
    <w:p>
      <w:pPr>
        <w:pStyle w:val="ListBullet"/>
        <w:spacing w:line="336" w:lineRule="auto" w:after="40"/>
      </w:pPr>
      <w:r>
        <w:rPr>
          <w:rFonts w:ascii="Times New Roman" w:hAnsi="Times New Roman" w:eastAsia="宋体"/>
          <w:b w:val="0"/>
          <w:color w:val="1A1A1A"/>
          <w:sz w:val="21"/>
        </w:rPr>
        <w:t>成分一致性（平均最近距离）</w:t>
      </w:r>
    </w:p>
    <w:p>
      <w:pPr>
        <w:pStyle w:val="ListBullet"/>
        <w:spacing w:line="336" w:lineRule="auto" w:after="40"/>
      </w:pPr>
      <w:r>
        <w:rPr>
          <w:rFonts w:ascii="Times New Roman" w:hAnsi="Times New Roman" w:eastAsia="宋体"/>
          <w:b w:val="0"/>
          <w:color w:val="1A1A1A"/>
          <w:sz w:val="21"/>
        </w:rPr>
        <w:t>覆盖率（与稳定性联合报告）</w:t>
      </w:r>
    </w:p>
    <w:p>
      <w:pPr>
        <w:pStyle w:val="ListBullet"/>
        <w:spacing w:line="336" w:lineRule="auto" w:after="40"/>
      </w:pPr>
      <w:r>
        <w:rPr>
          <w:rFonts w:ascii="Times New Roman" w:hAnsi="Times New Roman" w:eastAsia="宋体"/>
          <w:b w:val="0"/>
          <w:color w:val="1A1A1A"/>
          <w:sz w:val="21"/>
        </w:rPr>
        <w:t>计算成本（K 次运行的墙钟时间与费用）</w:t>
      </w:r>
    </w:p>
    <w:p>
      <w:pPr>
        <w:spacing w:before="200" w:after="80"/>
      </w:pPr>
      <w:r>
        <w:rPr>
          <w:rFonts w:ascii="Times New Roman" w:hAnsi="Times New Roman" w:eastAsia="黑体"/>
          <w:b/>
          <w:color w:val="1B3A52"/>
          <w:sz w:val="23"/>
        </w:rPr>
        <w:t>5.4 消融</w:t>
      </w:r>
    </w:p>
    <w:p>
      <w:pPr>
        <w:pStyle w:val="ListBullet"/>
        <w:spacing w:line="336" w:lineRule="auto" w:after="40"/>
      </w:pPr>
      <w:r>
        <w:rPr>
          <w:rFonts w:ascii="Times New Roman" w:hAnsi="Times New Roman" w:eastAsia="宋体"/>
          <w:b w:val="0"/>
          <w:color w:val="1A1A1A"/>
          <w:sz w:val="21"/>
        </w:rPr>
        <w:t>重复次数 K 的影响</w:t>
      </w:r>
    </w:p>
    <w:p>
      <w:pPr>
        <w:pStyle w:val="ListBullet"/>
        <w:spacing w:line="336" w:lineRule="auto" w:after="40"/>
      </w:pPr>
      <w:r>
        <w:rPr>
          <w:rFonts w:ascii="Times New Roman" w:hAnsi="Times New Roman" w:eastAsia="宋体"/>
          <w:b w:val="0"/>
          <w:color w:val="1A1A1A"/>
          <w:sz w:val="21"/>
        </w:rPr>
        <w:t>温度与 top-p 的交互</w:t>
      </w:r>
    </w:p>
    <w:p>
      <w:pPr>
        <w:pStyle w:val="ListBullet"/>
        <w:spacing w:line="336" w:lineRule="auto" w:after="40"/>
      </w:pPr>
      <w:r>
        <w:rPr>
          <w:rFonts w:ascii="Times New Roman" w:hAnsi="Times New Roman" w:eastAsia="宋体"/>
          <w:b w:val="0"/>
          <w:color w:val="1A1A1A"/>
          <w:sz w:val="21"/>
        </w:rPr>
        <w:t>提示措辞的三种变体</w:t>
      </w:r>
    </w:p>
    <w:p>
      <w:pPr>
        <w:pStyle w:val="ListBullet"/>
        <w:spacing w:line="336" w:lineRule="auto" w:after="40"/>
      </w:pPr>
      <w:r>
        <w:rPr>
          <w:rFonts w:ascii="Times New Roman" w:hAnsi="Times New Roman" w:eastAsia="宋体"/>
          <w:b w:val="0"/>
          <w:color w:val="1A1A1A"/>
          <w:sz w:val="21"/>
        </w:rPr>
        <w:t>模型规模与稳定性的关系</w:t>
      </w:r>
    </w:p>
    <w:p>
      <w:pPr>
        <w:spacing w:before="200" w:after="80"/>
      </w:pPr>
      <w:r>
        <w:rPr>
          <w:rFonts w:ascii="Times New Roman" w:hAnsi="Times New Roman" w:eastAsia="黑体"/>
          <w:b/>
          <w:color w:val="1B3A52"/>
          <w:sz w:val="23"/>
        </w:rPr>
        <w:t>5.5 敏感性实验</w:t>
      </w:r>
    </w:p>
    <w:p>
      <w:pPr>
        <w:spacing w:after="80"/>
        <w:ind w:firstLine="420"/>
      </w:pPr>
      <w:r>
        <w:rPr>
          <w:rFonts w:ascii="Times New Roman" w:hAnsi="Times New Roman" w:eastAsia="宋体"/>
          <w:b/>
          <w:color w:val="1A1A1A"/>
          <w:sz w:val="21"/>
        </w:rPr>
        <w:t>扰动网格</w:t>
      </w:r>
      <w:r>
        <w:rPr>
          <w:rFonts w:ascii="Times New Roman" w:hAnsi="Times New Roman" w:eastAsia="宋体"/>
          <w:b w:val="0"/>
          <w:color w:val="1A1A1A"/>
          <w:sz w:val="21"/>
        </w:rPr>
        <w:t>：带隙下限 ±0.1/±0.2/±0.5 eV、形成能上限 ±0.1/±0.2 eV/atom、元素限制增删，共约数百对请求。</w:t>
      </w:r>
    </w:p>
    <w:p>
      <w:pPr>
        <w:spacing w:after="80"/>
        <w:ind w:firstLine="420"/>
      </w:pPr>
      <w:r>
        <w:rPr>
          <w:rFonts w:ascii="Times New Roman" w:hAnsi="Times New Roman" w:eastAsia="宋体"/>
          <w:b/>
          <w:color w:val="1A1A1A"/>
          <w:sz w:val="21"/>
        </w:rPr>
        <w:t>流程</w:t>
      </w:r>
      <w:r>
        <w:rPr>
          <w:rFonts w:ascii="Times New Roman" w:hAnsi="Times New Roman" w:eastAsia="宋体"/>
          <w:b w:val="0"/>
          <w:color w:val="1A1A1A"/>
          <w:sz w:val="21"/>
        </w:rPr>
        <w:t>：先在 c 与 c' 上各运行 K 次确认稳定性足够（否则先解决稳定性），再计算 Δ、ρ 与零模型 z。</w:t>
      </w:r>
    </w:p>
    <w:p>
      <w:pPr>
        <w:spacing w:after="80"/>
        <w:ind w:firstLine="420"/>
      </w:pPr>
      <w:r>
        <w:rPr>
          <w:rFonts w:ascii="Times New Roman" w:hAnsi="Times New Roman" w:eastAsia="宋体"/>
          <w:b/>
          <w:color w:val="1A1A1A"/>
          <w:sz w:val="21"/>
        </w:rPr>
        <w:t>对比</w:t>
      </w:r>
      <w:r>
        <w:rPr>
          <w:rFonts w:ascii="Times New Roman" w:hAnsi="Times New Roman" w:eastAsia="宋体"/>
          <w:b w:val="0"/>
          <w:color w:val="1A1A1A"/>
          <w:sz w:val="21"/>
        </w:rPr>
        <w:t>：不重排、只按模型分数排序、NSR 重排三种；若重排后 z 向 0 移动而覆盖率下降超过 10%，判定为不可接受的权衡。</w:t>
      </w:r>
    </w:p>
    <w:p>
      <w:pPr>
        <w:spacing w:after="80"/>
        <w:ind w:firstLine="420"/>
      </w:pPr>
      <w:r>
        <w:rPr>
          <w:rFonts w:ascii="Times New Roman" w:hAnsi="Times New Roman" w:eastAsia="宋体"/>
          <w:b/>
          <w:color w:val="1A1A1A"/>
          <w:sz w:val="21"/>
        </w:rPr>
        <w:t>指标</w:t>
      </w:r>
      <w:r>
        <w:rPr>
          <w:rFonts w:ascii="Times New Roman" w:hAnsi="Times New Roman" w:eastAsia="宋体"/>
          <w:b w:val="0"/>
          <w:color w:val="1A1A1A"/>
          <w:sz w:val="21"/>
        </w:rPr>
        <w:t>：零模型 z-score（核心）、过度敏感比例（z &gt; 2）、过度迟钝比例（z &lt; 0.2）、覆盖率。</w:t>
      </w:r>
    </w:p>
    <w:p>
      <w:pPr>
        <w:spacing w:before="320" w:after="120"/>
      </w:pPr>
      <w:r>
        <w:rPr>
          <w:rFonts w:ascii="Times New Roman" w:hAnsi="Times New Roman" w:eastAsia="黑体"/>
          <w:b/>
          <w:color w:val="1B3A52"/>
          <w:sz w:val="30"/>
        </w:rPr>
        <w:t>6 特色与创新</w:t>
      </w:r>
    </w:p>
    <w:p>
      <w:pPr>
        <w:spacing w:after="80"/>
        <w:ind w:firstLine="420"/>
      </w:pPr>
      <w:r>
        <w:rPr>
          <w:rFonts w:ascii="Times New Roman" w:hAnsi="Times New Roman" w:eastAsia="宋体"/>
          <w:b/>
          <w:color w:val="1A1A1A"/>
          <w:sz w:val="21"/>
        </w:rPr>
        <w:t>算法创新：成分聚类共识（CCC）。</w:t>
      </w:r>
      <w:r>
        <w:rPr>
          <w:rFonts w:ascii="Times New Roman" w:hAnsi="Times New Roman" w:eastAsia="宋体"/>
          <w:b w:val="0"/>
          <w:color w:val="1A1A1A"/>
          <w:sz w:val="21"/>
        </w:rPr>
        <w:t xml:space="preserve"> 现有自一致性与投票机制针对单答案任务；材料逆向设计输出候选集合，需要集合级共识。CCC 用成分距离把跨运行的候选聚类，按运行覆盖数筛选——这不是对答案投票，而是对集合做聚类。实现约 100 行，验证方式是在相同采样次数下比较 Jaccard 与覆盖率，并做阈值 θ 的敏感性分析。</w:t>
      </w:r>
    </w:p>
    <w:p>
      <w:pPr>
        <w:spacing w:after="80"/>
        <w:ind w:firstLine="420"/>
      </w:pPr>
      <w:r>
        <w:rPr>
          <w:rFonts w:ascii="Times New Roman" w:hAnsi="Times New Roman" w:eastAsia="宋体"/>
          <w:b/>
          <w:color w:val="1A1A1A"/>
          <w:sz w:val="21"/>
        </w:rPr>
        <w:t>算法创新：邻域稳定重排（NSR）。</w:t>
      </w:r>
      <w:r>
        <w:rPr>
          <w:rFonts w:ascii="Times New Roman" w:hAnsi="Times New Roman" w:eastAsia="宋体"/>
          <w:b w:val="0"/>
          <w:color w:val="1A1A1A"/>
          <w:sz w:val="21"/>
        </w:rPr>
        <w:t xml:space="preserve"> 稳定性只管「同一请求多次运行」，不管「目标微调后推荐是否合理变化」。NSR 用「候选在邻域目标下是否也出现」重排列表，并用零模型 z-score 给出参照点——不用 Δ/ρ 的比值，因为它依赖「线性响应」这个未论证的假设。实现约 80 行，验证方式是 z 与覆盖率的对比。</w:t>
      </w:r>
    </w:p>
    <w:p>
      <w:pPr>
        <w:spacing w:after="80"/>
        <w:ind w:firstLine="420"/>
      </w:pPr>
      <w:r>
        <w:rPr>
          <w:rFonts w:ascii="Times New Roman" w:hAnsi="Times New Roman" w:eastAsia="宋体"/>
          <w:b/>
          <w:color w:val="1A1A1A"/>
          <w:sz w:val="21"/>
        </w:rPr>
        <w:t>评测创新：首个材料逆向设计的稳定性评测。</w:t>
      </w:r>
      <w:r>
        <w:rPr>
          <w:rFonts w:ascii="Times New Roman" w:hAnsi="Times New Roman" w:eastAsia="宋体"/>
          <w:b w:val="0"/>
          <w:color w:val="1A1A1A"/>
          <w:sz w:val="21"/>
        </w:rPr>
        <w:t xml:space="preserve"> 现有材料基准只报告单次运行的质量 [4, 5]，本课题把跨运行方差作为一等指标，并给出与材料语义对齐的三种一致性度量。</w:t>
      </w:r>
    </w:p>
    <w:p>
      <w:pPr>
        <w:spacing w:after="80"/>
        <w:ind w:firstLine="420"/>
      </w:pPr>
      <w:r>
        <w:rPr>
          <w:rFonts w:ascii="Times New Roman" w:hAnsi="Times New Roman" w:eastAsia="宋体"/>
          <w:b/>
          <w:color w:val="1A1A1A"/>
          <w:sz w:val="21"/>
        </w:rPr>
        <w:t>方法创新：条件稳定性。</w:t>
      </w:r>
      <w:r>
        <w:rPr>
          <w:rFonts w:ascii="Times New Roman" w:hAnsi="Times New Roman" w:eastAsia="宋体"/>
          <w:b w:val="0"/>
          <w:color w:val="1A1A1A"/>
          <w:sz w:val="21"/>
        </w:rPr>
        <w:t xml:space="preserve"> 只在都正确的推荐之间比较一致性，避免把「合理的多样性」误判为「不稳定」。这个区分在通用稳定性研究中没有对应处理 [1, 3]。</w:t>
      </w:r>
    </w:p>
    <w:p>
      <w:pPr>
        <w:spacing w:before="320" w:after="120"/>
      </w:pPr>
      <w:r>
        <w:rPr>
          <w:rFonts w:ascii="Times New Roman" w:hAnsi="Times New Roman" w:eastAsia="黑体"/>
          <w:b/>
          <w:color w:val="1B3A52"/>
          <w:sz w:val="30"/>
        </w:rPr>
        <w:t>7 预期成果</w:t>
      </w:r>
    </w:p>
    <w:p>
      <w:pPr>
        <w:spacing w:after="80"/>
        <w:ind w:firstLine="420"/>
      </w:pPr>
      <w:r>
        <w:rPr>
          <w:rFonts w:ascii="Times New Roman" w:hAnsi="Times New Roman" w:eastAsia="宋体"/>
          <w:b w:val="0"/>
          <w:color w:val="1A1A1A"/>
          <w:sz w:val="21"/>
        </w:rPr>
        <w:t>1. 硕士学位论文一篇。</w:t>
      </w:r>
    </w:p>
    <w:p>
      <w:pPr>
        <w:spacing w:after="80"/>
        <w:ind w:firstLine="420"/>
      </w:pPr>
      <w:r>
        <w:rPr>
          <w:rFonts w:ascii="Times New Roman" w:hAnsi="Times New Roman" w:eastAsia="宋体"/>
          <w:b w:val="0"/>
          <w:color w:val="1A1A1A"/>
          <w:sz w:val="21"/>
        </w:rPr>
        <w:t>2. SCI 论文一篇，拟投 npj Computational Materials、Journal of Chemical Information and Modeling 或 Digital Discovery。</w:t>
      </w:r>
    </w:p>
    <w:p>
      <w:pPr>
        <w:spacing w:after="80"/>
        <w:ind w:firstLine="420"/>
      </w:pPr>
      <w:r>
        <w:rPr>
          <w:rFonts w:ascii="Times New Roman" w:hAnsi="Times New Roman" w:eastAsia="宋体"/>
          <w:b w:val="0"/>
          <w:color w:val="1A1A1A"/>
          <w:sz w:val="21"/>
        </w:rPr>
        <w:t>3. 开源评测工具：稳定性度量与稳定化配置。</w:t>
      </w:r>
    </w:p>
    <w:p>
      <w:pPr>
        <w:spacing w:after="80"/>
        <w:ind w:firstLine="420"/>
      </w:pPr>
      <w:r>
        <w:rPr>
          <w:rFonts w:ascii="Times New Roman" w:hAnsi="Times New Roman" w:eastAsia="宋体"/>
          <w:b w:val="0"/>
          <w:color w:val="1A1A1A"/>
          <w:sz w:val="21"/>
        </w:rPr>
        <w:t>4. 可复现的稳定性—覆盖率结果表。</w:t>
      </w:r>
    </w:p>
    <w:p>
      <w:pPr>
        <w:spacing w:before="320" w:after="120"/>
      </w:pPr>
      <w:r>
        <w:rPr>
          <w:rFonts w:ascii="Times New Roman" w:hAnsi="Times New Roman" w:eastAsia="黑体"/>
          <w:b/>
          <w:color w:val="1B3A52"/>
          <w:sz w:val="30"/>
        </w:rPr>
        <w:t>8 进度安排</w:t>
      </w:r>
    </w:p>
    <w:tbl>
      <w:tblPr>
        <w:tblStyle w:val="TableGrid"/>
        <w:tblW w:type="auto" w:w="0"/>
        <w:jc w:val="center"/>
        <w:tblLook w:firstColumn="1" w:firstRow="1" w:lastColumn="0" w:lastRow="0" w:noHBand="0" w:noVBand="1" w:val="04A0"/>
      </w:tblPr>
      <w:tblGrid>
        <w:gridCol w:w="2183"/>
        <w:gridCol w:w="2183"/>
        <w:gridCol w:w="2183"/>
        <w:gridCol w:w="2183"/>
      </w:tblGrid>
      <w:tr>
        <w:tc>
          <w:tcPr>
            <w:tcW w:type="dxa" w:w="2183"/>
          </w:tcPr>
          <w:p>
            <w:pPr>
              <w:spacing w:before="40" w:after="40" w:line="276" w:lineRule="auto"/>
            </w:pPr>
            <w:r/>
            <w:r>
              <w:rPr>
                <w:rFonts w:ascii="Times New Roman" w:hAnsi="Times New Roman" w:eastAsia="宋体"/>
                <w:b/>
                <w:color w:val="1A1A1A"/>
                <w:sz w:val="18"/>
              </w:rPr>
              <w:t>阶段</w:t>
            </w:r>
          </w:p>
        </w:tc>
        <w:tc>
          <w:tcPr>
            <w:tcW w:type="dxa" w:w="2183"/>
          </w:tcPr>
          <w:p>
            <w:pPr>
              <w:spacing w:before="40" w:after="40" w:line="276" w:lineRule="auto"/>
            </w:pPr>
            <w:r/>
            <w:r>
              <w:rPr>
                <w:rFonts w:ascii="Times New Roman" w:hAnsi="Times New Roman" w:eastAsia="宋体"/>
                <w:b/>
                <w:color w:val="1A1A1A"/>
                <w:sz w:val="18"/>
              </w:rPr>
              <w:t>时间</w:t>
            </w:r>
          </w:p>
        </w:tc>
        <w:tc>
          <w:tcPr>
            <w:tcW w:type="dxa" w:w="2183"/>
          </w:tcPr>
          <w:p>
            <w:pPr>
              <w:spacing w:before="40" w:after="40" w:line="276" w:lineRule="auto"/>
            </w:pPr>
            <w:r/>
            <w:r>
              <w:rPr>
                <w:rFonts w:ascii="Times New Roman" w:hAnsi="Times New Roman" w:eastAsia="宋体"/>
                <w:b/>
                <w:color w:val="1A1A1A"/>
                <w:sz w:val="18"/>
              </w:rPr>
              <w:t>主要工作</w:t>
            </w:r>
          </w:p>
        </w:tc>
        <w:tc>
          <w:tcPr>
            <w:tcW w:type="dxa" w:w="2183"/>
          </w:tcPr>
          <w:p>
            <w:pPr>
              <w:spacing w:before="40" w:after="40" w:line="276" w:lineRule="auto"/>
            </w:pPr>
            <w:r/>
            <w:r>
              <w:rPr>
                <w:rFonts w:ascii="Times New Roman" w:hAnsi="Times New Roman" w:eastAsia="宋体"/>
                <w:b/>
                <w:color w:val="1A1A1A"/>
                <w:sz w:val="18"/>
              </w:rPr>
              <w:t>里程碑与判据</w:t>
            </w:r>
          </w:p>
        </w:tc>
      </w:tr>
      <w:tr>
        <w:tc>
          <w:tcPr>
            <w:tcW w:type="dxa" w:w="2183"/>
          </w:tcPr>
          <w:p>
            <w:pPr>
              <w:spacing w:before="40" w:after="40" w:line="276" w:lineRule="auto"/>
            </w:pPr>
            <w:r/>
            <w:r>
              <w:rPr>
                <w:rFonts w:ascii="Times New Roman" w:hAnsi="Times New Roman" w:eastAsia="宋体"/>
                <w:b w:val="0"/>
                <w:color w:val="1A1A1A"/>
                <w:sz w:val="18"/>
              </w:rPr>
              <w:t>第一阶段</w:t>
            </w:r>
          </w:p>
        </w:tc>
        <w:tc>
          <w:tcPr>
            <w:tcW w:type="dxa" w:w="2183"/>
          </w:tcPr>
          <w:p>
            <w:pPr>
              <w:spacing w:before="40" w:after="40" w:line="276" w:lineRule="auto"/>
            </w:pPr>
            <w:r/>
            <w:r>
              <w:rPr>
                <w:rFonts w:ascii="Times New Roman" w:hAnsi="Times New Roman" w:eastAsia="宋体"/>
                <w:b w:val="0"/>
                <w:color w:val="1A1A1A"/>
                <w:sz w:val="18"/>
              </w:rPr>
              <w:t>第 1—2 月</w:t>
            </w:r>
          </w:p>
        </w:tc>
        <w:tc>
          <w:tcPr>
            <w:tcW w:type="dxa" w:w="2183"/>
          </w:tcPr>
          <w:p>
            <w:pPr>
              <w:spacing w:before="40" w:after="40" w:line="276" w:lineRule="auto"/>
            </w:pPr>
            <w:r/>
            <w:r>
              <w:rPr>
                <w:rFonts w:ascii="Times New Roman" w:hAnsi="Times New Roman" w:eastAsia="宋体"/>
                <w:b w:val="0"/>
                <w:color w:val="1A1A1A"/>
                <w:sz w:val="18"/>
              </w:rPr>
              <w:t>任务构造、稳定性度量实现、预实验确定 K</w:t>
            </w:r>
          </w:p>
        </w:tc>
        <w:tc>
          <w:tcPr>
            <w:tcW w:type="dxa" w:w="2183"/>
          </w:tcPr>
          <w:p>
            <w:pPr>
              <w:spacing w:before="40" w:after="40" w:line="276" w:lineRule="auto"/>
            </w:pPr>
            <w:r/>
            <w:r>
              <w:rPr>
                <w:rFonts w:ascii="Times New Roman" w:hAnsi="Times New Roman" w:eastAsia="宋体"/>
                <w:b w:val="0"/>
                <w:color w:val="1A1A1A"/>
                <w:sz w:val="18"/>
              </w:rPr>
              <w:t>度量可复现，K 的估计稳定</w:t>
            </w:r>
          </w:p>
        </w:tc>
      </w:tr>
      <w:tr>
        <w:tc>
          <w:tcPr>
            <w:tcW w:type="dxa" w:w="2183"/>
          </w:tcPr>
          <w:p>
            <w:pPr>
              <w:spacing w:before="40" w:after="40" w:line="276" w:lineRule="auto"/>
            </w:pPr>
            <w:r/>
            <w:r>
              <w:rPr>
                <w:rFonts w:ascii="Times New Roman" w:hAnsi="Times New Roman" w:eastAsia="宋体"/>
                <w:b w:val="0"/>
                <w:color w:val="1A1A1A"/>
                <w:sz w:val="18"/>
              </w:rPr>
              <w:t>第二阶段</w:t>
            </w:r>
          </w:p>
        </w:tc>
        <w:tc>
          <w:tcPr>
            <w:tcW w:type="dxa" w:w="2183"/>
          </w:tcPr>
          <w:p>
            <w:pPr>
              <w:spacing w:before="40" w:after="40" w:line="276" w:lineRule="auto"/>
            </w:pPr>
            <w:r/>
            <w:r>
              <w:rPr>
                <w:rFonts w:ascii="Times New Roman" w:hAnsi="Times New Roman" w:eastAsia="宋体"/>
                <w:b w:val="0"/>
                <w:color w:val="1A1A1A"/>
                <w:sz w:val="18"/>
              </w:rPr>
              <w:t>第 3—4 月</w:t>
            </w:r>
          </w:p>
        </w:tc>
        <w:tc>
          <w:tcPr>
            <w:tcW w:type="dxa" w:w="2183"/>
          </w:tcPr>
          <w:p>
            <w:pPr>
              <w:spacing w:before="40" w:after="40" w:line="276" w:lineRule="auto"/>
            </w:pPr>
            <w:r/>
            <w:r>
              <w:rPr>
                <w:rFonts w:ascii="Times New Roman" w:hAnsi="Times New Roman" w:eastAsia="宋体"/>
                <w:b w:val="0"/>
                <w:color w:val="1A1A1A"/>
                <w:sz w:val="18"/>
              </w:rPr>
              <w:t>影响因素扫描</w:t>
            </w:r>
          </w:p>
        </w:tc>
        <w:tc>
          <w:tcPr>
            <w:tcW w:type="dxa" w:w="2183"/>
          </w:tcPr>
          <w:p>
            <w:pPr>
              <w:spacing w:before="40" w:after="40" w:line="276" w:lineRule="auto"/>
            </w:pPr>
            <w:r/>
            <w:r>
              <w:rPr>
                <w:rFonts w:ascii="Times New Roman" w:hAnsi="Times New Roman" w:eastAsia="宋体"/>
                <w:b w:val="0"/>
                <w:color w:val="1A1A1A"/>
                <w:sz w:val="18"/>
              </w:rPr>
              <w:t>温度与提示的影响可量化</w:t>
            </w:r>
          </w:p>
        </w:tc>
      </w:tr>
      <w:tr>
        <w:tc>
          <w:tcPr>
            <w:tcW w:type="dxa" w:w="2183"/>
          </w:tcPr>
          <w:p>
            <w:pPr>
              <w:spacing w:before="40" w:after="40" w:line="276" w:lineRule="auto"/>
            </w:pPr>
            <w:r/>
            <w:r>
              <w:rPr>
                <w:rFonts w:ascii="Times New Roman" w:hAnsi="Times New Roman" w:eastAsia="宋体"/>
                <w:b w:val="0"/>
                <w:color w:val="1A1A1A"/>
                <w:sz w:val="18"/>
              </w:rPr>
              <w:t>第三阶段</w:t>
            </w:r>
          </w:p>
        </w:tc>
        <w:tc>
          <w:tcPr>
            <w:tcW w:type="dxa" w:w="2183"/>
          </w:tcPr>
          <w:p>
            <w:pPr>
              <w:spacing w:before="40" w:after="40" w:line="276" w:lineRule="auto"/>
            </w:pPr>
            <w:r/>
            <w:r>
              <w:rPr>
                <w:rFonts w:ascii="Times New Roman" w:hAnsi="Times New Roman" w:eastAsia="宋体"/>
                <w:b w:val="0"/>
                <w:color w:val="1A1A1A"/>
                <w:sz w:val="18"/>
              </w:rPr>
              <w:t>第 5—6 月</w:t>
            </w:r>
          </w:p>
        </w:tc>
        <w:tc>
          <w:tcPr>
            <w:tcW w:type="dxa" w:w="2183"/>
          </w:tcPr>
          <w:p>
            <w:pPr>
              <w:spacing w:before="40" w:after="40" w:line="276" w:lineRule="auto"/>
            </w:pPr>
            <w:r/>
            <w:r>
              <w:rPr>
                <w:rFonts w:ascii="Times New Roman" w:hAnsi="Times New Roman" w:eastAsia="宋体"/>
                <w:b w:val="0"/>
                <w:color w:val="1A1A1A"/>
                <w:sz w:val="18"/>
              </w:rPr>
              <w:t>稳定化方法对比、前沿绘制</w:t>
            </w:r>
          </w:p>
        </w:tc>
        <w:tc>
          <w:tcPr>
            <w:tcW w:type="dxa" w:w="2183"/>
          </w:tcPr>
          <w:p>
            <w:pPr>
              <w:spacing w:before="40" w:after="40" w:line="276" w:lineRule="auto"/>
            </w:pPr>
            <w:r/>
            <w:r>
              <w:rPr>
                <w:rFonts w:ascii="Times New Roman" w:hAnsi="Times New Roman" w:eastAsia="宋体"/>
                <w:b w:val="0"/>
                <w:color w:val="1A1A1A"/>
                <w:sz w:val="18"/>
              </w:rPr>
              <w:t>至少一种方法在不显著损失覆盖率下提升稳定性</w:t>
            </w:r>
          </w:p>
        </w:tc>
      </w:tr>
      <w:tr>
        <w:tc>
          <w:tcPr>
            <w:tcW w:type="dxa" w:w="2183"/>
          </w:tcPr>
          <w:p>
            <w:pPr>
              <w:spacing w:before="40" w:after="40" w:line="276" w:lineRule="auto"/>
            </w:pPr>
            <w:r/>
            <w:r>
              <w:rPr>
                <w:rFonts w:ascii="Times New Roman" w:hAnsi="Times New Roman" w:eastAsia="宋体"/>
                <w:b w:val="0"/>
                <w:color w:val="1A1A1A"/>
                <w:sz w:val="18"/>
              </w:rPr>
              <w:t>第四阶段</w:t>
            </w:r>
          </w:p>
        </w:tc>
        <w:tc>
          <w:tcPr>
            <w:tcW w:type="dxa" w:w="2183"/>
          </w:tcPr>
          <w:p>
            <w:pPr>
              <w:spacing w:before="40" w:after="40" w:line="276" w:lineRule="auto"/>
            </w:pPr>
            <w:r/>
            <w:r>
              <w:rPr>
                <w:rFonts w:ascii="Times New Roman" w:hAnsi="Times New Roman" w:eastAsia="宋体"/>
                <w:b w:val="0"/>
                <w:color w:val="1A1A1A"/>
                <w:sz w:val="18"/>
              </w:rPr>
              <w:t>第 7—8 月</w:t>
            </w:r>
          </w:p>
        </w:tc>
        <w:tc>
          <w:tcPr>
            <w:tcW w:type="dxa" w:w="2183"/>
          </w:tcPr>
          <w:p>
            <w:pPr>
              <w:spacing w:before="40" w:after="40" w:line="276" w:lineRule="auto"/>
            </w:pPr>
            <w:r/>
            <w:r>
              <w:rPr>
                <w:rFonts w:ascii="Times New Roman" w:hAnsi="Times New Roman" w:eastAsia="宋体"/>
                <w:b w:val="0"/>
                <w:color w:val="1A1A1A"/>
                <w:sz w:val="18"/>
              </w:rPr>
              <w:t>跨模型、跨基准验证</w:t>
            </w:r>
          </w:p>
        </w:tc>
        <w:tc>
          <w:tcPr>
            <w:tcW w:type="dxa" w:w="2183"/>
          </w:tcPr>
          <w:p>
            <w:pPr>
              <w:spacing w:before="40" w:after="40" w:line="276" w:lineRule="auto"/>
            </w:pPr>
            <w:r/>
            <w:r>
              <w:rPr>
                <w:rFonts w:ascii="Times New Roman" w:hAnsi="Times New Roman" w:eastAsia="宋体"/>
                <w:b w:val="0"/>
                <w:color w:val="1A1A1A"/>
                <w:sz w:val="18"/>
              </w:rPr>
              <w:t>结论在两个基准上一致</w:t>
            </w:r>
          </w:p>
        </w:tc>
      </w:tr>
      <w:tr>
        <w:tc>
          <w:tcPr>
            <w:tcW w:type="dxa" w:w="2183"/>
          </w:tcPr>
          <w:p>
            <w:pPr>
              <w:spacing w:before="40" w:after="40" w:line="276" w:lineRule="auto"/>
            </w:pPr>
            <w:r/>
            <w:r>
              <w:rPr>
                <w:rFonts w:ascii="Times New Roman" w:hAnsi="Times New Roman" w:eastAsia="宋体"/>
                <w:b w:val="0"/>
                <w:color w:val="1A1A1A"/>
                <w:sz w:val="18"/>
              </w:rPr>
              <w:t>第五阶段</w:t>
            </w:r>
          </w:p>
        </w:tc>
        <w:tc>
          <w:tcPr>
            <w:tcW w:type="dxa" w:w="2183"/>
          </w:tcPr>
          <w:p>
            <w:pPr>
              <w:spacing w:before="40" w:after="40" w:line="276" w:lineRule="auto"/>
            </w:pPr>
            <w:r/>
            <w:r>
              <w:rPr>
                <w:rFonts w:ascii="Times New Roman" w:hAnsi="Times New Roman" w:eastAsia="宋体"/>
                <w:b w:val="0"/>
                <w:color w:val="1A1A1A"/>
                <w:sz w:val="18"/>
              </w:rPr>
              <w:t>第 9—10 月</w:t>
            </w:r>
          </w:p>
        </w:tc>
        <w:tc>
          <w:tcPr>
            <w:tcW w:type="dxa" w:w="2183"/>
          </w:tcPr>
          <w:p>
            <w:pPr>
              <w:spacing w:before="40" w:after="40" w:line="276" w:lineRule="auto"/>
            </w:pPr>
            <w:r/>
            <w:r>
              <w:rPr>
                <w:rFonts w:ascii="Times New Roman" w:hAnsi="Times New Roman" w:eastAsia="宋体"/>
                <w:b w:val="0"/>
                <w:color w:val="1A1A1A"/>
                <w:sz w:val="18"/>
              </w:rPr>
              <w:t>论文撰写</w:t>
            </w:r>
          </w:p>
        </w:tc>
        <w:tc>
          <w:tcPr>
            <w:tcW w:type="dxa" w:w="2183"/>
          </w:tcPr>
          <w:p>
            <w:pPr>
              <w:spacing w:before="40" w:after="40" w:line="276" w:lineRule="auto"/>
            </w:pPr>
            <w:r/>
            <w:r>
              <w:rPr>
                <w:rFonts w:ascii="Times New Roman" w:hAnsi="Times New Roman" w:eastAsia="宋体"/>
                <w:b w:val="0"/>
                <w:color w:val="1A1A1A"/>
                <w:sz w:val="18"/>
              </w:rPr>
              <w:t>初稿完成</w:t>
            </w:r>
          </w:p>
        </w:tc>
      </w:tr>
      <w:tr>
        <w:tc>
          <w:tcPr>
            <w:tcW w:type="dxa" w:w="2183"/>
          </w:tcPr>
          <w:p>
            <w:pPr>
              <w:spacing w:before="40" w:after="40" w:line="276" w:lineRule="auto"/>
            </w:pPr>
            <w:r/>
            <w:r>
              <w:rPr>
                <w:rFonts w:ascii="Times New Roman" w:hAnsi="Times New Roman" w:eastAsia="宋体"/>
                <w:b w:val="0"/>
                <w:color w:val="1A1A1A"/>
                <w:sz w:val="18"/>
              </w:rPr>
              <w:t>第六阶段</w:t>
            </w:r>
          </w:p>
        </w:tc>
        <w:tc>
          <w:tcPr>
            <w:tcW w:type="dxa" w:w="2183"/>
          </w:tcPr>
          <w:p>
            <w:pPr>
              <w:spacing w:before="40" w:after="40" w:line="276" w:lineRule="auto"/>
            </w:pPr>
            <w:r/>
            <w:r>
              <w:rPr>
                <w:rFonts w:ascii="Times New Roman" w:hAnsi="Times New Roman" w:eastAsia="宋体"/>
                <w:b w:val="0"/>
                <w:color w:val="1A1A1A"/>
                <w:sz w:val="18"/>
              </w:rPr>
              <w:t>第 11—12 月</w:t>
            </w:r>
          </w:p>
        </w:tc>
        <w:tc>
          <w:tcPr>
            <w:tcW w:type="dxa" w:w="2183"/>
          </w:tcPr>
          <w:p>
            <w:pPr>
              <w:spacing w:before="40" w:after="40" w:line="276" w:lineRule="auto"/>
            </w:pPr>
            <w:r/>
            <w:r>
              <w:rPr>
                <w:rFonts w:ascii="Times New Roman" w:hAnsi="Times New Roman" w:eastAsia="宋体"/>
                <w:b w:val="0"/>
                <w:color w:val="1A1A1A"/>
                <w:sz w:val="18"/>
              </w:rPr>
              <w:t>投稿、修改、答辩</w:t>
            </w:r>
          </w:p>
        </w:tc>
        <w:tc>
          <w:tcPr>
            <w:tcW w:type="dxa" w:w="2183"/>
          </w:tcPr>
          <w:p>
            <w:pPr>
              <w:spacing w:before="40" w:after="40" w:line="276" w:lineRule="auto"/>
            </w:pPr>
            <w:r/>
            <w:r>
              <w:rPr>
                <w:rFonts w:ascii="Times New Roman" w:hAnsi="Times New Roman" w:eastAsia="宋体"/>
                <w:b w:val="0"/>
                <w:color w:val="1A1A1A"/>
                <w:sz w:val="18"/>
              </w:rPr>
              <w:t>论文投出，学位论文通过</w:t>
            </w:r>
          </w:p>
        </w:tc>
      </w:tr>
    </w:tbl>
    <w:p/>
    <w:p>
      <w:pPr>
        <w:spacing w:after="80"/>
        <w:ind w:firstLine="420"/>
      </w:pPr>
      <w:r>
        <w:rPr>
          <w:rFonts w:ascii="Times New Roman" w:hAnsi="Times New Roman" w:eastAsia="宋体"/>
          <w:b/>
          <w:color w:val="1A1A1A"/>
          <w:sz w:val="21"/>
        </w:rPr>
        <w:t>阶段判据。</w:t>
      </w:r>
      <w:r>
        <w:rPr>
          <w:rFonts w:ascii="Times New Roman" w:hAnsi="Times New Roman" w:eastAsia="宋体"/>
          <w:b w:val="0"/>
          <w:color w:val="1A1A1A"/>
          <w:sz w:val="21"/>
        </w:rPr>
        <w:t xml:space="preserve"> 第 2 月末检查：如果 K=10 次运行后一致性指标仍不稳定（置信区间过宽），需要增加 K 或改变度量方式。</w:t>
      </w:r>
    </w:p>
    <w:p>
      <w:pPr>
        <w:spacing w:before="320" w:after="120"/>
      </w:pPr>
      <w:r>
        <w:rPr>
          <w:rFonts w:ascii="Times New Roman" w:hAnsi="Times New Roman" w:eastAsia="黑体"/>
          <w:b/>
          <w:color w:val="1B3A52"/>
          <w:sz w:val="30"/>
        </w:rPr>
        <w:t>9 研究基础与条件</w:t>
      </w:r>
    </w:p>
    <w:p>
      <w:pPr>
        <w:spacing w:after="80"/>
        <w:ind w:firstLine="420"/>
      </w:pPr>
      <w:r>
        <w:rPr>
          <w:rFonts w:ascii="Times New Roman" w:hAnsi="Times New Roman" w:eastAsia="宋体"/>
          <w:b w:val="0"/>
          <w:color w:val="1A1A1A"/>
          <w:sz w:val="21"/>
        </w:rPr>
        <w:t>本人具备 Python 与 PyTorch 编程能力，熟悉模型推理与评测流程，能够完成批量采样、指标计算与统计分析。</w:t>
      </w:r>
    </w:p>
    <w:p>
      <w:pPr>
        <w:spacing w:after="80"/>
        <w:ind w:firstLine="420"/>
      </w:pPr>
      <w:r>
        <w:rPr>
          <w:rFonts w:ascii="Times New Roman" w:hAnsi="Times New Roman" w:eastAsia="宋体"/>
          <w:b w:val="0"/>
          <w:color w:val="1A1A1A"/>
          <w:sz w:val="21"/>
        </w:rPr>
        <w:t>算力条件为单张 RTX 5090（32 GB 显存），足以支撑 8B 模型的高频推理；闭源模型通过 API 调用，K 次重复的成本需要提前估算。数据来自公开基准。</w:t>
      </w:r>
    </w:p>
    <w:p>
      <w:pPr>
        <w:spacing w:after="80"/>
        <w:ind w:firstLine="420"/>
      </w:pPr>
      <w:r>
        <w:rPr>
          <w:rFonts w:ascii="Times New Roman" w:hAnsi="Times New Roman" w:eastAsia="宋体"/>
          <w:b w:val="0"/>
          <w:color w:val="1A1A1A"/>
          <w:sz w:val="21"/>
        </w:rPr>
        <w:t>尚未完成的准备工作包括：API 成本估算、K 的预实验、以及针对「materials reproducibility」的定向查新补全。</w:t>
      </w:r>
    </w:p>
    <w:p>
      <w:pPr>
        <w:spacing w:before="320" w:after="120"/>
      </w:pPr>
      <w:r>
        <w:rPr>
          <w:rFonts w:ascii="Times New Roman" w:hAnsi="Times New Roman" w:eastAsia="黑体"/>
          <w:b/>
          <w:color w:val="1B3A52"/>
          <w:sz w:val="30"/>
        </w:rPr>
        <w:t>10 可行性分析</w:t>
      </w:r>
    </w:p>
    <w:p>
      <w:pPr>
        <w:spacing w:after="80"/>
        <w:ind w:firstLine="420"/>
      </w:pPr>
      <w:r>
        <w:rPr>
          <w:rFonts w:ascii="Times New Roman" w:hAnsi="Times New Roman" w:eastAsia="宋体"/>
          <w:b/>
          <w:color w:val="1A1A1A"/>
          <w:sz w:val="21"/>
        </w:rPr>
        <w:t>方法可行性。</w:t>
      </w:r>
      <w:r>
        <w:rPr>
          <w:rFonts w:ascii="Times New Roman" w:hAnsi="Times New Roman" w:eastAsia="宋体"/>
          <w:b w:val="0"/>
          <w:color w:val="1A1A1A"/>
          <w:sz w:val="21"/>
        </w:rPr>
        <w:t xml:space="preserve"> 稳定性度量是常规统计计算，稳定化手段都是现有技术，不需要新算法。</w:t>
      </w:r>
    </w:p>
    <w:p>
      <w:pPr>
        <w:spacing w:after="80"/>
        <w:ind w:firstLine="420"/>
      </w:pPr>
      <w:r>
        <w:rPr>
          <w:rFonts w:ascii="Times New Roman" w:hAnsi="Times New Roman" w:eastAsia="宋体"/>
          <w:b/>
          <w:color w:val="1A1A1A"/>
          <w:sz w:val="21"/>
        </w:rPr>
        <w:t>数据可行性。</w:t>
      </w:r>
      <w:r>
        <w:rPr>
          <w:rFonts w:ascii="Times New Roman" w:hAnsi="Times New Roman" w:eastAsia="宋体"/>
          <w:b w:val="0"/>
          <w:color w:val="1A1A1A"/>
          <w:sz w:val="21"/>
        </w:rPr>
        <w:t xml:space="preserve"> Elpasolite 与 Materials Project 公开可用。</w:t>
      </w:r>
    </w:p>
    <w:p>
      <w:pPr>
        <w:spacing w:after="80"/>
        <w:ind w:firstLine="420"/>
      </w:pPr>
      <w:r>
        <w:rPr>
          <w:rFonts w:ascii="Times New Roman" w:hAnsi="Times New Roman" w:eastAsia="宋体"/>
          <w:b/>
          <w:color w:val="1A1A1A"/>
          <w:sz w:val="21"/>
        </w:rPr>
        <w:t>成本可行性。</w:t>
      </w:r>
      <w:r>
        <w:rPr>
          <w:rFonts w:ascii="Times New Roman" w:hAnsi="Times New Roman" w:eastAsia="宋体"/>
          <w:b w:val="0"/>
          <w:color w:val="1A1A1A"/>
          <w:sz w:val="21"/>
        </w:rPr>
        <w:t xml:space="preserve"> K 次重复会放大 API 成本。若使用本地 8B 模型，成本可控；闭源模型只在关键设置上使用。</w:t>
      </w:r>
    </w:p>
    <w:p>
      <w:pPr>
        <w:spacing w:after="80"/>
        <w:ind w:firstLine="420"/>
      </w:pPr>
      <w:r>
        <w:rPr>
          <w:rFonts w:ascii="Times New Roman" w:hAnsi="Times New Roman" w:eastAsia="宋体"/>
          <w:b/>
          <w:color w:val="1A1A1A"/>
          <w:sz w:val="21"/>
        </w:rPr>
        <w:t>主要不确定性。</w:t>
      </w:r>
      <w:r>
        <w:rPr>
          <w:rFonts w:ascii="Times New Roman" w:hAnsi="Times New Roman" w:eastAsia="宋体"/>
          <w:b w:val="0"/>
          <w:color w:val="1A1A1A"/>
          <w:sz w:val="21"/>
        </w:rPr>
        <w:t xml:space="preserve"> 最大风险是「稳定性差异太小，不足以支撑一篇论文」。这需要在第 3—4 月用实验判定；若差异确实小，可转为「材料任务上 LLM 稳定性并不构成问题」的负结果分析。</w:t>
      </w:r>
    </w:p>
    <w:p>
      <w:pPr>
        <w:spacing w:before="320" w:after="120"/>
      </w:pPr>
      <w:r>
        <w:rPr>
          <w:rFonts w:ascii="Times New Roman" w:hAnsi="Times New Roman" w:eastAsia="黑体"/>
          <w:b/>
          <w:color w:val="1B3A52"/>
          <w:sz w:val="30"/>
        </w:rPr>
        <w:t>11 风险、退出条件与应对</w:t>
      </w:r>
    </w:p>
    <w:tbl>
      <w:tblPr>
        <w:tblStyle w:val="TableGrid"/>
        <w:tblW w:type="auto" w:w="0"/>
        <w:jc w:val="center"/>
        <w:tblLook w:firstColumn="1" w:firstRow="1" w:lastColumn="0" w:lastRow="0" w:noHBand="0" w:noVBand="1" w:val="04A0"/>
      </w:tblPr>
      <w:tblGrid>
        <w:gridCol w:w="2911"/>
        <w:gridCol w:w="2911"/>
        <w:gridCol w:w="2911"/>
      </w:tblGrid>
      <w:tr>
        <w:tc>
          <w:tcPr>
            <w:tcW w:type="dxa" w:w="2911"/>
          </w:tcPr>
          <w:p>
            <w:pPr>
              <w:spacing w:before="40" w:after="40" w:line="276" w:lineRule="auto"/>
            </w:pPr>
            <w:r/>
            <w:r>
              <w:rPr>
                <w:rFonts w:ascii="Times New Roman" w:hAnsi="Times New Roman" w:eastAsia="宋体"/>
                <w:b/>
                <w:color w:val="1A1A1A"/>
                <w:sz w:val="18"/>
              </w:rPr>
              <w:t>风险</w:t>
            </w:r>
          </w:p>
        </w:tc>
        <w:tc>
          <w:tcPr>
            <w:tcW w:type="dxa" w:w="2911"/>
          </w:tcPr>
          <w:p>
            <w:pPr>
              <w:spacing w:before="40" w:after="40" w:line="276" w:lineRule="auto"/>
            </w:pPr>
            <w:r/>
            <w:r>
              <w:rPr>
                <w:rFonts w:ascii="Times New Roman" w:hAnsi="Times New Roman" w:eastAsia="宋体"/>
                <w:b/>
                <w:color w:val="1A1A1A"/>
                <w:sz w:val="18"/>
              </w:rPr>
              <w:t>表现</w:t>
            </w:r>
          </w:p>
        </w:tc>
        <w:tc>
          <w:tcPr>
            <w:tcW w:type="dxa" w:w="2911"/>
          </w:tcPr>
          <w:p>
            <w:pPr>
              <w:spacing w:before="40" w:after="40" w:line="276" w:lineRule="auto"/>
            </w:pPr>
            <w:r/>
            <w:r>
              <w:rPr>
                <w:rFonts w:ascii="Times New Roman" w:hAnsi="Times New Roman" w:eastAsia="宋体"/>
                <w:b/>
                <w:color w:val="1A1A1A"/>
                <w:sz w:val="18"/>
              </w:rPr>
              <w:t>应对</w:t>
            </w:r>
          </w:p>
        </w:tc>
      </w:tr>
      <w:tr>
        <w:tc>
          <w:tcPr>
            <w:tcW w:type="dxa" w:w="2911"/>
          </w:tcPr>
          <w:p>
            <w:pPr>
              <w:spacing w:before="40" w:after="40" w:line="276" w:lineRule="auto"/>
            </w:pPr>
            <w:r/>
            <w:r>
              <w:rPr>
                <w:rFonts w:ascii="Times New Roman" w:hAnsi="Times New Roman" w:eastAsia="宋体"/>
                <w:b w:val="0"/>
                <w:color w:val="1A1A1A"/>
                <w:sz w:val="18"/>
              </w:rPr>
              <w:t>稳定性差异小</w:t>
            </w:r>
          </w:p>
        </w:tc>
        <w:tc>
          <w:tcPr>
            <w:tcW w:type="dxa" w:w="2911"/>
          </w:tcPr>
          <w:p>
            <w:pPr>
              <w:spacing w:before="40" w:after="40" w:line="276" w:lineRule="auto"/>
            </w:pPr>
            <w:r/>
            <w:r>
              <w:rPr>
                <w:rFonts w:ascii="Times New Roman" w:hAnsi="Times New Roman" w:eastAsia="宋体"/>
                <w:b w:val="0"/>
                <w:color w:val="1A1A1A"/>
                <w:sz w:val="18"/>
              </w:rPr>
              <w:t>各设置的一致性接近</w:t>
            </w:r>
          </w:p>
        </w:tc>
        <w:tc>
          <w:tcPr>
            <w:tcW w:type="dxa" w:w="2911"/>
          </w:tcPr>
          <w:p>
            <w:pPr>
              <w:spacing w:before="40" w:after="40" w:line="276" w:lineRule="auto"/>
            </w:pPr>
            <w:r/>
            <w:r>
              <w:rPr>
                <w:rFonts w:ascii="Times New Roman" w:hAnsi="Times New Roman" w:eastAsia="宋体"/>
                <w:b w:val="0"/>
                <w:color w:val="1A1A1A"/>
                <w:sz w:val="18"/>
              </w:rPr>
              <w:t>转为负结果分析，或聚焦「哪些任务上稳定性差」</w:t>
            </w:r>
          </w:p>
        </w:tc>
      </w:tr>
      <w:tr>
        <w:tc>
          <w:tcPr>
            <w:tcW w:type="dxa" w:w="2911"/>
          </w:tcPr>
          <w:p>
            <w:pPr>
              <w:spacing w:before="40" w:after="40" w:line="276" w:lineRule="auto"/>
            </w:pPr>
            <w:r/>
            <w:r>
              <w:rPr>
                <w:rFonts w:ascii="Times New Roman" w:hAnsi="Times New Roman" w:eastAsia="宋体"/>
                <w:b w:val="0"/>
                <w:color w:val="1A1A1A"/>
                <w:sz w:val="18"/>
              </w:rPr>
              <w:t>度量争议</w:t>
            </w:r>
          </w:p>
        </w:tc>
        <w:tc>
          <w:tcPr>
            <w:tcW w:type="dxa" w:w="2911"/>
          </w:tcPr>
          <w:p>
            <w:pPr>
              <w:spacing w:before="40" w:after="40" w:line="276" w:lineRule="auto"/>
            </w:pPr>
            <w:r/>
            <w:r>
              <w:rPr>
                <w:rFonts w:ascii="Times New Roman" w:hAnsi="Times New Roman" w:eastAsia="宋体"/>
                <w:b w:val="0"/>
                <w:color w:val="1A1A1A"/>
                <w:sz w:val="18"/>
              </w:rPr>
              <w:t>审稿人认为成分距离定义不合理</w:t>
            </w:r>
          </w:p>
        </w:tc>
        <w:tc>
          <w:tcPr>
            <w:tcW w:type="dxa" w:w="2911"/>
          </w:tcPr>
          <w:p>
            <w:pPr>
              <w:spacing w:before="40" w:after="40" w:line="276" w:lineRule="auto"/>
            </w:pPr>
            <w:r/>
            <w:r>
              <w:rPr>
                <w:rFonts w:ascii="Times New Roman" w:hAnsi="Times New Roman" w:eastAsia="宋体"/>
                <w:b w:val="0"/>
                <w:color w:val="1A1A1A"/>
                <w:sz w:val="18"/>
              </w:rPr>
              <w:t>同时报告两种度量，做敏感性分析</w:t>
            </w:r>
          </w:p>
        </w:tc>
      </w:tr>
      <w:tr>
        <w:tc>
          <w:tcPr>
            <w:tcW w:type="dxa" w:w="2911"/>
          </w:tcPr>
          <w:p>
            <w:pPr>
              <w:spacing w:before="40" w:after="40" w:line="276" w:lineRule="auto"/>
            </w:pPr>
            <w:r/>
            <w:r>
              <w:rPr>
                <w:rFonts w:ascii="Times New Roman" w:hAnsi="Times New Roman" w:eastAsia="宋体"/>
                <w:b w:val="0"/>
                <w:color w:val="1A1A1A"/>
                <w:sz w:val="18"/>
              </w:rPr>
              <w:t>成本过高</w:t>
            </w:r>
          </w:p>
        </w:tc>
        <w:tc>
          <w:tcPr>
            <w:tcW w:type="dxa" w:w="2911"/>
          </w:tcPr>
          <w:p>
            <w:pPr>
              <w:spacing w:before="40" w:after="40" w:line="276" w:lineRule="auto"/>
            </w:pPr>
            <w:r/>
            <w:r>
              <w:rPr>
                <w:rFonts w:ascii="Times New Roman" w:hAnsi="Times New Roman" w:eastAsia="宋体"/>
                <w:b w:val="0"/>
                <w:color w:val="1A1A1A"/>
                <w:sz w:val="18"/>
              </w:rPr>
              <w:t>K 次 API 调用超预算</w:t>
            </w:r>
          </w:p>
        </w:tc>
        <w:tc>
          <w:tcPr>
            <w:tcW w:type="dxa" w:w="2911"/>
          </w:tcPr>
          <w:p>
            <w:pPr>
              <w:spacing w:before="40" w:after="40" w:line="276" w:lineRule="auto"/>
            </w:pPr>
            <w:r/>
            <w:r>
              <w:rPr>
                <w:rFonts w:ascii="Times New Roman" w:hAnsi="Times New Roman" w:eastAsia="宋体"/>
                <w:b w:val="0"/>
                <w:color w:val="1A1A1A"/>
                <w:sz w:val="18"/>
              </w:rPr>
              <w:t>以本地模型为主，闭源模型只做抽样</w:t>
            </w:r>
          </w:p>
        </w:tc>
      </w:tr>
      <w:tr>
        <w:tc>
          <w:tcPr>
            <w:tcW w:type="dxa" w:w="2911"/>
          </w:tcPr>
          <w:p>
            <w:pPr>
              <w:spacing w:before="40" w:after="40" w:line="276" w:lineRule="auto"/>
            </w:pPr>
            <w:r/>
            <w:r>
              <w:rPr>
                <w:rFonts w:ascii="Times New Roman" w:hAnsi="Times New Roman" w:eastAsia="宋体"/>
                <w:b w:val="0"/>
                <w:color w:val="1A1A1A"/>
                <w:sz w:val="18"/>
              </w:rPr>
              <w:t>与正确性混淆</w:t>
            </w:r>
          </w:p>
        </w:tc>
        <w:tc>
          <w:tcPr>
            <w:tcW w:type="dxa" w:w="2911"/>
          </w:tcPr>
          <w:p>
            <w:pPr>
              <w:spacing w:before="40" w:after="40" w:line="276" w:lineRule="auto"/>
            </w:pPr>
            <w:r/>
            <w:r>
              <w:rPr>
                <w:rFonts w:ascii="Times New Roman" w:hAnsi="Times New Roman" w:eastAsia="宋体"/>
                <w:b w:val="0"/>
                <w:color w:val="1A1A1A"/>
                <w:sz w:val="18"/>
              </w:rPr>
              <w:t>稳定性提升其实是覆盖率下降</w:t>
            </w:r>
          </w:p>
        </w:tc>
        <w:tc>
          <w:tcPr>
            <w:tcW w:type="dxa" w:w="2911"/>
          </w:tcPr>
          <w:p>
            <w:pPr>
              <w:spacing w:before="40" w:after="40" w:line="276" w:lineRule="auto"/>
            </w:pPr>
            <w:r/>
            <w:r>
              <w:rPr>
                <w:rFonts w:ascii="Times New Roman" w:hAnsi="Times New Roman" w:eastAsia="宋体"/>
                <w:b w:val="0"/>
                <w:color w:val="1A1A1A"/>
                <w:sz w:val="18"/>
              </w:rPr>
              <w:t>联合报告，画前沿而非单点</w:t>
            </w:r>
          </w:p>
        </w:tc>
      </w:tr>
      <w:tr>
        <w:tc>
          <w:tcPr>
            <w:tcW w:type="dxa" w:w="2911"/>
          </w:tcPr>
          <w:p>
            <w:pPr>
              <w:spacing w:before="40" w:after="40" w:line="276" w:lineRule="auto"/>
            </w:pPr>
            <w:r/>
            <w:r>
              <w:rPr>
                <w:rFonts w:ascii="Times New Roman" w:hAnsi="Times New Roman" w:eastAsia="宋体"/>
                <w:b w:val="0"/>
                <w:color w:val="1A1A1A"/>
                <w:sz w:val="18"/>
              </w:rPr>
              <w:t>任务太简单</w:t>
            </w:r>
          </w:p>
        </w:tc>
        <w:tc>
          <w:tcPr>
            <w:tcW w:type="dxa" w:w="2911"/>
          </w:tcPr>
          <w:p>
            <w:pPr>
              <w:spacing w:before="40" w:after="40" w:line="276" w:lineRule="auto"/>
            </w:pPr>
            <w:r/>
            <w:r>
              <w:rPr>
                <w:rFonts w:ascii="Times New Roman" w:hAnsi="Times New Roman" w:eastAsia="宋体"/>
                <w:b w:val="0"/>
                <w:color w:val="1A1A1A"/>
                <w:sz w:val="18"/>
              </w:rPr>
              <w:t>所有模型都稳定</w:t>
            </w:r>
          </w:p>
        </w:tc>
        <w:tc>
          <w:tcPr>
            <w:tcW w:type="dxa" w:w="2911"/>
          </w:tcPr>
          <w:p>
            <w:pPr>
              <w:spacing w:before="40" w:after="40" w:line="276" w:lineRule="auto"/>
            </w:pPr>
            <w:r/>
            <w:r>
              <w:rPr>
                <w:rFonts w:ascii="Times New Roman" w:hAnsi="Times New Roman" w:eastAsia="宋体"/>
                <w:b w:val="0"/>
                <w:color w:val="1A1A1A"/>
                <w:sz w:val="18"/>
              </w:rPr>
              <w:t>换更难的目标条件或更开放的体系</w:t>
            </w:r>
          </w:p>
        </w:tc>
      </w:tr>
    </w:tbl>
    <w:p/>
    <w:p>
      <w:pPr>
        <w:spacing w:after="80"/>
        <w:ind w:firstLine="420"/>
      </w:pPr>
      <w:r>
        <w:rPr>
          <w:rFonts w:ascii="Times New Roman" w:hAnsi="Times New Roman" w:eastAsia="宋体"/>
          <w:b/>
          <w:color w:val="1A1A1A"/>
          <w:sz w:val="21"/>
        </w:rPr>
        <w:t>方向退出条件。</w:t>
      </w:r>
      <w:r>
        <w:rPr>
          <w:rFonts w:ascii="Times New Roman" w:hAnsi="Times New Roman" w:eastAsia="宋体"/>
          <w:b w:val="0"/>
          <w:color w:val="1A1A1A"/>
          <w:sz w:val="21"/>
        </w:rPr>
        <w:t xml:space="preserve"> 满足以下任一条件时停止当前方向：</w:t>
      </w:r>
    </w:p>
    <w:p>
      <w:pPr>
        <w:spacing w:after="80"/>
        <w:ind w:firstLine="420"/>
      </w:pPr>
      <w:r>
        <w:rPr>
          <w:rFonts w:ascii="Times New Roman" w:hAnsi="Times New Roman" w:eastAsia="宋体"/>
          <w:b w:val="0"/>
          <w:color w:val="1A1A1A"/>
          <w:sz w:val="21"/>
        </w:rPr>
        <w:t>1. 第 4 月末，温度与提示对稳定性的影响均不显著（p &gt; 0.05），说明该任务上稳定性不构成问题；</w:t>
      </w:r>
    </w:p>
    <w:p>
      <w:pPr>
        <w:spacing w:after="80"/>
        <w:ind w:firstLine="420"/>
      </w:pPr>
      <w:r>
        <w:rPr>
          <w:rFonts w:ascii="Times New Roman" w:hAnsi="Times New Roman" w:eastAsia="宋体"/>
          <w:b w:val="0"/>
          <w:color w:val="1A1A1A"/>
          <w:sz w:val="21"/>
        </w:rPr>
        <w:t>2. 第 6 月末，所有稳定化方法都在覆盖率上付出超过 30% 的代价，说明权衡过于严苛；</w:t>
      </w:r>
    </w:p>
    <w:p>
      <w:pPr>
        <w:spacing w:after="80"/>
        <w:ind w:firstLine="420"/>
      </w:pPr>
      <w:r>
        <w:rPr>
          <w:rFonts w:ascii="Times New Roman" w:hAnsi="Times New Roman" w:eastAsia="宋体"/>
          <w:b w:val="0"/>
          <w:color w:val="1A1A1A"/>
          <w:sz w:val="21"/>
        </w:rPr>
        <w:t>3. 稳定性度量在不同 K 下结论不一致，说明度量本身不可靠。</w:t>
      </w:r>
    </w:p>
    <w:p>
      <w:pPr>
        <w:spacing w:before="320" w:after="120"/>
      </w:pPr>
      <w:r>
        <w:rPr>
          <w:rFonts w:ascii="Times New Roman" w:hAnsi="Times New Roman" w:eastAsia="黑体"/>
          <w:b/>
          <w:color w:val="1B3A52"/>
          <w:sz w:val="30"/>
        </w:rPr>
        <w:t>参考文献</w:t>
      </w:r>
    </w:p>
    <w:p>
      <w:pPr>
        <w:spacing w:after="80"/>
        <w:ind w:firstLine="420"/>
      </w:pPr>
      <w:r>
        <w:rPr>
          <w:rFonts w:ascii="Times New Roman" w:hAnsi="Times New Roman" w:eastAsia="宋体"/>
          <w:b w:val="0"/>
          <w:color w:val="1A1A1A"/>
          <w:sz w:val="21"/>
        </w:rPr>
        <w:t xml:space="preserve">[1] Joshi T, Aggarwal S, Saha A, et al. Stochastic CHAOS: Why Deterministic Inference Kills, and Distributional Variability Is the Heartbeat of Artificial Cognition. arXiv:2601.07239, 2026. </w:t>
      </w:r>
      <w:r>
        <w:rPr>
          <w:rFonts w:ascii="Times New Roman" w:hAnsi="Times New Roman" w:eastAsia="宋体"/>
          <w:b w:val="0"/>
          <w:color w:val="1F4E79"/>
          <w:sz w:val="19"/>
        </w:rPr>
        <w:t>https://arxiv.org/abs/2601.07239</w:t>
      </w:r>
    </w:p>
    <w:p>
      <w:pPr>
        <w:spacing w:after="80"/>
        <w:ind w:firstLine="420"/>
      </w:pPr>
      <w:r>
        <w:rPr>
          <w:rFonts w:ascii="Times New Roman" w:hAnsi="Times New Roman" w:eastAsia="宋体"/>
          <w:b w:val="0"/>
          <w:color w:val="1A1A1A"/>
          <w:sz w:val="21"/>
        </w:rPr>
        <w:t>[2] Atil B, et al. Non-Determinism of "Deterministic" LLM Settings. 2024.</w:t>
      </w:r>
    </w:p>
    <w:p>
      <w:pPr>
        <w:spacing w:after="80"/>
        <w:ind w:firstLine="420"/>
      </w:pPr>
      <w:r>
        <w:rPr>
          <w:rFonts w:ascii="Times New Roman" w:hAnsi="Times New Roman" w:eastAsia="宋体"/>
          <w:b w:val="0"/>
          <w:color w:val="1A1A1A"/>
          <w:sz w:val="21"/>
        </w:rPr>
        <w:t xml:space="preserve">[3] Consistency over accuracy: run-to-run stability of contemporary large language models on Turkish curriculum-aligned theoretical anatomy multiple-choice questions. 2026. </w:t>
      </w:r>
      <w:r>
        <w:rPr>
          <w:rFonts w:ascii="Times New Roman" w:hAnsi="Times New Roman" w:eastAsia="宋体"/>
          <w:b w:val="0"/>
          <w:color w:val="1F4E79"/>
          <w:sz w:val="19"/>
        </w:rPr>
        <w:t>https://pmc.ncbi.nlm.nih.gov/articles/PMC12910885</w:t>
      </w:r>
    </w:p>
    <w:p>
      <w:pPr>
        <w:spacing w:after="80"/>
        <w:ind w:firstLine="420"/>
      </w:pPr>
      <w:r>
        <w:rPr>
          <w:rFonts w:ascii="Times New Roman" w:hAnsi="Times New Roman" w:eastAsia="宋体"/>
          <w:b w:val="0"/>
          <w:color w:val="1A1A1A"/>
          <w:sz w:val="21"/>
        </w:rPr>
        <w:t>[4] Zeni C, Pinsler R, Zügner D, et al. A generative model for inorganic materials design. Nature, 2025, 639: 624–632.</w:t>
      </w:r>
    </w:p>
    <w:p>
      <w:pPr>
        <w:spacing w:after="80"/>
        <w:ind w:firstLine="420"/>
      </w:pPr>
      <w:r>
        <w:rPr>
          <w:rFonts w:ascii="Times New Roman" w:hAnsi="Times New Roman" w:eastAsia="宋体"/>
          <w:b w:val="0"/>
          <w:color w:val="1A1A1A"/>
          <w:sz w:val="21"/>
        </w:rPr>
        <w:t xml:space="preserve">[5] Malik S A, Doherty T, Tigas P, Razzak M, Roberts S J, Walsh A, Gal Y. MADE: Benchmark Environments for Closed-Loop Materials Discovery. arXiv:2601.20996, 2026. </w:t>
      </w:r>
      <w:r>
        <w:rPr>
          <w:rFonts w:ascii="Times New Roman" w:hAnsi="Times New Roman" w:eastAsia="宋体"/>
          <w:b w:val="0"/>
          <w:color w:val="1F4E79"/>
          <w:sz w:val="19"/>
        </w:rPr>
        <w:t>https://arxiv.org/html/2601.20996v1</w:t>
      </w:r>
    </w:p>
    <w:p>
      <w:pPr>
        <w:spacing w:after="80"/>
        <w:ind w:firstLine="420"/>
      </w:pPr>
      <w:r>
        <w:rPr>
          <w:rFonts w:ascii="Times New Roman" w:hAnsi="Times New Roman" w:eastAsia="宋体"/>
          <w:b w:val="0"/>
          <w:color w:val="1A1A1A"/>
          <w:sz w:val="21"/>
        </w:rPr>
        <w:t>[6] 宿彦京, 付华栋, 白洋, 姜雪, 谢建新. 中国材料基因工程研究进展. 金属学报, 2020, 56(10): 1313–1323.</w:t>
      </w:r>
    </w:p>
    <w:p>
      <w:pPr>
        <w:spacing w:after="80"/>
        <w:ind w:firstLine="420"/>
      </w:pPr>
      <w:r>
        <w:rPr>
          <w:rFonts w:ascii="Times New Roman" w:hAnsi="Times New Roman" w:eastAsia="宋体"/>
          <w:b w:val="0"/>
          <w:color w:val="1A1A1A"/>
          <w:sz w:val="21"/>
        </w:rPr>
        <w:t>[7] 刘章赫, 陈新宇, 周跫桦, 王金兰. 目标性质导向的材料生成: 迈向按需构筑的材料逆向设计. 物理学报, 2025, 74(24): 240701.</w:t>
      </w:r>
    </w:p>
    <w:p>
      <w:pPr>
        <w:spacing w:after="80"/>
        <w:ind w:firstLine="420"/>
      </w:pPr>
      <w:r>
        <w:rPr>
          <w:rFonts w:ascii="Times New Roman" w:hAnsi="Times New Roman" w:eastAsia="宋体"/>
          <w:b w:val="0"/>
          <w:color w:val="1A1A1A"/>
          <w:sz w:val="21"/>
        </w:rPr>
        <w:t xml:space="preserve">[8] LLaMP: Large Language Model Made Powerful for High-fidelity Materials Knowledge Retrieval. arXiv:2401.17244, 2024. </w:t>
      </w:r>
      <w:r>
        <w:rPr>
          <w:rFonts w:ascii="Times New Roman" w:hAnsi="Times New Roman" w:eastAsia="宋体"/>
          <w:b w:val="0"/>
          <w:color w:val="1F4E79"/>
          <w:sz w:val="19"/>
        </w:rPr>
        <w:t>https://arxiv.org/html/2401.17244v3</w:t>
      </w:r>
    </w:p>
    <w:p>
      <w:pPr>
        <w:spacing w:before="320" w:after="120"/>
      </w:pPr>
      <w:r>
        <w:rPr>
          <w:rFonts w:ascii="Times New Roman" w:hAnsi="Times New Roman" w:eastAsia="黑体"/>
          <w:b/>
          <w:color w:val="1B3A52"/>
          <w:sz w:val="30"/>
        </w:rPr>
        <w:t>附：查新结论与证据边界</w:t>
      </w:r>
    </w:p>
    <w:p>
      <w:pPr>
        <w:spacing w:after="80"/>
        <w:ind w:firstLine="420"/>
      </w:pPr>
      <w:r>
        <w:rPr>
          <w:rFonts w:ascii="Times New Roman" w:hAnsi="Times New Roman" w:eastAsia="宋体"/>
          <w:b/>
          <w:color w:val="1A1A1A"/>
          <w:sz w:val="21"/>
        </w:rPr>
        <w:t>本方向的查新强度：中等。</w:t>
      </w:r>
      <w:r>
        <w:rPr>
          <w:rFonts w:ascii="Times New Roman" w:hAnsi="Times New Roman" w:eastAsia="宋体"/>
          <w:b w:val="0"/>
          <w:color w:val="1A1A1A"/>
          <w:sz w:val="21"/>
        </w:rPr>
        <w:t xml:space="preserve"> 检索覆盖「run-to-run consistency LLM」「reproducibility generative materials」「stability materials model」三组关键词。通用领域的非确定性分析 [1] 与跨学科一致性评测 [3] 均已核实存在；材料领域有 LLaMP 的响应自一致性指标 [8]，但</w:t>
      </w:r>
      <w:r>
        <w:rPr>
          <w:rFonts w:ascii="Times New Roman" w:hAnsi="Times New Roman" w:eastAsia="宋体"/>
          <w:b/>
          <w:color w:val="1A1A1A"/>
          <w:sz w:val="21"/>
        </w:rPr>
        <w:t>未发现针对材料逆向设计推荐集合的稳定性评测</w:t>
      </w:r>
      <w:r>
        <w:rPr>
          <w:rFonts w:ascii="Times New Roman" w:hAnsi="Times New Roman" w:eastAsia="宋体"/>
          <w:b w:val="0"/>
          <w:color w:val="1A1A1A"/>
          <w:sz w:val="21"/>
        </w:rPr>
        <w:t>。</w:t>
      </w:r>
    </w:p>
    <w:p>
      <w:pPr>
        <w:spacing w:after="80"/>
        <w:ind w:firstLine="420"/>
      </w:pPr>
      <w:r>
        <w:rPr>
          <w:rFonts w:ascii="Times New Roman" w:hAnsi="Times New Roman" w:eastAsia="宋体"/>
          <w:b w:val="0"/>
          <w:color w:val="1A1A1A"/>
          <w:sz w:val="21"/>
        </w:rPr>
        <w:t>需要说明的边界：</w:t>
      </w:r>
    </w:p>
    <w:p>
      <w:pPr>
        <w:spacing w:after="80"/>
        <w:ind w:firstLine="420"/>
      </w:pPr>
      <w:r>
        <w:rPr>
          <w:rFonts w:ascii="Times New Roman" w:hAnsi="Times New Roman" w:eastAsia="宋体"/>
          <w:b w:val="0"/>
          <w:color w:val="1A1A1A"/>
          <w:sz w:val="21"/>
        </w:rPr>
        <w:t>1. 「未发现」不等于「不存在」。正式开题前应补充检索 ACL、NeurIPS、npj Comput Mater 三条线，重点确认「materials design reproducibility」是否已有专门工作。</w:t>
      </w:r>
    </w:p>
    <w:p>
      <w:pPr>
        <w:spacing w:after="80"/>
        <w:ind w:firstLine="420"/>
      </w:pPr>
      <w:r>
        <w:rPr>
          <w:rFonts w:ascii="Times New Roman" w:hAnsi="Times New Roman" w:eastAsia="宋体"/>
          <w:b w:val="0"/>
          <w:color w:val="1A1A1A"/>
          <w:sz w:val="21"/>
        </w:rPr>
        <w:t>2. 本方向的贡献偏「评测 + 工程改进」，方法新颖性有限。若审稿人认为不足，可以考虑把它作为另一篇方法论文的实验章节，而不是独立成篇。</w:t>
      </w:r>
    </w:p>
    <w:p>
      <w:pPr>
        <w:spacing w:after="80"/>
        <w:ind w:firstLine="420"/>
      </w:pPr>
      <w:r>
        <w:rPr>
          <w:rFonts w:ascii="Times New Roman" w:hAnsi="Times New Roman" w:eastAsia="宋体"/>
          <w:b w:val="0"/>
          <w:color w:val="1A1A1A"/>
          <w:sz w:val="21"/>
        </w:rPr>
        <w:t>3. 稳定性与正确性的联合评价是本课题的关键设计，需要在实验中严格区分「稳定但错」与「稳定且对」。</w:t>
      </w:r>
    </w:p>
    <w:p>
      <w:pPr>
        <w:spacing w:after="80"/>
        <w:ind w:firstLine="420"/>
      </w:pPr>
      <w:r>
        <w:rPr>
          <w:rFonts w:ascii="Times New Roman" w:hAnsi="Times New Roman" w:eastAsia="宋体"/>
          <w:b w:val="0"/>
          <w:color w:val="1A1A1A"/>
          <w:sz w:val="21"/>
        </w:rPr>
        <w:t>文中所有实验设计均为拟议方案，尚未执行。</w:t>
      </w:r>
    </w:p>
    <w:sectPr w:rsidR="00FC693F" w:rsidRPr="0006063C" w:rsidSect="00034616">
      <w:headerReference w:type="default" r:id="rId9"/>
      <w:footerReference w:type="default" r:id="rId10"/>
      <w:pgSz w:w="11906" w:h="16838"/>
      <w:pgMar w:top="1440" w:right="1587" w:bottom="1440" w:left="158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黑体"/>
        <w:b w:val="0"/>
        <w:color w:val="808080"/>
        <w:sz w:val="16"/>
      </w:rPr>
      <w:t>2026 年 10 月 17 日</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Times New Roman" w:hAnsi="Times New Roman" w:eastAsia="黑体"/>
        <w:b w:val="0"/>
        <w:color w:val="808080"/>
        <w:sz w:val="16"/>
      </w:rPr>
      <w:t>硕士学位论文开题报告</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Rule="auto" w:line="360"/>
    </w:pPr>
    <w:rPr>
      <w:rFonts w:ascii="Times New Roman" w:hAnsi="Times New Roman" w:eastAsia="宋体"/>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