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学校：________________</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论文题目：面向合金配方辅助设计的领域小模型选择性蒸馏与知识增强生成方法研究</w:t>
      </w:r>
    </w:p>
    <w:p/>
    <w:p/>
    <w:p/>
    <w:p>
      <w:pPr>
        <w:spacing w:before="0" w:after="160"/>
        <w:ind w:firstLine="2100"/>
        <w:jc w:val="left"/>
      </w:pPr>
      <w:r>
        <w:rPr>
          <w:rFonts w:ascii="Times New Roman" w:hAnsi="Times New Roman" w:eastAsia="宋体"/>
          <w:b w:val="0"/>
          <w:sz w:val="30"/>
        </w:rPr>
        <w:t>指导教师：________________</w:t>
      </w:r>
    </w:p>
    <w:p>
      <w:pPr>
        <w:spacing w:before="0" w:after="160"/>
        <w:ind w:firstLine="2100"/>
        <w:jc w:val="left"/>
      </w:pPr>
      <w:r>
        <w:rPr>
          <w:rFonts w:ascii="Times New Roman" w:hAnsi="Times New Roman" w:eastAsia="宋体"/>
          <w:b w:val="0"/>
          <w:sz w:val="30"/>
        </w:rPr>
        <w:t>单    位：________________</w:t>
      </w:r>
    </w:p>
    <w:p>
      <w:pPr>
        <w:spacing w:before="0" w:after="160"/>
        <w:ind w:firstLine="2100"/>
        <w:jc w:val="left"/>
      </w:pPr>
      <w:r>
        <w:rPr>
          <w:rFonts w:ascii="Times New Roman" w:hAnsi="Times New Roman" w:eastAsia="宋体"/>
          <w:b w:val="0"/>
          <w:sz w:val="30"/>
        </w:rPr>
        <w:t>姓    名：________________</w:t>
      </w:r>
    </w:p>
    <w:p>
      <w:pPr>
        <w:spacing w:before="0" w:after="160"/>
        <w:ind w:firstLine="2100"/>
        <w:jc w:val="left"/>
      </w:pPr>
      <w:r>
        <w:rPr>
          <w:rFonts w:ascii="Times New Roman" w:hAnsi="Times New Roman" w:eastAsia="宋体"/>
          <w:b w:val="0"/>
          <w:sz w:val="30"/>
        </w:rPr>
        <w:t>学    号：________________</w:t>
      </w:r>
    </w:p>
    <w:p>
      <w:pPr>
        <w:spacing w:before="0" w:after="160"/>
        <w:ind w:firstLine="2100"/>
        <w:jc w:val="left"/>
      </w:pPr>
      <w:r>
        <w:rPr>
          <w:rFonts w:ascii="Times New Roman" w:hAnsi="Times New Roman" w:eastAsia="宋体"/>
          <w:b w:val="0"/>
          <w:sz w:val="30"/>
        </w:rPr>
        <w:t>专业名称：________________</w:t>
      </w:r>
    </w:p>
    <w:p>
      <w:pPr>
        <w:spacing w:before="0" w:after="160"/>
        <w:ind w:firstLine="2100"/>
        <w:jc w:val="left"/>
      </w:pPr>
      <w:r>
        <w:rPr>
          <w:rFonts w:ascii="Times New Roman" w:hAnsi="Times New Roman" w:eastAsia="宋体"/>
          <w:b w:val="0"/>
          <w:sz w:val="30"/>
        </w:rPr>
        <w:t>入学时间：________________</w:t>
      </w:r>
    </w:p>
    <w:p/>
    <w:p>
      <w:pPr>
        <w:spacing w:before="360" w:after="0"/>
        <w:jc w:val="center"/>
      </w:pPr>
      <w:r>
        <w:rPr>
          <w:rFonts w:ascii="Times New Roman" w:hAnsi="Times New Roman" w:eastAsia="宋体"/>
          <w:b w:val="0"/>
          <w:sz w:val="30"/>
        </w:rPr>
        <w:t>填报日期：________________</w:t>
      </w:r>
    </w:p>
    <w:p>
      <w:r>
        <w:br w:type="page"/>
      </w:r>
    </w:p>
    <w:p>
      <w:pPr>
        <w:spacing w:before="0" w:after="280"/>
        <w:jc w:val="center"/>
      </w:pPr>
      <w:r>
        <w:rPr>
          <w:rFonts w:ascii="黑体" w:hAnsi="黑体" w:eastAsia="黑体"/>
          <w:b/>
          <w:sz w:val="30"/>
        </w:rPr>
        <w:t>目    录</w:t>
      </w:r>
    </w:p>
    <w:p>
      <w:pPr>
        <w:spacing w:after="40"/>
        <w:ind w:left="0"/>
      </w:pPr>
      <w:r>
        <w:rPr>
          <w:rFonts w:ascii="Times New Roman" w:hAnsi="Times New Roman" w:eastAsia="宋体"/>
          <w:sz w:val="21"/>
        </w:rPr>
        <w:t>1 选题背景、研究目标与意义</w:t>
      </w:r>
    </w:p>
    <w:p>
      <w:pPr>
        <w:spacing w:after="40"/>
        <w:ind w:left="480"/>
      </w:pPr>
      <w:r>
        <w:rPr>
          <w:rFonts w:ascii="Times New Roman" w:hAnsi="Times New Roman" w:eastAsia="宋体"/>
          <w:sz w:val="21"/>
        </w:rPr>
        <w:t>1.1 选题背景</w:t>
      </w:r>
    </w:p>
    <w:p>
      <w:pPr>
        <w:spacing w:after="40"/>
        <w:ind w:left="480"/>
      </w:pPr>
      <w:r>
        <w:rPr>
          <w:rFonts w:ascii="Times New Roman" w:hAnsi="Times New Roman" w:eastAsia="宋体"/>
          <w:sz w:val="21"/>
        </w:rPr>
        <w:t>1.2 研究目标与任务定位</w:t>
      </w:r>
    </w:p>
    <w:p>
      <w:pPr>
        <w:spacing w:after="40"/>
        <w:ind w:left="480"/>
      </w:pPr>
      <w:r>
        <w:rPr>
          <w:rFonts w:ascii="Times New Roman" w:hAnsi="Times New Roman" w:eastAsia="宋体"/>
          <w:sz w:val="21"/>
        </w:rPr>
        <w:t>1.3 选题意义</w:t>
      </w:r>
    </w:p>
    <w:p>
      <w:pPr>
        <w:spacing w:after="40"/>
        <w:ind w:left="0"/>
      </w:pPr>
      <w:r>
        <w:rPr>
          <w:rFonts w:ascii="Times New Roman" w:hAnsi="Times New Roman" w:eastAsia="宋体"/>
          <w:sz w:val="21"/>
        </w:rPr>
        <w:t>2 国内外研究现状与本课题切入点</w:t>
      </w:r>
    </w:p>
    <w:p>
      <w:pPr>
        <w:spacing w:after="40"/>
        <w:ind w:left="480"/>
      </w:pPr>
      <w:r>
        <w:rPr>
          <w:rFonts w:ascii="Times New Roman" w:hAnsi="Times New Roman" w:eastAsia="宋体"/>
          <w:sz w:val="21"/>
        </w:rPr>
        <w:t>2.1 材料语言模型与合金生成</w:t>
      </w:r>
    </w:p>
    <w:p>
      <w:pPr>
        <w:spacing w:after="40"/>
        <w:ind w:left="480"/>
      </w:pPr>
      <w:r>
        <w:rPr>
          <w:rFonts w:ascii="Times New Roman" w:hAnsi="Times New Roman" w:eastAsia="宋体"/>
          <w:sz w:val="21"/>
        </w:rPr>
        <w:t>2.2 知识蒸馏与领域小模型适配</w:t>
      </w:r>
    </w:p>
    <w:p>
      <w:pPr>
        <w:spacing w:after="40"/>
        <w:ind w:left="480"/>
      </w:pPr>
      <w:r>
        <w:rPr>
          <w:rFonts w:ascii="Times New Roman" w:hAnsi="Times New Roman" w:eastAsia="宋体"/>
          <w:sz w:val="21"/>
        </w:rPr>
        <w:t>2.3 指令数据构造与教学样本选择</w:t>
      </w:r>
    </w:p>
    <w:p>
      <w:pPr>
        <w:spacing w:after="40"/>
        <w:ind w:left="480"/>
      </w:pPr>
      <w:r>
        <w:rPr>
          <w:rFonts w:ascii="Times New Roman" w:hAnsi="Times New Roman" w:eastAsia="宋体"/>
          <w:sz w:val="21"/>
        </w:rPr>
        <w:t>2.4 检索增强与受约束生成</w:t>
      </w:r>
    </w:p>
    <w:p>
      <w:pPr>
        <w:spacing w:after="40"/>
        <w:ind w:left="480"/>
      </w:pPr>
      <w:r>
        <w:rPr>
          <w:rFonts w:ascii="Times New Roman" w:hAnsi="Times New Roman" w:eastAsia="宋体"/>
          <w:sz w:val="21"/>
        </w:rPr>
        <w:t>2.5 研究定位与可延伸空间</w:t>
      </w:r>
    </w:p>
    <w:p>
      <w:pPr>
        <w:spacing w:after="40"/>
        <w:ind w:left="0"/>
      </w:pPr>
      <w:r>
        <w:rPr>
          <w:rFonts w:ascii="Times New Roman" w:hAnsi="Times New Roman" w:eastAsia="宋体"/>
          <w:sz w:val="21"/>
        </w:rPr>
        <w:t>3 研究内容与拟采用的方法</w:t>
      </w:r>
    </w:p>
    <w:p>
      <w:pPr>
        <w:spacing w:after="40"/>
        <w:ind w:left="480"/>
      </w:pPr>
      <w:r>
        <w:rPr>
          <w:rFonts w:ascii="Times New Roman" w:hAnsi="Times New Roman" w:eastAsia="宋体"/>
          <w:sz w:val="21"/>
        </w:rPr>
        <w:t>3.1 任务范围与总体方案</w:t>
      </w:r>
    </w:p>
    <w:p>
      <w:pPr>
        <w:spacing w:after="40"/>
        <w:ind w:left="480"/>
      </w:pPr>
      <w:r>
        <w:rPr>
          <w:rFonts w:ascii="Times New Roman" w:hAnsi="Times New Roman" w:eastAsia="宋体"/>
          <w:sz w:val="21"/>
        </w:rPr>
        <w:t>3.2 证据可追溯的教学数据构造</w:t>
      </w:r>
    </w:p>
    <w:p>
      <w:pPr>
        <w:spacing w:after="40"/>
        <w:ind w:left="480"/>
      </w:pPr>
      <w:r>
        <w:rPr>
          <w:rFonts w:ascii="Times New Roman" w:hAnsi="Times New Roman" w:eastAsia="宋体"/>
          <w:sz w:val="21"/>
        </w:rPr>
        <w:t>3.3 学生失误感知与约束覆盖联合的选择性蒸馏</w:t>
      </w:r>
    </w:p>
    <w:p>
      <w:pPr>
        <w:spacing w:after="40"/>
        <w:ind w:left="480"/>
      </w:pPr>
      <w:r>
        <w:rPr>
          <w:rFonts w:ascii="Times New Roman" w:hAnsi="Times New Roman" w:eastAsia="宋体"/>
          <w:sz w:val="21"/>
        </w:rPr>
        <w:t>3.4 条件可比的证据选择与约束一致生成</w:t>
      </w:r>
    </w:p>
    <w:p>
      <w:pPr>
        <w:spacing w:after="40"/>
        <w:ind w:left="0"/>
      </w:pPr>
      <w:r>
        <w:rPr>
          <w:rFonts w:ascii="Times New Roman" w:hAnsi="Times New Roman" w:eastAsia="宋体"/>
          <w:sz w:val="21"/>
        </w:rPr>
        <w:t>4 拟创新点与研究方案</w:t>
      </w:r>
    </w:p>
    <w:p>
      <w:pPr>
        <w:spacing w:after="40"/>
        <w:ind w:left="480"/>
      </w:pPr>
      <w:r>
        <w:rPr>
          <w:rFonts w:ascii="Times New Roman" w:hAnsi="Times New Roman" w:eastAsia="宋体"/>
          <w:sz w:val="21"/>
        </w:rPr>
        <w:t>4.1 拟创新点及其证据要求</w:t>
      </w:r>
    </w:p>
    <w:p>
      <w:pPr>
        <w:spacing w:after="40"/>
        <w:ind w:left="480"/>
      </w:pPr>
      <w:r>
        <w:rPr>
          <w:rFonts w:ascii="Times New Roman" w:hAnsi="Times New Roman" w:eastAsia="宋体"/>
          <w:sz w:val="21"/>
        </w:rPr>
        <w:t>4.2 数据与可用资源</w:t>
      </w:r>
    </w:p>
    <w:p>
      <w:pPr>
        <w:spacing w:after="40"/>
        <w:ind w:left="480"/>
      </w:pPr>
      <w:r>
        <w:rPr>
          <w:rFonts w:ascii="Times New Roman" w:hAnsi="Times New Roman" w:eastAsia="宋体"/>
          <w:sz w:val="21"/>
        </w:rPr>
        <w:t>4.3 实验设计与公平比较</w:t>
      </w:r>
    </w:p>
    <w:p>
      <w:pPr>
        <w:spacing w:after="40"/>
        <w:ind w:left="480"/>
      </w:pPr>
      <w:r>
        <w:rPr>
          <w:rFonts w:ascii="Times New Roman" w:hAnsi="Times New Roman" w:eastAsia="宋体"/>
          <w:sz w:val="21"/>
        </w:rPr>
        <w:t>4.4 指标、接近标准与应用价值验证</w:t>
      </w:r>
    </w:p>
    <w:p>
      <w:pPr>
        <w:spacing w:after="40"/>
        <w:ind w:left="480"/>
      </w:pPr>
      <w:r>
        <w:rPr>
          <w:rFonts w:ascii="Times New Roman" w:hAnsi="Times New Roman" w:eastAsia="宋体"/>
          <w:sz w:val="21"/>
        </w:rPr>
        <w:t>4.5 技术路线与阶段衔接</w:t>
      </w:r>
    </w:p>
    <w:p>
      <w:pPr>
        <w:spacing w:after="40"/>
        <w:ind w:left="0"/>
      </w:pPr>
      <w:r>
        <w:rPr>
          <w:rFonts w:ascii="Times New Roman" w:hAnsi="Times New Roman" w:eastAsia="宋体"/>
          <w:sz w:val="21"/>
        </w:rPr>
        <w:t>5 可行性、风险与预期成果</w:t>
      </w:r>
    </w:p>
    <w:p>
      <w:pPr>
        <w:spacing w:after="40"/>
        <w:ind w:left="480"/>
      </w:pPr>
      <w:r>
        <w:rPr>
          <w:rFonts w:ascii="Times New Roman" w:hAnsi="Times New Roman" w:eastAsia="宋体"/>
          <w:sz w:val="21"/>
        </w:rPr>
        <w:t>5.1 资源与实施可行性</w:t>
      </w:r>
    </w:p>
    <w:p>
      <w:pPr>
        <w:spacing w:after="40"/>
        <w:ind w:left="480"/>
      </w:pPr>
      <w:r>
        <w:rPr>
          <w:rFonts w:ascii="Times New Roman" w:hAnsi="Times New Roman" w:eastAsia="宋体"/>
          <w:sz w:val="21"/>
        </w:rPr>
        <w:t>5.2 主要风险及处理边界</w:t>
      </w:r>
    </w:p>
    <w:p>
      <w:pPr>
        <w:spacing w:after="40"/>
        <w:ind w:left="480"/>
      </w:pPr>
      <w:r>
        <w:rPr>
          <w:rFonts w:ascii="Times New Roman" w:hAnsi="Times New Roman" w:eastAsia="宋体"/>
          <w:sz w:val="21"/>
        </w:rPr>
        <w:t>5.3 预期成果与完成标准</w:t>
      </w:r>
    </w:p>
    <w:p>
      <w:pPr>
        <w:spacing w:after="40"/>
        <w:ind w:left="480"/>
      </w:pPr>
      <w:r>
        <w:rPr>
          <w:rFonts w:ascii="Times New Roman" w:hAnsi="Times New Roman" w:eastAsia="宋体"/>
          <w:sz w:val="21"/>
        </w:rPr>
        <w:t>5.4 数据管理、授权与研究诚信</w:t>
      </w:r>
    </w:p>
    <w:p>
      <w:pPr>
        <w:spacing w:after="40"/>
        <w:ind w:left="0"/>
      </w:pPr>
      <w:r>
        <w:rPr>
          <w:rFonts w:ascii="Times New Roman" w:hAnsi="Times New Roman" w:eastAsia="宋体"/>
          <w:sz w:val="21"/>
        </w:rPr>
        <w:t>6 时间安排</w:t>
      </w:r>
    </w:p>
    <w:p>
      <w:pPr>
        <w:spacing w:after="40"/>
        <w:ind w:left="0"/>
      </w:pPr>
      <w:r>
        <w:rPr>
          <w:rFonts w:ascii="Times New Roman" w:hAnsi="Times New Roman" w:eastAsia="宋体"/>
          <w:sz w:val="21"/>
        </w:rPr>
        <w:t>参考文献</w:t>
      </w:r>
    </w:p>
    <w:p>
      <w:r>
        <w:br w:type="page"/>
      </w:r>
    </w:p>
    <w:p>
      <w:pPr>
        <w:pStyle w:val="Heading1"/>
      </w:pPr>
      <w:r>
        <w:t>1 选题背景、研究目标与意义</w:t>
      </w:r>
    </w:p>
    <w:p>
      <w:pPr>
        <w:pStyle w:val="Heading2"/>
      </w:pPr>
      <w:r>
        <w:t>1.1 选题背景</w:t>
      </w:r>
    </w:p>
    <w:p>
      <w:pPr>
        <w:spacing w:before="60" w:after="60" w:line="360" w:lineRule="auto"/>
        <w:ind w:firstLine="480"/>
      </w:pPr>
      <w:r>
        <w:rPr>
          <w:rFonts w:ascii="Times New Roman" w:hAnsi="Times New Roman" w:eastAsia="宋体"/>
          <w:sz w:val="24"/>
        </w:rPr>
        <w:t>材料配方设计需要把性能需求、允许使用的原料、成分范围和已有实验经验联系起来。语言模型能够理解自然语言要求，组织文献证据，并与计算工具协同完成候选提出与修改。LLMatDesign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t>[1]</w:t>
      </w:r>
      <w:r>
        <w:rPr>
          <w:rFonts w:ascii="Times New Roman" w:hAnsi="Times New Roman" w:eastAsia="宋体"/>
          <w:sz w:val="24"/>
        </w:rPr>
        <w:t>；合金领域的研究进一步表明，开源语言模型可以经过任务微调和偏好学习生成目标类别的候选成分</w:t>
      </w:r>
      <w:r>
        <w:rPr>
          <w:rFonts w:ascii="Times New Roman" w:hAnsi="Times New Roman" w:eastAsia="宋体"/>
          <w:sz w:val="24"/>
          <w:vertAlign w:val="superscript"/>
        </w:rPr>
        <w:t>[2]</w:t>
      </w:r>
      <w:r>
        <w:rPr>
          <w:rFonts w:ascii="Times New Roman" w:hAnsi="Times New Roman" w:eastAsia="宋体"/>
          <w:sz w:val="24"/>
        </w:rPr>
        <w:t>。因此，本课题不以“首次把语言模型用于材料设计”为立题依据，而是在已有应用基础上研究其本地化与任务能力迁移。</w:t>
      </w:r>
    </w:p>
    <w:p>
      <w:pPr>
        <w:spacing w:before="60" w:after="60" w:line="360" w:lineRule="auto"/>
        <w:ind w:firstLine="480"/>
      </w:pPr>
      <w:r>
        <w:rPr>
          <w:rFonts w:ascii="Times New Roman" w:hAnsi="Times New Roman" w:eastAsia="宋体"/>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spacing w:before="60" w:after="60" w:line="360" w:lineRule="auto"/>
        <w:ind w:firstLine="480"/>
      </w:pPr>
      <w:r>
        <w:rPr>
          <w:rFonts w:ascii="Times New Roman" w:hAnsi="Times New Roman" w:eastAsia="宋体"/>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t>[3]</w:t>
      </w:r>
      <w:r>
        <w:rPr>
          <w:rFonts w:ascii="Times New Roman" w:hAnsi="Times New Roman" w:eastAsia="宋体"/>
          <w:sz w:val="24"/>
        </w:rPr>
        <w:t>。AlloyGPT 用结构化文本学习合金组成与性质的关系，表明配方生成可以被组织为语言建模任务</w:t>
      </w:r>
      <w:r>
        <w:rPr>
          <w:rFonts w:ascii="Times New Roman" w:hAnsi="Times New Roman" w:eastAsia="宋体"/>
          <w:sz w:val="24"/>
          <w:vertAlign w:val="superscript"/>
        </w:rPr>
        <w:t>[4]</w:t>
      </w:r>
      <w:r>
        <w:rPr>
          <w:rFonts w:ascii="Times New Roman" w:hAnsi="Times New Roman" w:eastAsia="宋体"/>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t>[8]</w:t>
      </w:r>
      <w:r>
        <w:rPr>
          <w:rFonts w:ascii="Times New Roman" w:hAnsi="Times New Roman" w:eastAsia="宋体"/>
          <w:sz w:val="24"/>
          <w:vertAlign w:val="superscript"/>
        </w:rPr>
        <w:t>[9]</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t>1.2 研究目标与任务定位</w:t>
      </w:r>
    </w:p>
    <w:p>
      <w:pPr>
        <w:spacing w:before="60" w:after="60" w:line="360" w:lineRule="auto"/>
        <w:ind w:firstLine="480"/>
      </w:pPr>
      <w:r>
        <w:rPr>
          <w:rFonts w:ascii="Times New Roman" w:hAnsi="Times New Roman" w:eastAsia="宋体"/>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接近”只针对限定任务、固定资料与工具条件，不指获得教师的全部知识，也不预先承诺一定达到该目标。</w:t>
      </w:r>
    </w:p>
    <w:p>
      <w:pPr>
        <w:spacing w:before="60" w:after="60" w:line="360" w:lineRule="auto"/>
        <w:ind w:firstLine="480"/>
      </w:pPr>
      <w:r>
        <w:rPr>
          <w:rFonts w:ascii="Times New Roman" w:hAnsi="Times New Roman" w:eastAsia="宋体"/>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spacing w:before="60" w:after="60" w:line="360" w:lineRule="auto"/>
        <w:ind w:firstLine="480"/>
      </w:pPr>
      <w:r>
        <w:rPr>
          <w:rFonts w:ascii="Times New Roman" w:hAnsi="Times New Roman" w:eastAsia="宋体"/>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t>1.3 选题意义</w:t>
      </w:r>
    </w:p>
    <w:p>
      <w:pPr>
        <w:spacing w:before="60" w:after="60" w:line="360" w:lineRule="auto"/>
        <w:ind w:firstLine="480"/>
      </w:pPr>
      <w:r>
        <w:rPr>
          <w:rFonts w:ascii="Times New Roman" w:hAnsi="Times New Roman" w:eastAsia="宋体"/>
          <w:b/>
          <w:sz w:val="24"/>
        </w:rPr>
        <w:t>应用意义：减少方案准备中的重复劳动。</w:t>
      </w:r>
      <w:r>
        <w:rPr>
          <w:rFonts w:ascii="Times New Roman" w:hAnsi="Times New Roman" w:eastAsia="宋体"/>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t>[5]</w:t>
      </w:r>
      <w:r>
        <w:rPr>
          <w:rFonts w:ascii="Times New Roman" w:hAnsi="Times New Roman" w:eastAsia="宋体"/>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spacing w:before="60" w:after="60" w:line="360" w:lineRule="auto"/>
        <w:ind w:firstLine="480"/>
      </w:pPr>
      <w:r>
        <w:rPr>
          <w:rFonts w:ascii="Times New Roman" w:hAnsi="Times New Roman" w:eastAsia="宋体"/>
          <w:b/>
          <w:sz w:val="24"/>
        </w:rPr>
        <w:t>部署意义：使领域能力在本地可保存、可控制、可复用。</w:t>
      </w:r>
      <w:r>
        <w:rPr>
          <w:rFonts w:ascii="Times New Roman" w:hAnsi="Times New Roman" w:eastAsia="宋体"/>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spacing w:before="60" w:after="60" w:line="360" w:lineRule="auto"/>
        <w:ind w:firstLine="480"/>
      </w:pPr>
      <w:r>
        <w:rPr>
          <w:rFonts w:ascii="Times New Roman" w:hAnsi="Times New Roman" w:eastAsia="宋体"/>
          <w:b/>
          <w:sz w:val="24"/>
        </w:rPr>
        <w:t>方法意义：把有限资源转化为可研究的数据选择问题。</w:t>
      </w:r>
      <w:r>
        <w:rPr>
          <w:rFonts w:ascii="Times New Roman" w:hAnsi="Times New Roman" w:eastAsia="宋体"/>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t>[13]</w:t>
      </w:r>
      <w:r>
        <w:rPr>
          <w:rFonts w:ascii="Times New Roman" w:hAnsi="Times New Roman" w:eastAsia="宋体"/>
          <w:sz w:val="24"/>
          <w:vertAlign w:val="superscript"/>
        </w:rPr>
        <w:t>[14]</w:t>
      </w:r>
      <w:r>
        <w:rPr>
          <w:rFonts w:ascii="Times New Roman" w:hAnsi="Times New Roman" w:eastAsia="宋体"/>
          <w:sz w:val="24"/>
          <w:vertAlign w:val="superscript"/>
        </w:rPr>
        <w:t>[15]</w:t>
      </w:r>
      <w:r>
        <w:rPr>
          <w:rFonts w:ascii="Times New Roman" w:hAnsi="Times New Roman" w:eastAsia="宋体"/>
          <w:sz w:val="24"/>
          <w:vertAlign w:val="superscript"/>
        </w:rPr>
        <w:t>[16]</w:t>
      </w:r>
      <w:r>
        <w:rPr>
          <w:rFonts w:ascii="Times New Roman" w:hAnsi="Times New Roman" w:eastAsia="宋体"/>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spacing w:before="60" w:after="60" w:line="360" w:lineRule="auto"/>
        <w:ind w:firstLine="480"/>
      </w:pPr>
      <w:r>
        <w:rPr>
          <w:rFonts w:ascii="Times New Roman" w:hAnsi="Times New Roman" w:eastAsia="宋体"/>
          <w:b/>
          <w:sz w:val="24"/>
        </w:rPr>
        <w:t>研究价值：形成从教学样本到部署输出的一致证据链。</w:t>
      </w:r>
      <w:r>
        <w:rPr>
          <w:rFonts w:ascii="Times New Roman" w:hAnsi="Times New Roman" w:eastAsia="宋体"/>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t>2 国内外研究现状与本课题切入点</w:t>
      </w:r>
    </w:p>
    <w:p>
      <w:pPr>
        <w:pStyle w:val="Heading2"/>
      </w:pPr>
      <w:r>
        <w:t>2.1 材料语言模型与合金生成</w:t>
      </w:r>
    </w:p>
    <w:p>
      <w:pPr>
        <w:spacing w:before="60" w:after="60" w:line="360" w:lineRule="auto"/>
        <w:ind w:firstLine="480"/>
      </w:pPr>
      <w:r>
        <w:rPr>
          <w:rFonts w:ascii="Times New Roman" w:hAnsi="Times New Roman" w:eastAsia="宋体"/>
          <w:sz w:val="24"/>
        </w:rPr>
        <w:t>LLMatDesign 将自然语言理解、材料修改和工具评价组成迭代流程，为辅助设计提供了工程参考</w:t>
      </w:r>
      <w:r>
        <w:rPr>
          <w:rFonts w:ascii="Times New Roman" w:hAnsi="Times New Roman" w:eastAsia="宋体"/>
          <w:sz w:val="24"/>
          <w:vertAlign w:val="superscript"/>
        </w:rPr>
        <w:t>[1]</w:t>
      </w:r>
      <w:r>
        <w:rPr>
          <w:rFonts w:ascii="Times New Roman" w:hAnsi="Times New Roman" w:eastAsia="宋体"/>
          <w:sz w:val="24"/>
        </w:rPr>
        <w:t>。针对 BCC/B2 合金的研究利用 LLaMA、Gemma 和 OLMo 等开源模型，通过热力学计算反馈构造偏好数据并进行直接偏好优化</w:t>
      </w:r>
      <w:r>
        <w:rPr>
          <w:rFonts w:ascii="Times New Roman" w:hAnsi="Times New Roman" w:eastAsia="宋体"/>
          <w:sz w:val="24"/>
          <w:vertAlign w:val="superscript"/>
        </w:rPr>
        <w:t>[2]</w:t>
      </w:r>
      <w:r>
        <w:rPr>
          <w:rFonts w:ascii="Times New Roman" w:hAnsi="Times New Roman" w:eastAsia="宋体"/>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spacing w:before="60" w:after="60" w:line="360" w:lineRule="auto"/>
        <w:ind w:firstLine="480"/>
      </w:pPr>
      <w:r>
        <w:rPr>
          <w:rFonts w:ascii="Times New Roman" w:hAnsi="Times New Roman" w:eastAsia="宋体"/>
          <w:sz w:val="24"/>
        </w:rPr>
        <w:t>LLaMat 面向材料研究的多种文本与结构任务进行大规模领域适配</w:t>
      </w:r>
      <w:r>
        <w:rPr>
          <w:rFonts w:ascii="Times New Roman" w:hAnsi="Times New Roman" w:eastAsia="宋体"/>
          <w:sz w:val="24"/>
          <w:vertAlign w:val="superscript"/>
        </w:rPr>
        <w:t>[3]</w:t>
      </w:r>
      <w:r>
        <w:rPr>
          <w:rFonts w:ascii="Times New Roman" w:hAnsi="Times New Roman" w:eastAsia="宋体"/>
          <w:sz w:val="24"/>
        </w:rPr>
        <w:t>；AlloyGPT 同时研究合金正向预测与逆向生成</w:t>
      </w:r>
      <w:r>
        <w:rPr>
          <w:rFonts w:ascii="Times New Roman" w:hAnsi="Times New Roman" w:eastAsia="宋体"/>
          <w:sz w:val="24"/>
          <w:vertAlign w:val="superscript"/>
        </w:rPr>
        <w:t>[4]</w:t>
      </w:r>
      <w:r>
        <w:rPr>
          <w:rFonts w:ascii="Times New Roman" w:hAnsi="Times New Roman" w:eastAsia="宋体"/>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t>[6]</w:t>
      </w:r>
      <w:r>
        <w:rPr>
          <w:rFonts w:ascii="Times New Roman" w:hAnsi="Times New Roman" w:eastAsia="宋体"/>
          <w:sz w:val="24"/>
        </w:rPr>
        <w:t>。它主要研究候选评价，而本课题研究受需求约束的候选提出与修改；两者有关联，不能把评价任务的结果直接当作生成任务的效果保证。</w:t>
      </w:r>
    </w:p>
    <w:p>
      <w:pPr>
        <w:spacing w:before="60" w:after="60" w:line="360" w:lineRule="auto"/>
        <w:ind w:firstLine="480"/>
      </w:pPr>
      <w:r>
        <w:rPr>
          <w:rFonts w:ascii="Times New Roman" w:hAnsi="Times New Roman" w:eastAsia="宋体"/>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t>2.2 知识蒸馏与领域小模型适配</w:t>
      </w:r>
    </w:p>
    <w:p>
      <w:pPr>
        <w:spacing w:before="60" w:after="60" w:line="360" w:lineRule="auto"/>
        <w:ind w:firstLine="480"/>
      </w:pPr>
      <w:r>
        <w:rPr>
          <w:rFonts w:ascii="Times New Roman" w:hAnsi="Times New Roman" w:eastAsia="宋体"/>
          <w:sz w:val="24"/>
        </w:rPr>
        <w:t>知识蒸馏通过教师监督向更容易部署的学生传递能力，其思想早于当前大语言模型</w:t>
      </w:r>
      <w:r>
        <w:rPr>
          <w:rFonts w:ascii="Times New Roman" w:hAnsi="Times New Roman" w:eastAsia="宋体"/>
          <w:sz w:val="24"/>
          <w:vertAlign w:val="superscript"/>
        </w:rPr>
        <w:t>[8]</w:t>
      </w:r>
      <w:r>
        <w:rPr>
          <w:rFonts w:ascii="Times New Roman" w:hAnsi="Times New Roman" w:eastAsia="宋体"/>
          <w:sz w:val="24"/>
        </w:rPr>
        <w:t>。Distilling Step-by-Step 利用教师提供的解释性监督改善任务小模型</w:t>
      </w:r>
      <w:r>
        <w:rPr>
          <w:rFonts w:ascii="Times New Roman" w:hAnsi="Times New Roman" w:eastAsia="宋体"/>
          <w:sz w:val="24"/>
          <w:vertAlign w:val="superscript"/>
        </w:rPr>
        <w:t>[9]</w:t>
      </w:r>
      <w:r>
        <w:rPr>
          <w:rFonts w:ascii="Times New Roman" w:hAnsi="Times New Roman" w:eastAsia="宋体"/>
          <w:sz w:val="24"/>
        </w:rPr>
        <w:t>；Orca 2 强调小模型需要适合自身能力的解题策略，而非机械复制教师行为</w:t>
      </w:r>
      <w:r>
        <w:rPr>
          <w:rFonts w:ascii="Times New Roman" w:hAnsi="Times New Roman" w:eastAsia="宋体"/>
          <w:sz w:val="24"/>
          <w:vertAlign w:val="superscript"/>
        </w:rPr>
        <w:t>[10]</w:t>
      </w:r>
      <w:r>
        <w:rPr>
          <w:rFonts w:ascii="Times New Roman" w:hAnsi="Times New Roman" w:eastAsia="宋体"/>
          <w:sz w:val="24"/>
        </w:rPr>
        <w:t>。这些结果支持任务化教学，但其 NLP 基准结论不等于材料配方任务已经有效。</w:t>
      </w:r>
    </w:p>
    <w:p>
      <w:pPr>
        <w:spacing w:before="60" w:after="60" w:line="360" w:lineRule="auto"/>
        <w:ind w:firstLine="480"/>
      </w:pPr>
      <w:r>
        <w:rPr>
          <w:rFonts w:ascii="Times New Roman" w:hAnsi="Times New Roman" w:eastAsia="宋体"/>
          <w:sz w:val="24"/>
        </w:rPr>
        <w:t>MiniLLM 研究能够访问教师分布时的蒸馏目标与优化方式</w:t>
      </w:r>
      <w:r>
        <w:rPr>
          <w:rFonts w:ascii="Times New Roman" w:hAnsi="Times New Roman" w:eastAsia="宋体"/>
          <w:sz w:val="24"/>
          <w:vertAlign w:val="superscript"/>
        </w:rPr>
        <w:t>[11]</w:t>
      </w:r>
      <w:r>
        <w:rPr>
          <w:rFonts w:ascii="Times New Roman" w:hAnsi="Times New Roman" w:eastAsia="宋体"/>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spacing w:before="60" w:after="60" w:line="360" w:lineRule="auto"/>
        <w:ind w:firstLine="480"/>
      </w:pPr>
      <w:r>
        <w:rPr>
          <w:rFonts w:ascii="Times New Roman" w:hAnsi="Times New Roman" w:eastAsia="宋体"/>
          <w:sz w:val="24"/>
        </w:rPr>
        <w:t>LoRA 冻结底座并训练低秩适配参数，QLoRA 进一步结合量化降低微调显存需求</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t>[21]</w:t>
      </w:r>
      <w:r>
        <w:rPr>
          <w:rFonts w:ascii="Times New Roman" w:hAnsi="Times New Roman" w:eastAsia="宋体"/>
          <w:sz w:val="24"/>
        </w:rPr>
        <w:t>，具体型号、运行模板与版本将在预实验中固定，不以某个品牌作为论文贡献。</w:t>
      </w:r>
    </w:p>
    <w:p>
      <w:pPr>
        <w:spacing w:before="60" w:after="60" w:line="360" w:lineRule="auto"/>
        <w:ind w:firstLine="480"/>
      </w:pPr>
      <w:r>
        <w:rPr>
          <w:rFonts w:ascii="Times New Roman" w:hAnsi="Times New Roman" w:eastAsia="宋体"/>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t>[25]</w:t>
      </w:r>
      <w:r>
        <w:rPr>
          <w:rFonts w:ascii="Times New Roman" w:hAnsi="Times New Roman" w:eastAsia="宋体"/>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spacing w:before="60" w:after="60" w:line="360" w:lineRule="auto"/>
        <w:ind w:firstLine="480"/>
      </w:pPr>
      <w:r>
        <w:rPr>
          <w:rFonts w:ascii="Times New Roman" w:hAnsi="Times New Roman" w:eastAsia="宋体"/>
          <w:sz w:val="24"/>
        </w:rPr>
        <w:t>与之相关但路径不同的是“类型化决策模型”方向。Deka 提出 SBERT2S1，把为检索训练的生物医学句子编码器转换为一次前向给出受限选项概率的决策模型，并发布 BIODECIDE 评测套件与 MEDLINE-S1[26]。其训练决策来自 NLM 索引体系，是一种长期人工维护的专业标注资源。该工作还报告，在温度缩放后没有哪个训练目标在校准上明显优于普通交叉熵，且公开的 RLCD 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r>
        <w:rPr>
          <w:rFonts w:ascii="Times New Roman" w:hAnsi="Times New Roman" w:eastAsia="宋体"/>
          <w:sz w:val="24"/>
          <w:vertAlign w:val="superscript"/>
        </w:rPr>
      </w:r>
      <w:r>
        <w:rPr>
          <w:rFonts w:ascii="Times New Roman" w:hAnsi="Times New Roman" w:eastAsia="宋体"/>
          <w:sz w:val="24"/>
        </w:rPr>
      </w:r>
    </w:p>
    <w:p>
      <w:pPr>
        <w:pStyle w:val="Heading2"/>
      </w:pPr>
      <w:r>
        <w:t>2.3 指令数据构造与教学样本选择</w:t>
      </w:r>
    </w:p>
    <w:p>
      <w:pPr>
        <w:spacing w:before="60" w:after="60" w:line="360" w:lineRule="auto"/>
        <w:ind w:firstLine="480"/>
      </w:pPr>
      <w:r>
        <w:rPr>
          <w:rFonts w:ascii="Times New Roman" w:hAnsi="Times New Roman" w:eastAsia="宋体"/>
          <w:sz w:val="24"/>
        </w:rPr>
        <w:t>Self-Instruct 展示了生成指令、过滤无效或相似样本后再训练的基本流程</w:t>
      </w:r>
      <w:r>
        <w:rPr>
          <w:rFonts w:ascii="Times New Roman" w:hAnsi="Times New Roman" w:eastAsia="宋体"/>
          <w:sz w:val="24"/>
          <w:vertAlign w:val="superscript"/>
        </w:rPr>
        <w:t>[12]</w:t>
      </w:r>
      <w:r>
        <w:rPr>
          <w:rFonts w:ascii="Times New Roman" w:hAnsi="Times New Roman" w:eastAsia="宋体"/>
          <w:sz w:val="24"/>
        </w:rPr>
        <w:t>。DEITA 从质量、复杂度与多样性进行数据选择</w:t>
      </w:r>
      <w:r>
        <w:rPr>
          <w:rFonts w:ascii="Times New Roman" w:hAnsi="Times New Roman" w:eastAsia="宋体"/>
          <w:sz w:val="24"/>
          <w:vertAlign w:val="superscript"/>
        </w:rPr>
        <w:t>[13]</w:t>
      </w:r>
      <w:r>
        <w:rPr>
          <w:rFonts w:ascii="Times New Roman" w:hAnsi="Times New Roman" w:eastAsia="宋体"/>
          <w:sz w:val="24"/>
        </w:rPr>
        <w:t>，LESS 用梯度影响近似服务于定向指令微调</w:t>
      </w:r>
      <w:r>
        <w:rPr>
          <w:rFonts w:ascii="Times New Roman" w:hAnsi="Times New Roman" w:eastAsia="宋体"/>
          <w:sz w:val="24"/>
          <w:vertAlign w:val="superscript"/>
        </w:rPr>
        <w:t>[14]</w:t>
      </w:r>
      <w:r>
        <w:rPr>
          <w:rFonts w:ascii="Times New Roman" w:hAnsi="Times New Roman" w:eastAsia="宋体"/>
          <w:sz w:val="24"/>
        </w:rPr>
        <w:t>，D3 联合考虑多样性、难度和可信度</w:t>
      </w:r>
      <w:r>
        <w:rPr>
          <w:rFonts w:ascii="Times New Roman" w:hAnsi="Times New Roman" w:eastAsia="宋体"/>
          <w:sz w:val="24"/>
          <w:vertAlign w:val="superscript"/>
        </w:rPr>
        <w:t>[15]</w:t>
      </w:r>
      <w:r>
        <w:rPr>
          <w:rFonts w:ascii="Times New Roman" w:hAnsi="Times New Roman" w:eastAsia="宋体"/>
          <w:sz w:val="24"/>
        </w:rPr>
        <w:t>。LASER 进一步采用任务分层、专用质量评分及难度度量，并涉及约束生成任务</w:t>
      </w:r>
      <w:r>
        <w:rPr>
          <w:rFonts w:ascii="Times New Roman" w:hAnsi="Times New Roman" w:eastAsia="宋体"/>
          <w:sz w:val="24"/>
          <w:vertAlign w:val="superscript"/>
        </w:rPr>
        <w:t>[16]</w:t>
      </w:r>
      <w:r>
        <w:rPr>
          <w:rFonts w:ascii="Times New Roman" w:hAnsi="Times New Roman" w:eastAsia="宋体"/>
          <w:sz w:val="24"/>
        </w:rPr>
        <w:t>。因此，“困难度加多样性”或“按约束分组”都不能单独声称是新的通用方法。</w:t>
      </w:r>
    </w:p>
    <w:p>
      <w:pPr>
        <w:spacing w:before="60" w:after="60" w:line="360" w:lineRule="auto"/>
        <w:ind w:firstLine="480"/>
      </w:pPr>
      <w:r>
        <w:rPr>
          <w:rFonts w:ascii="Times New Roman" w:hAnsi="Times New Roman" w:eastAsia="宋体"/>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t>2.4 检索增强与受约束生成</w:t>
      </w:r>
    </w:p>
    <w:p>
      <w:pPr>
        <w:spacing w:before="60" w:after="60" w:line="360" w:lineRule="auto"/>
        <w:ind w:firstLine="480"/>
      </w:pPr>
      <w:r>
        <w:rPr>
          <w:rFonts w:ascii="Times New Roman" w:hAnsi="Times New Roman" w:eastAsia="宋体"/>
          <w:sz w:val="24"/>
        </w:rPr>
        <w:t>检索增强生成将模型参数知识与外部资料结合，有利于提供来源和更新知识</w:t>
      </w:r>
      <w:r>
        <w:rPr>
          <w:rFonts w:ascii="Times New Roman" w:hAnsi="Times New Roman" w:eastAsia="宋体"/>
          <w:sz w:val="24"/>
          <w:vertAlign w:val="superscript"/>
        </w:rPr>
        <w:t>[17]</w:t>
      </w:r>
      <w:r>
        <w:rPr>
          <w:rFonts w:ascii="Times New Roman" w:hAnsi="Times New Roman" w:eastAsia="宋体"/>
          <w:sz w:val="24"/>
        </w:rPr>
        <w:t>。RAFT 在领域问答中训练模型使用相关文档并忽略干扰内容</w:t>
      </w:r>
      <w:r>
        <w:rPr>
          <w:rFonts w:ascii="Times New Roman" w:hAnsi="Times New Roman" w:eastAsia="宋体"/>
          <w:sz w:val="24"/>
          <w:vertAlign w:val="superscript"/>
        </w:rPr>
        <w:t>[18]</w:t>
      </w:r>
      <w:r>
        <w:rPr>
          <w:rFonts w:ascii="Times New Roman" w:hAnsi="Times New Roman" w:eastAsia="宋体"/>
          <w:sz w:val="24"/>
        </w:rPr>
        <w:t>，可为本课题设计“相近成分但条件不同”的教学实例提供方法参考。RAFT 的问答结果不能直接证明生成配方的科学可靠性，必须另行检验实例的条件对应和引用准确性。</w:t>
      </w:r>
    </w:p>
    <w:p>
      <w:pPr>
        <w:spacing w:before="60" w:after="60" w:line="360" w:lineRule="auto"/>
        <w:ind w:firstLine="480"/>
      </w:pPr>
      <w:r>
        <w:rPr>
          <w:rFonts w:ascii="Times New Roman" w:hAnsi="Times New Roman" w:eastAsia="宋体"/>
          <w:sz w:val="24"/>
        </w:rPr>
        <w:t>PICARD 通过增量解析拒绝不合法的输出扩展，说明结构化任务可以在解码过程中引入明确约束</w:t>
      </w:r>
      <w:r>
        <w:rPr>
          <w:rFonts w:ascii="Times New Roman" w:hAnsi="Times New Roman" w:eastAsia="宋体"/>
          <w:sz w:val="24"/>
          <w:vertAlign w:val="superscript"/>
        </w:rPr>
        <w:t>[22]</w:t>
      </w:r>
      <w:r>
        <w:rPr>
          <w:rFonts w:ascii="Times New Roman" w:hAnsi="Times New Roman" w:eastAsia="宋体"/>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t>2.5 研究定位与可延伸空间</w:t>
      </w:r>
    </w:p>
    <w:p>
      <w:pPr>
        <w:spacing w:before="60" w:after="60" w:line="360" w:lineRule="auto"/>
        <w:ind w:firstLine="480"/>
      </w:pPr>
      <w:r>
        <w:rPr>
          <w:rFonts w:ascii="Times New Roman" w:hAnsi="Times New Roman" w:eastAsia="宋体"/>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spacing w:before="60" w:after="60" w:line="360" w:lineRule="auto"/>
        <w:ind w:firstLine="480"/>
      </w:pPr>
      <w:r>
        <w:rPr>
          <w:rFonts w:ascii="Times New Roman" w:hAnsi="Times New Roman" w:eastAsia="宋体"/>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 HEA-Bench 明确将经验相规则定位为弱筛选而非相预测</w:t>
      </w:r>
      <w:r>
        <w:rPr>
          <w:rFonts w:ascii="Times New Roman" w:hAnsi="Times New Roman" w:eastAsia="宋体"/>
          <w:sz w:val="24"/>
          <w:vertAlign w:val="superscript"/>
        </w:rPr>
        <w:t>[23]</w:t>
      </w:r>
      <w:r>
        <w:rPr>
          <w:rFonts w:ascii="Times New Roman" w:hAnsi="Times New Roman" w:eastAsia="宋体"/>
          <w:sz w:val="24"/>
        </w:rPr>
        <w:t>，故此类工具只作为可选的辅助诊断，不生成真实可合成性标签。</w:t>
      </w:r>
    </w:p>
    <w:p>
      <w:pPr>
        <w:pStyle w:val="Heading1"/>
      </w:pPr>
      <w:r>
        <w:t>3 研究内容与拟采用的方法</w:t>
      </w:r>
    </w:p>
    <w:p>
      <w:pPr>
        <w:pStyle w:val="Heading2"/>
      </w:pPr>
      <w:r>
        <w:t>3.1 任务范围与总体方案</w:t>
      </w:r>
    </w:p>
    <w:p>
      <w:pPr>
        <w:spacing w:before="60" w:after="60" w:line="360" w:lineRule="auto"/>
        <w:ind w:firstLine="480"/>
      </w:pPr>
      <w:r>
        <w:rPr>
          <w:rFonts w:ascii="Times New Roman" w:hAnsi="Times New Roman" w:eastAsia="宋体"/>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spacing w:before="60" w:after="60" w:line="360" w:lineRule="auto"/>
        <w:ind w:firstLine="480"/>
      </w:pPr>
      <w:r>
        <w:rPr>
          <w:rFonts w:ascii="Times New Roman" w:hAnsi="Times New Roman" w:eastAsia="宋体"/>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spacing w:before="60" w:after="60" w:line="360" w:lineRule="auto"/>
        <w:ind w:firstLine="480"/>
      </w:pPr>
      <w:r>
        <w:rPr>
          <w:rFonts w:ascii="Times New Roman" w:hAnsi="Times New Roman" w:eastAsia="宋体"/>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2"/>
      </w:pPr>
      <w:r>
        <w:t>3.2 证据可追溯的教学数据构造</w:t>
      </w:r>
    </w:p>
    <w:p>
      <w:pPr>
        <w:spacing w:before="60" w:after="60" w:line="360" w:lineRule="auto"/>
        <w:ind w:firstLine="480"/>
      </w:pPr>
      <w:r>
        <w:rPr>
          <w:rFonts w:ascii="Times New Roman" w:hAnsi="Times New Roman" w:eastAsia="宋体"/>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t>[7]</w:t>
      </w:r>
      <w:r>
        <w:rPr>
          <w:rFonts w:ascii="Times New Roman" w:hAnsi="Times New Roman" w:eastAsia="宋体"/>
          <w:sz w:val="24"/>
        </w:rPr>
        <w:t>。这些条件不能省略后再把记录间差异当作噪声。已有约两万篇全文库作为潜在扩展资源，其合金覆盖、字段质量和使用权限尚未审计，不将其全部条目直接计为本课题训练数据。</w:t>
      </w:r>
    </w:p>
    <w:p>
      <w:pPr>
        <w:spacing w:before="60" w:after="60" w:line="360" w:lineRule="auto"/>
        <w:ind w:firstLine="480"/>
      </w:pPr>
      <w:r>
        <w:rPr>
          <w:rFonts w:ascii="Times New Roman" w:hAnsi="Times New Roman" w:eastAsia="宋体"/>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spacing w:before="60" w:after="60" w:line="360" w:lineRule="auto"/>
        <w:ind w:firstLine="480"/>
      </w:pPr>
      <w:r>
        <w:rPr>
          <w:rFonts w:ascii="Times New Roman" w:hAnsi="Times New Roman" w:eastAsia="宋体"/>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spacing w:before="60" w:after="60" w:line="360" w:lineRule="auto"/>
        <w:ind w:firstLine="480"/>
      </w:pPr>
      <w:r>
        <w:rPr>
          <w:rFonts w:ascii="Times New Roman" w:hAnsi="Times New Roman" w:eastAsia="宋体"/>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2"/>
      </w:pPr>
      <w:r>
        <w:t>3.3 学生失误感知与约束覆盖联合的选择性蒸馏</w:t>
      </w:r>
    </w:p>
    <w:p>
      <w:pPr>
        <w:spacing w:before="60" w:after="60" w:line="360" w:lineRule="auto"/>
        <w:ind w:firstLine="480"/>
      </w:pPr>
      <w:r>
        <w:rPr>
          <w:rFonts w:ascii="Times New Roman" w:hAnsi="Times New Roman" w:eastAsia="宋体"/>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spacing w:before="60" w:after="60" w:line="360" w:lineRule="auto"/>
        <w:ind w:firstLine="480"/>
      </w:pPr>
      <w:r>
        <w:rPr>
          <w:rFonts w:ascii="Times New Roman" w:hAnsi="Times New Roman" w:eastAsia="宋体"/>
          <w:sz w:val="24"/>
        </w:rPr>
        <w:t xml:space="preserve">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w:t>
      </w:r>
      <w:r>
        <w:rPr>
          <w:rFonts w:ascii="Times New Roman" w:hAnsi="Times New Roman" w:eastAsia="宋体"/>
          <w:sz w:val="24"/>
          <w:vertAlign w:val="superscript"/>
        </w:rPr>
        <w:t>[0,1]</w:t>
      </w:r>
      <w:r>
        <w:rPr>
          <w:rFonts w:ascii="Times New Roman" w:hAnsi="Times New Roman" w:eastAsia="宋体"/>
          <w:sz w:val="24"/>
        </w:rPr>
        <w:t>，覆盖权重满足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spacing w:before="60" w:after="60" w:line="360" w:lineRule="auto"/>
        <w:ind w:firstLine="480"/>
      </w:pPr>
      <w:r>
        <w:rPr>
          <w:rFonts w:ascii="Times New Roman" w:hAnsi="Times New Roman" w:eastAsia="宋体"/>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spacing w:before="60" w:after="60" w:line="360" w:lineRule="auto"/>
        <w:ind w:firstLine="480"/>
      </w:pPr>
      <w:r>
        <w:rPr>
          <w:rFonts w:ascii="Times New Roman" w:hAnsi="Times New Roman" w:eastAsia="宋体"/>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spacing w:before="60" w:after="60" w:line="360" w:lineRule="auto"/>
        <w:ind w:firstLine="480"/>
      </w:pPr>
      <w:r>
        <w:rPr>
          <w:rFonts w:ascii="Times New Roman" w:hAnsi="Times New Roman" w:eastAsia="宋体"/>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2"/>
      </w:pPr>
      <w:r>
        <w:t>3.4 条件可比的证据选择与约束一致生成</w:t>
      </w:r>
    </w:p>
    <w:p>
      <w:pPr>
        <w:spacing w:before="60" w:after="60" w:line="360" w:lineRule="auto"/>
        <w:ind w:firstLine="480"/>
      </w:pPr>
      <w:r>
        <w:rPr>
          <w:rFonts w:ascii="Times New Roman" w:hAnsi="Times New Roman" w:eastAsia="宋体"/>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spacing w:before="60" w:after="60" w:line="360" w:lineRule="auto"/>
        <w:ind w:firstLine="480"/>
      </w:pPr>
      <w:r>
        <w:rPr>
          <w:rFonts w:ascii="Times New Roman" w:hAnsi="Times New Roman" w:eastAsia="宋体"/>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spacing w:before="60" w:after="60" w:line="360" w:lineRule="auto"/>
        <w:ind w:firstLine="480"/>
      </w:pPr>
      <w:r>
        <w:rPr>
          <w:rFonts w:ascii="Times New Roman" w:hAnsi="Times New Roman" w:eastAsia="宋体"/>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spacing w:before="60" w:after="60" w:line="360" w:lineRule="auto"/>
        <w:ind w:firstLine="480"/>
      </w:pPr>
      <w:r>
        <w:rPr>
          <w:rFonts w:ascii="Times New Roman" w:hAnsi="Times New Roman" w:eastAsia="宋体"/>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1"/>
      </w:pPr>
      <w:r>
        <w:t>4 拟创新点与研究方案</w:t>
      </w:r>
    </w:p>
    <w:p>
      <w:pPr>
        <w:pStyle w:val="Heading2"/>
      </w:pPr>
      <w:r>
        <w:t>4.1 拟创新点及其证据要求</w:t>
      </w:r>
    </w:p>
    <w:p>
      <w:pPr>
        <w:spacing w:before="60" w:after="60" w:line="360" w:lineRule="auto"/>
        <w:ind w:firstLine="480"/>
      </w:pPr>
      <w:r>
        <w:rPr>
          <w:rFonts w:ascii="Times New Roman" w:hAnsi="Times New Roman" w:eastAsia="宋体"/>
          <w:b/>
          <w:sz w:val="24"/>
        </w:rPr>
        <w:t>拟创新点一：约束扰动与证据绑定结合的任务蒸馏数据构造。</w:t>
      </w:r>
      <w:r>
        <w:rPr>
          <w:rFonts w:ascii="Times New Roman" w:hAnsi="Times New Roman" w:eastAsia="宋体"/>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spacing w:before="60" w:after="60" w:line="360" w:lineRule="auto"/>
        <w:ind w:firstLine="480"/>
      </w:pPr>
      <w:r>
        <w:rPr>
          <w:rFonts w:ascii="Times New Roman" w:hAnsi="Times New Roman" w:eastAsia="宋体"/>
          <w:b/>
          <w:sz w:val="24"/>
        </w:rPr>
        <w:t>拟创新点二：可核验学生失误与约束组合覆盖驱动的预算选样。</w:t>
      </w:r>
      <w:r>
        <w:rPr>
          <w:rFonts w:ascii="Times New Roman" w:hAnsi="Times New Roman" w:eastAsia="宋体"/>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t>[13]</w:t>
      </w:r>
      <w:r>
        <w:rPr>
          <w:rFonts w:ascii="Times New Roman" w:hAnsi="Times New Roman" w:eastAsia="宋体"/>
          <w:sz w:val="24"/>
          <w:vertAlign w:val="superscript"/>
        </w:rPr>
        <w:t>[15]</w:t>
      </w:r>
      <w:r>
        <w:rPr>
          <w:rFonts w:ascii="Times New Roman" w:hAnsi="Times New Roman" w:eastAsia="宋体"/>
          <w:sz w:val="24"/>
          <w:vertAlign w:val="superscript"/>
        </w:rPr>
        <w:t>[16]</w:t>
      </w:r>
      <w:r>
        <w:rPr>
          <w:rFonts w:ascii="Times New Roman" w:hAnsi="Times New Roman" w:eastAsia="宋体"/>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spacing w:before="60" w:after="60" w:line="360" w:lineRule="auto"/>
        <w:ind w:firstLine="480"/>
      </w:pPr>
      <w:r>
        <w:rPr>
          <w:rFonts w:ascii="Times New Roman" w:hAnsi="Times New Roman" w:eastAsia="宋体"/>
          <w:b/>
          <w:sz w:val="24"/>
        </w:rPr>
        <w:t>拟创新点三：教学与推理共用约束状态的检索增强分步生成。</w:t>
      </w:r>
      <w:r>
        <w:rPr>
          <w:rFonts w:ascii="Times New Roman" w:hAnsi="Times New Roman" w:eastAsia="宋体"/>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spacing w:before="60" w:after="60" w:line="360" w:lineRule="auto"/>
        <w:ind w:firstLine="480"/>
      </w:pPr>
      <w:r>
        <w:rPr>
          <w:rFonts w:ascii="Times New Roman" w:hAnsi="Times New Roman" w:eastAsia="宋体"/>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pStyle w:val="Heading2"/>
      </w:pPr>
      <w:r>
        <w:t>4.2 数据与可用资源</w:t>
      </w:r>
    </w:p>
    <w:p>
      <w:pPr>
        <w:spacing w:before="60" w:after="60" w:line="360" w:lineRule="auto"/>
        <w:ind w:firstLine="480"/>
      </w:pPr>
      <w:r>
        <w:rPr>
          <w:rFonts w:ascii="Times New Roman" w:hAnsi="Times New Roman" w:eastAsia="宋体"/>
          <w:sz w:val="24"/>
        </w:rPr>
        <w:t>主线优先使用已经确认可取得的公开 MPEA 数据及其许可允许的来源信息</w:t>
      </w:r>
      <w:r>
        <w:rPr>
          <w:rFonts w:ascii="Times New Roman" w:hAnsi="Times New Roman" w:eastAsia="宋体"/>
          <w:sz w:val="24"/>
          <w:vertAlign w:val="superscript"/>
        </w:rPr>
        <w:t>[7]</w:t>
      </w:r>
      <w:r>
        <w:rPr>
          <w:rFonts w:ascii="Times New Roman" w:hAnsi="Times New Roman" w:eastAsia="宋体"/>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spacing w:before="60" w:after="60" w:line="360" w:lineRule="auto"/>
        <w:ind w:firstLine="480"/>
      </w:pPr>
      <w:r>
        <w:rPr>
          <w:rFonts w:ascii="Times New Roman" w:hAnsi="Times New Roman" w:eastAsia="宋体"/>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t>[24]</w:t>
      </w:r>
      <w:r>
        <w:rPr>
          <w:rFonts w:ascii="Times New Roman" w:hAnsi="Times New Roman" w:eastAsia="宋体"/>
          <w:sz w:val="24"/>
        </w:rPr>
        <w:t>，但它不是高熵合金实测数据，正式使用前须核对具体版本、字段和缺失值，不作为当前必需前提。</w:t>
      </w:r>
    </w:p>
    <w:p>
      <w:pPr>
        <w:spacing w:before="60" w:after="60" w:line="360" w:lineRule="auto"/>
        <w:ind w:firstLine="480"/>
      </w:pPr>
      <w:r>
        <w:rPr>
          <w:rFonts w:ascii="Times New Roman" w:hAnsi="Times New Roman" w:eastAsia="宋体"/>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69"/>
        <w:gridCol w:w="2769"/>
        <w:gridCol w:w="2769"/>
      </w:tblGrid>
      <w:tr>
        <w:trPr>
          <w:tblHeader/>
          <w:cantSplit/>
        </w:trPr>
        <w:tc>
          <w:tcPr>
            <w:tcW w:type="dxa" w:w="2769"/>
          </w:tcPr>
          <w:p>
            <w:r>
              <w:rPr>
                <w:rFonts w:ascii="Times New Roman" w:hAnsi="Times New Roman" w:eastAsia="宋体"/>
                <w:b/>
                <w:sz w:val="21"/>
              </w:rPr>
              <w:t>层级</w:t>
            </w:r>
          </w:p>
        </w:tc>
        <w:tc>
          <w:tcPr>
            <w:tcW w:type="dxa" w:w="2769"/>
          </w:tcPr>
          <w:p>
            <w:r>
              <w:rPr>
                <w:rFonts w:ascii="Times New Roman" w:hAnsi="Times New Roman" w:eastAsia="宋体"/>
                <w:b/>
                <w:sz w:val="21"/>
              </w:rPr>
              <w:t>已核实资料或计划规模</w:t>
            </w:r>
          </w:p>
        </w:tc>
        <w:tc>
          <w:tcPr>
            <w:tcW w:type="dxa" w:w="2769"/>
          </w:tcPr>
          <w:p>
            <w:r>
              <w:rPr>
                <w:rFonts w:ascii="Times New Roman" w:hAnsi="Times New Roman" w:eastAsia="宋体"/>
                <w:b/>
                <w:sz w:val="21"/>
              </w:rPr>
              <w:t>使用与边界</w:t>
            </w:r>
          </w:p>
        </w:tc>
      </w:tr>
      <w:tr>
        <w:trPr>
          <w:cantSplit/>
        </w:trPr>
        <w:tc>
          <w:tcPr>
            <w:tcW w:type="dxa" w:w="2769"/>
          </w:tcPr>
          <w:p>
            <w:r>
              <w:rPr>
                <w:rFonts w:ascii="Times New Roman" w:hAnsi="Times New Roman" w:eastAsia="宋体"/>
                <w:b w:val="0"/>
                <w:sz w:val="21"/>
              </w:rPr>
              <w:t>MPEA 主资料</w:t>
            </w:r>
          </w:p>
        </w:tc>
        <w:tc>
          <w:tcPr>
            <w:tcW w:type="dxa" w:w="2769"/>
          </w:tcPr>
          <w:p>
            <w:r>
              <w:rPr>
                <w:rFonts w:ascii="Times New Roman" w:hAnsi="Times New Roman" w:eastAsia="宋体"/>
                <w:b w:val="0"/>
                <w:sz w:val="21"/>
              </w:rPr>
              <w:t>1,545 条记录、630 种成分、265 个 DOI</w:t>
            </w:r>
          </w:p>
        </w:tc>
        <w:tc>
          <w:tcPr>
            <w:tcW w:type="dxa" w:w="2769"/>
          </w:tcPr>
          <w:p>
            <w:r>
              <w:rPr>
                <w:rFonts w:ascii="Times New Roman" w:hAnsi="Times New Roman" w:eastAsia="宋体"/>
                <w:b w:val="0"/>
                <w:sz w:val="21"/>
              </w:rPr>
              <w:t>用于资料审计与可用字段筛选，不将全部记录混成相同条件的性能标签</w:t>
            </w:r>
          </w:p>
        </w:tc>
      </w:tr>
      <w:tr>
        <w:trPr>
          <w:cantSplit/>
        </w:trPr>
        <w:tc>
          <w:tcPr>
            <w:tcW w:type="dxa" w:w="2769"/>
          </w:tcPr>
          <w:p>
            <w:r>
              <w:rPr>
                <w:rFonts w:ascii="Times New Roman" w:hAnsi="Times New Roman" w:eastAsia="宋体"/>
                <w:b w:val="0"/>
                <w:sz w:val="21"/>
              </w:rPr>
              <w:t>首版硬度子集</w:t>
            </w:r>
          </w:p>
        </w:tc>
        <w:tc>
          <w:tcPr>
            <w:tcW w:type="dxa" w:w="2769"/>
          </w:tcPr>
          <w:p>
            <w:r>
              <w:rPr>
                <w:rFonts w:ascii="Times New Roman" w:hAnsi="Times New Roman" w:eastAsia="宋体"/>
                <w:b w:val="0"/>
                <w:sz w:val="21"/>
              </w:rPr>
              <w:t>254 条记录、233 种成分、55 个 DOI</w:t>
            </w:r>
          </w:p>
        </w:tc>
        <w:tc>
          <w:tcPr>
            <w:tcW w:type="dxa" w:w="2769"/>
          </w:tcPr>
          <w:p>
            <w:r>
              <w:rPr>
                <w:rFonts w:ascii="Times New Roman" w:hAnsi="Times New Roman" w:eastAsia="宋体"/>
                <w:b w:val="0"/>
                <w:sz w:val="21"/>
              </w:rPr>
              <w:t>测试温度字段为 20—30 ℃、粗工艺为 CAST 且有硬度值，详细测试条件仍需核验</w:t>
            </w:r>
          </w:p>
        </w:tc>
      </w:tr>
      <w:tr>
        <w:trPr>
          <w:cantSplit/>
        </w:trPr>
        <w:tc>
          <w:tcPr>
            <w:tcW w:type="dxa" w:w="2769"/>
          </w:tcPr>
          <w:p>
            <w:r>
              <w:rPr>
                <w:rFonts w:ascii="Times New Roman" w:hAnsi="Times New Roman" w:eastAsia="宋体"/>
                <w:b w:val="0"/>
                <w:sz w:val="21"/>
              </w:rPr>
              <w:t>预实验教学池</w:t>
            </w:r>
          </w:p>
        </w:tc>
        <w:tc>
          <w:tcPr>
            <w:tcW w:type="dxa" w:w="2769"/>
          </w:tcPr>
          <w:p>
            <w:r>
              <w:rPr>
                <w:rFonts w:ascii="Times New Roman" w:hAnsi="Times New Roman" w:eastAsia="宋体"/>
                <w:b w:val="0"/>
                <w:sz w:val="21"/>
              </w:rPr>
              <w:t>计划约 300—1,000 个合格任务</w:t>
            </w:r>
          </w:p>
        </w:tc>
        <w:tc>
          <w:tcPr>
            <w:tcW w:type="dxa" w:w="2769"/>
          </w:tcPr>
          <w:p>
            <w:r>
              <w:rPr>
                <w:rFonts w:ascii="Times New Roman" w:hAnsi="Times New Roman" w:eastAsia="宋体"/>
                <w:b w:val="0"/>
                <w:sz w:val="21"/>
              </w:rPr>
              <w:t>仅由训练分区产生，每条基础记录先限制至不超过 8 个派生任务，并限制单一来源集中；不足计划数量时如实缩小，不复制凑数</w:t>
            </w:r>
          </w:p>
        </w:tc>
      </w:tr>
      <w:tr>
        <w:trPr>
          <w:cantSplit/>
        </w:trPr>
        <w:tc>
          <w:tcPr>
            <w:tcW w:type="dxa" w:w="2769"/>
          </w:tcPr>
          <w:p>
            <w:r>
              <w:rPr>
                <w:rFonts w:ascii="Times New Roman" w:hAnsi="Times New Roman" w:eastAsia="宋体"/>
                <w:b w:val="0"/>
                <w:sz w:val="21"/>
              </w:rPr>
              <w:t>开发与测试任务</w:t>
            </w:r>
          </w:p>
        </w:tc>
        <w:tc>
          <w:tcPr>
            <w:tcW w:type="dxa" w:w="2769"/>
          </w:tcPr>
          <w:p>
            <w:r>
              <w:rPr>
                <w:rFonts w:ascii="Times New Roman" w:hAnsi="Times New Roman" w:eastAsia="宋体"/>
                <w:b w:val="0"/>
                <w:sz w:val="21"/>
              </w:rPr>
              <w:t>由各自来源关联组独立构造</w:t>
            </w:r>
          </w:p>
        </w:tc>
        <w:tc>
          <w:tcPr>
            <w:tcW w:type="dxa" w:w="2769"/>
          </w:tcPr>
          <w:p>
            <w:r>
              <w:rPr>
                <w:rFonts w:ascii="Times New Roman" w:hAnsi="Times New Roman" w:eastAsia="宋体"/>
                <w:b w:val="0"/>
                <w:sz w:val="21"/>
              </w:rPr>
              <w:t>每条基础记录先构造 1—3 个任务；实际记录数、DOI 数、关联组数和任务数在首次划分后报告，目前不填伪造的实测数</w:t>
            </w:r>
          </w:p>
        </w:tc>
      </w:tr>
    </w:tbl>
    <w:p>
      <w:pPr>
        <w:spacing w:before="60" w:after="60" w:line="360" w:lineRule="auto"/>
        <w:ind w:firstLine="480"/>
      </w:pPr>
      <w:r>
        <w:rPr>
          <w:rFonts w:ascii="Times New Roman" w:hAnsi="Times New Roman" w:eastAsia="宋体"/>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spacing w:before="60" w:after="60" w:line="360" w:lineRule="auto"/>
        <w:ind w:firstLine="480"/>
      </w:pPr>
      <w:r>
        <w:rPr>
          <w:rFonts w:ascii="Times New Roman" w:hAnsi="Times New Roman" w:eastAsia="宋体"/>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t>[1]</w:t>
      </w:r>
      <w:r>
        <w:rPr>
          <w:rFonts w:ascii="Times New Roman" w:hAnsi="Times New Roman" w:eastAsia="宋体"/>
          <w:sz w:val="24"/>
          <w:vertAlign w:val="superscript"/>
        </w:rPr>
        <w:t>[2]</w:t>
      </w:r>
      <w:r>
        <w:rPr>
          <w:rFonts w:ascii="Times New Roman" w:hAnsi="Times New Roman" w:eastAsia="宋体"/>
          <w:sz w:val="24"/>
          <w:vertAlign w:val="superscript"/>
        </w:rPr>
        <w:t>[21]</w:t>
      </w:r>
      <w:r>
        <w:rPr>
          <w:rFonts w:ascii="Times New Roman" w:hAnsi="Times New Roman" w:eastAsia="宋体"/>
          <w:sz w:val="24"/>
        </w:rPr>
        <w:t>。AlloyGPT 权重或相关数据的获取受许可和申请条件影响，不绑定为开箱即用基线</w:t>
      </w:r>
      <w:r>
        <w:rPr>
          <w:rFonts w:ascii="Times New Roman" w:hAnsi="Times New Roman" w:eastAsia="宋体"/>
          <w:sz w:val="24"/>
          <w:vertAlign w:val="superscript"/>
        </w:rPr>
        <w:t>[4]</w:t>
      </w:r>
      <w:r>
        <w:rPr>
          <w:rFonts w:ascii="Times New Roman" w:hAnsi="Times New Roman" w:eastAsia="宋体"/>
          <w:sz w:val="24"/>
        </w:rPr>
        <w:t>。不要求从头复现 LLaMat 继续预训练，也不要求采购 Thermo-Calc。需要使用公开数据的项目许可、基础模型许可与教师服务的数据使用条件分别核对，不能用代码开源替代数据授权。</w:t>
      </w:r>
    </w:p>
    <w:p>
      <w:pPr>
        <w:pStyle w:val="Heading2"/>
      </w:pPr>
      <w:r>
        <w:t>4.3 实验设计与公平比较</w:t>
      </w:r>
    </w:p>
    <w:p>
      <w:pPr>
        <w:spacing w:before="60" w:after="60" w:line="360" w:lineRule="auto"/>
        <w:ind w:firstLine="480"/>
      </w:pPr>
      <w:r>
        <w:rPr>
          <w:rFonts w:ascii="Times New Roman" w:hAnsi="Times New Roman" w:eastAsia="宋体"/>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spacing w:before="60" w:after="60" w:line="360" w:lineRule="auto"/>
        <w:ind w:firstLine="480"/>
      </w:pPr>
      <w:r>
        <w:rPr>
          <w:rFonts w:ascii="Times New Roman" w:hAnsi="Times New Roman" w:eastAsia="宋体"/>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spacing w:before="60" w:after="60" w:line="360" w:lineRule="auto"/>
        <w:ind w:firstLine="480"/>
      </w:pPr>
      <w:r>
        <w:rPr>
          <w:rFonts w:ascii="Times New Roman" w:hAnsi="Times New Roman" w:eastAsia="宋体"/>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spacing w:before="60" w:after="60" w:line="360" w:lineRule="auto"/>
        <w:ind w:firstLine="480"/>
      </w:pPr>
      <w:r>
        <w:rPr>
          <w:rFonts w:ascii="Times New Roman" w:hAnsi="Times New Roman" w:eastAsia="宋体"/>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spacing w:before="60" w:after="60" w:line="360" w:lineRule="auto"/>
        <w:ind w:firstLine="480"/>
      </w:pPr>
      <w:r>
        <w:rPr>
          <w:rFonts w:ascii="Times New Roman" w:hAnsi="Times New Roman" w:eastAsia="宋体"/>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pStyle w:val="Heading2"/>
      </w:pPr>
      <w:r>
        <w:t>4.4 指标、接近标准与应用价值验证</w:t>
      </w:r>
    </w:p>
    <w:p>
      <w:pPr>
        <w:spacing w:before="60" w:after="60" w:line="360" w:lineRule="auto"/>
        <w:ind w:firstLine="480"/>
      </w:pPr>
      <w:r>
        <w:rPr>
          <w:rFonts w:ascii="Times New Roman" w:hAnsi="Times New Roman" w:eastAsia="宋体"/>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spacing w:before="60" w:after="60" w:line="360" w:lineRule="auto"/>
        <w:ind w:firstLine="480"/>
      </w:pPr>
      <w:r>
        <w:rPr>
          <w:rFonts w:ascii="Times New Roman" w:hAnsi="Times New Roman" w:eastAsia="宋体"/>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spacing w:before="60" w:after="60" w:line="360" w:lineRule="auto"/>
        <w:ind w:firstLine="480"/>
      </w:pPr>
      <w:r>
        <w:rPr>
          <w:rFonts w:ascii="Times New Roman" w:hAnsi="Times New Roman" w:eastAsia="宋体"/>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spacing w:before="60" w:after="60" w:line="360" w:lineRule="auto"/>
        <w:ind w:firstLine="480"/>
      </w:pPr>
      <w:r>
        <w:rPr>
          <w:rFonts w:ascii="Times New Roman" w:hAnsi="Times New Roman" w:eastAsia="宋体"/>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spacing w:before="60" w:after="60" w:line="360" w:lineRule="auto"/>
        <w:ind w:firstLine="480"/>
      </w:pPr>
      <w:r>
        <w:rPr>
          <w:rFonts w:ascii="Times New Roman" w:hAnsi="Times New Roman" w:eastAsia="宋体"/>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pStyle w:val="Heading2"/>
      </w:pPr>
      <w:r>
        <w:t>4.5 技术路线与阶段衔接</w:t>
      </w:r>
    </w:p>
    <w:p>
      <w:pPr>
        <w:spacing w:before="60" w:after="60" w:line="360" w:lineRule="auto"/>
        <w:ind w:firstLine="480"/>
      </w:pPr>
      <w:r>
        <w:rPr>
          <w:rFonts w:ascii="Times New Roman" w:hAnsi="Times New Roman" w:eastAsia="宋体"/>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4-1。</w:t>
      </w:r>
    </w:p>
    <w:p>
      <w:pPr>
        <w:spacing w:before="120"/>
        <w:jc w:val="center"/>
      </w:pPr>
      <w:r>
        <w:drawing>
          <wp:inline xmlns:a="http://schemas.openxmlformats.org/drawingml/2006/main" xmlns:pic="http://schemas.openxmlformats.org/drawingml/2006/picture">
            <wp:extent cx="5184000" cy="4160269"/>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5184000" cy="4160269"/>
                    </a:xfrm>
                    <a:prstGeom prst="rect"/>
                  </pic:spPr>
                </pic:pic>
              </a:graphicData>
            </a:graphic>
          </wp:inline>
        </w:drawing>
      </w:r>
    </w:p>
    <w:p>
      <w:pPr>
        <w:spacing w:after="160"/>
        <w:jc w:val="center"/>
      </w:pPr>
      <w:r>
        <w:rPr>
          <w:rFonts w:ascii="Times New Roman" w:hAnsi="Times New Roman" w:eastAsia="宋体"/>
          <w:sz w:val="21"/>
        </w:rPr>
        <w:t>图 4-1　技术路线图</w:t>
      </w:r>
    </w:p>
    <w:p>
      <w:pPr>
        <w:pStyle w:val="Heading1"/>
      </w:pPr>
      <w:r>
        <w:t>5 可行性、风险与预期成果</w:t>
      </w:r>
    </w:p>
    <w:p>
      <w:pPr>
        <w:pStyle w:val="Heading2"/>
      </w:pPr>
      <w:r>
        <w:t>5.1 资源与实施可行性</w:t>
      </w:r>
    </w:p>
    <w:p>
      <w:pPr>
        <w:spacing w:before="60" w:after="60" w:line="360" w:lineRule="auto"/>
        <w:ind w:firstLine="480"/>
      </w:pPr>
      <w:r>
        <w:rPr>
          <w:rFonts w:ascii="Times New Roman" w:hAnsi="Times New Roman" w:eastAsia="宋体"/>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spacing w:before="60" w:after="60" w:line="360" w:lineRule="auto"/>
        <w:ind w:firstLine="480"/>
      </w:pPr>
      <w:r>
        <w:rPr>
          <w:rFonts w:ascii="Times New Roman" w:hAnsi="Times New Roman" w:eastAsia="宋体"/>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spacing w:before="60" w:after="60" w:line="360" w:lineRule="auto"/>
        <w:ind w:firstLine="480"/>
      </w:pPr>
      <w:r>
        <w:rPr>
          <w:rFonts w:ascii="Times New Roman" w:hAnsi="Times New Roman" w:eastAsia="宋体"/>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pStyle w:val="Heading2"/>
      </w:pPr>
      <w:r>
        <w:t>5.2 主要风险及处理边界</w:t>
      </w:r>
    </w:p>
    <w:p>
      <w:pPr>
        <w:spacing w:before="60" w:after="60" w:line="360" w:lineRule="auto"/>
        <w:ind w:firstLine="480"/>
      </w:pPr>
      <w:r>
        <w:rPr>
          <w:rFonts w:ascii="Times New Roman" w:hAnsi="Times New Roman" w:eastAsia="宋体"/>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spacing w:before="60" w:after="60" w:line="360" w:lineRule="auto"/>
        <w:ind w:firstLine="480"/>
      </w:pPr>
      <w:r>
        <w:rPr>
          <w:rFonts w:ascii="Times New Roman" w:hAnsi="Times New Roman" w:eastAsia="宋体"/>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spacing w:before="60" w:after="60" w:line="360" w:lineRule="auto"/>
        <w:ind w:firstLine="480"/>
      </w:pPr>
      <w:r>
        <w:rPr>
          <w:rFonts w:ascii="Times New Roman" w:hAnsi="Times New Roman" w:eastAsia="宋体"/>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spacing w:before="60" w:after="60" w:line="360" w:lineRule="auto"/>
        <w:ind w:firstLine="480"/>
      </w:pPr>
      <w:r>
        <w:rPr>
          <w:rFonts w:ascii="Times New Roman" w:hAnsi="Times New Roman" w:eastAsia="宋体"/>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pStyle w:val="Heading2"/>
      </w:pPr>
      <w:r>
        <w:t>5.3 预期成果与完成标准</w:t>
      </w:r>
    </w:p>
    <w:p>
      <w:pPr>
        <w:spacing w:before="60" w:after="60" w:line="360" w:lineRule="auto"/>
        <w:ind w:firstLine="480"/>
      </w:pPr>
      <w:r>
        <w:rPr>
          <w:rFonts w:ascii="Times New Roman" w:hAnsi="Times New Roman" w:eastAsia="宋体"/>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spacing w:before="60" w:after="60" w:line="360" w:lineRule="auto"/>
        <w:ind w:firstLine="480"/>
      </w:pPr>
      <w:r>
        <w:rPr>
          <w:rFonts w:ascii="Times New Roman" w:hAnsi="Times New Roman" w:eastAsia="宋体"/>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pStyle w:val="Heading2"/>
      </w:pPr>
      <w:r>
        <w:t>5.4 数据管理、授权与研究诚信</w:t>
      </w:r>
    </w:p>
    <w:p>
      <w:pPr>
        <w:spacing w:before="60" w:after="60" w:line="360" w:lineRule="auto"/>
        <w:ind w:firstLine="480"/>
      </w:pPr>
      <w:r>
        <w:rPr>
          <w:rFonts w:ascii="Times New Roman" w:hAnsi="Times New Roman" w:eastAsia="宋体"/>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spacing w:before="60" w:after="60" w:line="360" w:lineRule="auto"/>
        <w:ind w:firstLine="480"/>
      </w:pPr>
      <w:r>
        <w:rPr>
          <w:rFonts w:ascii="Times New Roman" w:hAnsi="Times New Roman" w:eastAsia="宋体"/>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1"/>
      </w:pPr>
      <w:r>
        <w:t>6 时间安排</w:t>
      </w:r>
    </w:p>
    <w:p>
      <w:pPr>
        <w:spacing w:before="60" w:after="60" w:line="360" w:lineRule="auto"/>
        <w:ind w:firstLine="480"/>
      </w:pPr>
      <w:r>
        <w:rPr>
          <w:rFonts w:ascii="Times New Roman" w:hAnsi="Times New Roman" w:eastAsia="宋体"/>
          <w:sz w:val="24"/>
        </w:rPr>
        <w:t>时间表以正式启动后八个月为计划周期，不假设具体入学或答辩日期，实际节点由研究者填写调整。</w:t>
      </w:r>
    </w:p>
    <w:p>
      <w:pPr>
        <w:spacing w:before="60" w:after="60" w:line="360" w:lineRule="auto"/>
        <w:ind w:firstLine="480"/>
      </w:pPr>
      <w:r>
        <w:rPr>
          <w:rFonts w:ascii="Times New Roman" w:hAnsi="Times New Roman" w:eastAsia="宋体"/>
          <w:sz w:val="24"/>
        </w:rPr>
        <w:t>第 1 个月：完成研究资料、许可、来源关联与任务审计；固定首版合金范围、条件字段、教师和学生候选，完成小规模运行与预算估计。</w:t>
      </w:r>
    </w:p>
    <w:p>
      <w:pPr>
        <w:spacing w:before="60" w:after="60" w:line="360" w:lineRule="auto"/>
        <w:ind w:firstLine="480"/>
      </w:pPr>
      <w:r>
        <w:rPr>
          <w:rFonts w:ascii="Times New Roman" w:hAnsi="Times New Roman" w:eastAsia="宋体"/>
          <w:sz w:val="24"/>
        </w:rPr>
        <w:t>第 2 个月：构建任务本体、教师示范和准入规则；划分互斥数据集并检查派生样本泄漏，完成本地底座及常规蒸馏基线。</w:t>
      </w:r>
    </w:p>
    <w:p>
      <w:pPr>
        <w:spacing w:before="60" w:after="60" w:line="360" w:lineRule="auto"/>
        <w:ind w:firstLine="480"/>
      </w:pPr>
      <w:r>
        <w:rPr>
          <w:rFonts w:ascii="Times New Roman" w:hAnsi="Times New Roman" w:eastAsia="宋体"/>
          <w:sz w:val="24"/>
        </w:rPr>
        <w:t>第 3—4 个月：实现并固定学生失误与约束覆盖选样方案，完成等预算强基线比较，检查数据选择计算成本及随机性；在开发集确定主要评价和“接近”容许差距。</w:t>
      </w:r>
    </w:p>
    <w:p>
      <w:pPr>
        <w:spacing w:before="60" w:after="60" w:line="360" w:lineRule="auto"/>
        <w:ind w:firstLine="480"/>
      </w:pPr>
      <w:r>
        <w:rPr>
          <w:rFonts w:ascii="Times New Roman" w:hAnsi="Times New Roman" w:eastAsia="宋体"/>
          <w:sz w:val="24"/>
        </w:rPr>
        <w:t>第 5 个月：完成本地检索、条件过滤、分步生成和有限修正集成，做分组件消融，确认模型学习与数值工具收益的边界。</w:t>
      </w:r>
    </w:p>
    <w:p>
      <w:pPr>
        <w:spacing w:before="60" w:after="60" w:line="360" w:lineRule="auto"/>
        <w:ind w:firstLine="480"/>
      </w:pPr>
      <w:r>
        <w:rPr>
          <w:rFonts w:ascii="Times New Roman" w:hAnsi="Times New Roman" w:eastAsia="宋体"/>
          <w:sz w:val="24"/>
        </w:rPr>
        <w:t>第 6 个月：冻结正式配置，完成教师比较、来源组留出及约束组合泛化实验；资源和授权具备时组织有限用户任务试用。</w:t>
      </w:r>
    </w:p>
    <w:p>
      <w:pPr>
        <w:spacing w:before="60" w:after="60" w:line="360" w:lineRule="auto"/>
        <w:ind w:firstLine="480"/>
      </w:pPr>
      <w:r>
        <w:rPr>
          <w:rFonts w:ascii="Times New Roman" w:hAnsi="Times New Roman" w:eastAsia="宋体"/>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t>参考文献</w:t>
      </w:r>
    </w:p>
    <w:p>
      <w:pPr>
        <w:spacing w:before="40" w:after="40" w:line="300" w:lineRule="auto"/>
        <w:ind w:left="960" w:hanging="960"/>
      </w:pPr>
      <w:r>
        <w:rPr>
          <w:rFonts w:ascii="Times New Roman" w:hAnsi="Times New Roman" w:eastAsia="宋体"/>
          <w:sz w:val="21"/>
        </w:rPr>
        <w:t>[1] Jia S, Zhang C, Fung V. LLMatDesign: Autonomous materials discovery with large language models[EB/OL]. arXiv:2406.13163, 2024. DOI: 10.48550/arXiv.2406.13163.</w:t>
      </w:r>
    </w:p>
    <w:p>
      <w:pPr>
        <w:spacing w:before="40" w:after="40" w:line="300" w:lineRule="auto"/>
        <w:ind w:left="960" w:hanging="960"/>
      </w:pPr>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before="40" w:after="40" w:line="300" w:lineRule="auto"/>
        <w:ind w:left="960" w:hanging="960"/>
      </w:pPr>
      <w:r>
        <w:rPr>
          <w:rFonts w:ascii="Times New Roman" w:hAnsi="Times New Roman" w:eastAsia="宋体"/>
          <w:sz w:val="21"/>
        </w:rPr>
        <w:t>[3] Mishra V, Singh S, Ahlawat D, et al. Foundational large language models for materials research[EB/OL]. arXiv:2412.09560, 2024. DOI: 10.48550/arXiv.2412.09560.</w:t>
      </w:r>
    </w:p>
    <w:p>
      <w:pPr>
        <w:spacing w:before="40" w:after="40" w:line="300" w:lineRule="auto"/>
        <w:ind w:left="960" w:hanging="960"/>
      </w:pPr>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before="40" w:after="40" w:line="300" w:lineRule="auto"/>
        <w:ind w:left="960" w:hanging="960"/>
      </w:pPr>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before="40" w:after="40" w:line="300" w:lineRule="auto"/>
        <w:ind w:left="960" w:hanging="960"/>
      </w:pPr>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before="40" w:after="40" w:line="300" w:lineRule="auto"/>
        <w:ind w:left="960" w:hanging="960"/>
      </w:pPr>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before="40" w:after="40" w:line="300" w:lineRule="auto"/>
        <w:ind w:left="960" w:hanging="960"/>
      </w:pPr>
      <w:r>
        <w:rPr>
          <w:rFonts w:ascii="Times New Roman" w:hAnsi="Times New Roman" w:eastAsia="宋体"/>
          <w:sz w:val="21"/>
        </w:rPr>
        <w:t>[8] Hinton G, Vinyals O, Dean J. Distilling the knowledge in a neural network[EB/OL]. arXiv:1503.02531, 2015. DOI: 10.48550/arXiv.1503.02531.</w:t>
      </w:r>
    </w:p>
    <w:p>
      <w:pPr>
        <w:spacing w:before="40" w:after="40" w:line="300" w:lineRule="auto"/>
        <w:ind w:left="960" w:hanging="960"/>
      </w:pPr>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before="40" w:after="40" w:line="300" w:lineRule="auto"/>
        <w:ind w:left="960" w:hanging="960"/>
      </w:pPr>
      <w:r>
        <w:rPr>
          <w:rFonts w:ascii="Times New Roman" w:hAnsi="Times New Roman" w:eastAsia="宋体"/>
          <w:sz w:val="21"/>
        </w:rPr>
        <w:t>[10] Mitra A, Del Corro L, Mahajan S, et al. Orca 2: Teaching small language models how to reason[EB/OL]. arXiv:2311.11045, 2023. DOI: 10.48550/arXiv.2311.11045.</w:t>
      </w:r>
    </w:p>
    <w:p>
      <w:pPr>
        <w:spacing w:before="40" w:after="40" w:line="300" w:lineRule="auto"/>
        <w:ind w:left="960" w:hanging="960"/>
      </w:pPr>
      <w:r>
        <w:rPr>
          <w:rFonts w:ascii="Times New Roman" w:hAnsi="Times New Roman" w:eastAsia="宋体"/>
          <w:sz w:val="21"/>
        </w:rPr>
        <w:t>[11] Gu Y, Dong L, Wei F, Huang M. MiniLLM: On-policy distillation of large language models[EB/OL]. arXiv:2306.08543, 2023. DOI: 10.48550/arXiv.2306.08543.</w:t>
      </w:r>
    </w:p>
    <w:p>
      <w:pPr>
        <w:spacing w:before="40" w:after="40" w:line="300" w:lineRule="auto"/>
        <w:ind w:left="960" w:hanging="960"/>
      </w:pPr>
      <w:r>
        <w:rPr>
          <w:rFonts w:ascii="Times New Roman" w:hAnsi="Times New Roman" w:eastAsia="宋体"/>
          <w:sz w:val="21"/>
        </w:rPr>
        <w:t>[12] Wang Y, Kordi Y, Mishra S, et al. Self-Instruct: Aligning language models with self-generated instructions[EB/OL]. arXiv:2212.10560, 2022. DOI: 10.48550/arXiv.2212.10560.</w:t>
      </w:r>
    </w:p>
    <w:p>
      <w:pPr>
        <w:spacing w:before="40" w:after="40" w:line="300" w:lineRule="auto"/>
        <w:ind w:left="960" w:hanging="960"/>
      </w:pPr>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before="40" w:after="40" w:line="300" w:lineRule="auto"/>
        <w:ind w:left="960" w:hanging="960"/>
      </w:pPr>
      <w:r>
        <w:rPr>
          <w:rFonts w:ascii="Times New Roman" w:hAnsi="Times New Roman" w:eastAsia="宋体"/>
          <w:sz w:val="21"/>
        </w:rPr>
        <w:t>[14] Xia M, Malladi S, Gururangan S, et al. LESS: Selecting influential data for targeted instruction tuning[EB/OL]. arXiv:2402.04333, 2024. DOI: 10.48550/arXiv.2402.04333.</w:t>
      </w:r>
    </w:p>
    <w:p>
      <w:pPr>
        <w:spacing w:before="40" w:after="40" w:line="300" w:lineRule="auto"/>
        <w:ind w:left="960" w:hanging="960"/>
      </w:pPr>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before="40" w:after="40" w:line="300" w:lineRule="auto"/>
        <w:ind w:left="960" w:hanging="960"/>
      </w:pPr>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before="40" w:after="40" w:line="300" w:lineRule="auto"/>
        <w:ind w:left="960" w:hanging="960"/>
      </w:pPr>
      <w:r>
        <w:rPr>
          <w:rFonts w:ascii="Times New Roman" w:hAnsi="Times New Roman" w:eastAsia="宋体"/>
          <w:sz w:val="21"/>
        </w:rPr>
        <w:t>[17] Lewis P, Perez E, Piktus A, et al. Retrieval-augmented generation for knowledge-intensive NLP tasks[EB/OL]. arXiv:2005.11401, 2020. DOI: 10.48550/arXiv.2005.11401.</w:t>
      </w:r>
    </w:p>
    <w:p>
      <w:pPr>
        <w:spacing w:before="40" w:after="40" w:line="300" w:lineRule="auto"/>
        <w:ind w:left="960" w:hanging="960"/>
      </w:pPr>
      <w:r>
        <w:rPr>
          <w:rFonts w:ascii="Times New Roman" w:hAnsi="Times New Roman" w:eastAsia="宋体"/>
          <w:sz w:val="21"/>
        </w:rPr>
        <w:t>[18] Zhang T, Patil S G, Jain N, et al. RAFT: Adapting language model to domain specific RAG[EB/OL]. arXiv:2403.10131, 2024. DOI: 10.48550/arXiv.2403.10131.</w:t>
      </w:r>
    </w:p>
    <w:p>
      <w:pPr>
        <w:spacing w:before="40" w:after="40" w:line="300" w:lineRule="auto"/>
        <w:ind w:left="960" w:hanging="960"/>
      </w:pPr>
      <w:r>
        <w:rPr>
          <w:rFonts w:ascii="Times New Roman" w:hAnsi="Times New Roman" w:eastAsia="宋体"/>
          <w:sz w:val="21"/>
        </w:rPr>
        <w:t>[19] Hu E J, Shen Y, Wallis P, et al. LoRA: Low-rank adaptation of large language models[EB/OL]. arXiv:2106.09685, 2021. DOI: 10.48550/arXiv.2106.09685.</w:t>
      </w:r>
    </w:p>
    <w:p>
      <w:pPr>
        <w:spacing w:before="40" w:after="40" w:line="300" w:lineRule="auto"/>
        <w:ind w:left="960" w:hanging="960"/>
      </w:pPr>
      <w:r>
        <w:rPr>
          <w:rFonts w:ascii="Times New Roman" w:hAnsi="Times New Roman" w:eastAsia="宋体"/>
          <w:sz w:val="21"/>
        </w:rPr>
        <w:t>[20] Dettmers T, Pagnoni A, Holtzman A, Zettlemoyer L. QLoRA: Efficient finetuning of quantized LLMs[EB/OL]. arXiv:2305.14314, 2023. DOI: 10.48550/arXiv.2305.14314.</w:t>
      </w:r>
    </w:p>
    <w:p>
      <w:pPr>
        <w:spacing w:before="40" w:after="40" w:line="300" w:lineRule="auto"/>
        <w:ind w:left="960" w:hanging="960"/>
      </w:pPr>
      <w:r>
        <w:rPr>
          <w:rFonts w:ascii="Times New Roman" w:hAnsi="Times New Roman" w:eastAsia="宋体"/>
          <w:sz w:val="21"/>
        </w:rPr>
        <w:t>[21] Yang A, Li A, Yang B, et al. Qwen3 technical report[EB/OL]. arXiv:2505.09388, 2025. DOI: 10.48550/arXiv.2505.09388.</w:t>
      </w:r>
    </w:p>
    <w:p>
      <w:pPr>
        <w:spacing w:before="40" w:after="40" w:line="300" w:lineRule="auto"/>
        <w:ind w:left="960" w:hanging="960"/>
      </w:pPr>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before="40" w:after="40" w:line="300" w:lineRule="auto"/>
        <w:ind w:left="960" w:hanging="960"/>
      </w:pPr>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before="40" w:after="40" w:line="300" w:lineRule="auto"/>
        <w:ind w:left="960" w:hanging="960"/>
      </w:pPr>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p>
      <w:pPr>
        <w:spacing w:before="40" w:after="40" w:line="300" w:lineRule="auto"/>
        <w:ind w:left="960" w:hanging="960"/>
      </w:pPr>
      <w:r>
        <w:rPr>
          <w:rFonts w:ascii="Times New Roman" w:hAnsi="Times New Roman" w:eastAsia="宋体"/>
          <w:sz w:val="21"/>
        </w:rPr>
        <w:t>[25] Zhang X, Li J, Shao B, et al. Fine-tuning small language models for reliable VASP INCAR generation[EB/OL]. arXiv:2608.05387, 2026. DOI: 10.48550/arXiv.2608.05387.</w:t>
      </w:r>
    </w:p>
    <w:p>
      <w:pPr>
        <w:spacing w:before="40" w:after="40" w:line="300" w:lineRule="auto"/>
        <w:ind w:left="960" w:hanging="960"/>
      </w:pPr>
      <w:r>
        <w:rPr>
          <w:rFonts w:ascii="Times New Roman" w:hAnsi="Times New Roman" w:eastAsia="宋体"/>
          <w:sz w:val="21"/>
        </w:rPr>
        <w:t>[26] Deka P. From retrieval to typed decisions: calibrated System One models from biomedical sentence encoders[EB/OL]. arXiv:2610.02486, 2026.</w:t>
      </w:r>
    </w:p>
    <w:sectPr w:rsidR="00FC693F" w:rsidRPr="0006063C" w:rsidSect="00034616">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