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ind w:firstLine="480" w:firstLineChars="200"/>
        <w:spacing w:line="312" w:lineRule="auto"/>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ind w:firstLine="480" w:firstLineChars="200"/>
        <w:spacing w:line="312" w:lineRule="auto"/>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ind w:firstLine="480" w:firstLineChars="200"/>
        <w:spacing w:line="312" w:lineRule="auto"/>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研究工作先界定任务范围与总体方案，明确输入输出、约束类型与数据边界，建立从需求结构化到数值检查的完整流程；在此基础上构造证据可追溯的教学数据，把资料整理为"成分—状态—测试—性能—来源"记录，按来源分组划分数据集，并用约束扰动生成组合任务。核心方法是失误感知与约束覆盖联合的选择性蒸馏：以任务检查器给出的可核验失误类型作为薄弱度信号，在固定预算内选样，与随机、困难度和成熟选样方法同预算对照。推理阶段则研究条件可比的证据选择与约束一致生成，在固定上下文预算内选实例，采分步表示并配合工具做有限修正。这些环节依次衔接，支撑本地运行、输出带来源依据与约束检查结果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4.2 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个月：冻结正式配置，完成教师比较、来源组留出及约束组合泛化实验；资源和授权具备时组织有限用户任务试用。</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bookmarkEnd w:id="1001"/>
      <w:r>
        <w:rPr>
          <w:rFonts w:ascii="Times New Roman" w:hAnsi="Times New Roman" w:eastAsia="宋体"/>
          <w:sz w:val="21"/>
        </w:rPr>
        <w:t>[1]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bookmarkEnd w:id="1002"/>
      <w:r>
        <w:rPr>
          <w:rFonts w:ascii="Times New Roman" w:hAnsi="Times New Roman" w:eastAsia="宋体"/>
          <w:sz w:val="21"/>
        </w:rPr>
        <w:t>[2]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bookmarkEnd w:id="1003"/>
      <w:r>
        <w:rPr>
          <w:rFonts w:ascii="Times New Roman" w:hAnsi="Times New Roman" w:eastAsia="宋体"/>
          <w:sz w:val="21"/>
        </w:rPr>
        <w:t>[3]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bookmarkEnd w:id="1004"/>
      <w:r>
        <w:rPr>
          <w:rFonts w:ascii="Times New Roman" w:hAnsi="Times New Roman" w:eastAsia="宋体"/>
          <w:sz w:val="21"/>
        </w:rPr>
        <w:t>[4]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bookmarkEnd w:id="1005"/>
      <w:r>
        <w:rPr>
          <w:rFonts w:ascii="Times New Roman" w:hAnsi="Times New Roman" w:eastAsia="宋体"/>
          <w:sz w:val="21"/>
        </w:rPr>
        <w:t>[5]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bookmarkEnd w:id="1006"/>
      <w:r>
        <w:rPr>
          <w:rFonts w:ascii="Times New Roman" w:hAnsi="Times New Roman" w:eastAsia="宋体"/>
          <w:sz w:val="21"/>
        </w:rPr>
        <w:t>[6]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bookmarkEnd w:id="1007"/>
      <w:r>
        <w:rPr>
          <w:rFonts w:ascii="Times New Roman" w:hAnsi="Times New Roman" w:eastAsia="宋体"/>
          <w:sz w:val="21"/>
        </w:rPr>
        <w:t>[7]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bookmarkEnd w:id="1008"/>
      <w:r>
        <w:rPr>
          <w:rFonts w:ascii="Times New Roman" w:hAnsi="Times New Roman" w:eastAsia="宋体"/>
          <w:sz w:val="21"/>
        </w:rPr>
        <w:t>[8] Hinton G, Vinyals O, Dean J. Distilling the knowledge in a neural network[EB/OL]. arXiv:1503.02531, 2015. DOI: 10.48550/arXiv.1503.02531.</w:t>
      </w:r>
    </w:p>
    <w:p>
      <w:pPr>
        <w:spacing w:line="312" w:lineRule="auto"/>
        <w:ind w:left="480" w:leftChars="0" w:hanging="480" w:hangingChars="200"/>
      </w:pPr>
      <w:bookmarkStart w:id="1009" w:name="_Ref_ref009"/>
      <w:bookmarkEnd w:id="1009"/>
      <w:r>
        <w:rPr>
          <w:rFonts w:ascii="Times New Roman" w:hAnsi="Times New Roman" w:eastAsia="宋体"/>
          <w:sz w:val="21"/>
        </w:rPr>
        <w:t>[9]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bookmarkEnd w:id="1010"/>
      <w:r>
        <w:rPr>
          <w:rFonts w:ascii="Times New Roman" w:hAnsi="Times New Roman" w:eastAsia="宋体"/>
          <w:sz w:val="21"/>
        </w:rPr>
        <w:t>[10]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bookmarkEnd w:id="1011"/>
      <w:r>
        <w:rPr>
          <w:rFonts w:ascii="Times New Roman" w:hAnsi="Times New Roman" w:eastAsia="宋体"/>
          <w:sz w:val="21"/>
        </w:rPr>
        <w:t>[11]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bookmarkEnd w:id="1012"/>
      <w:r>
        <w:rPr>
          <w:rFonts w:ascii="Times New Roman" w:hAnsi="Times New Roman" w:eastAsia="宋体"/>
          <w:sz w:val="21"/>
        </w:rPr>
        <w:t>[12]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bookmarkEnd w:id="1013"/>
      <w:r>
        <w:rPr>
          <w:rFonts w:ascii="Times New Roman" w:hAnsi="Times New Roman" w:eastAsia="宋体"/>
          <w:sz w:val="21"/>
        </w:rPr>
        <w:t>[13]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bookmarkEnd w:id="1014"/>
      <w:r>
        <w:rPr>
          <w:rFonts w:ascii="Times New Roman" w:hAnsi="Times New Roman" w:eastAsia="宋体"/>
          <w:sz w:val="21"/>
        </w:rPr>
        <w:t>[14]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bookmarkEnd w:id="1015"/>
      <w:r>
        <w:rPr>
          <w:rFonts w:ascii="Times New Roman" w:hAnsi="Times New Roman" w:eastAsia="宋体"/>
          <w:sz w:val="21"/>
        </w:rPr>
        <w:t>[15]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bookmarkEnd w:id="1016"/>
      <w:r>
        <w:rPr>
          <w:rFonts w:ascii="Times New Roman" w:hAnsi="Times New Roman" w:eastAsia="宋体"/>
          <w:sz w:val="21"/>
        </w:rPr>
        <w:t>[16]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bookmarkEnd w:id="1017"/>
      <w:r>
        <w:rPr>
          <w:rFonts w:ascii="Times New Roman" w:hAnsi="Times New Roman" w:eastAsia="宋体"/>
          <w:sz w:val="21"/>
        </w:rPr>
        <w:t>[17]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bookmarkEnd w:id="1018"/>
      <w:r>
        <w:rPr>
          <w:rFonts w:ascii="Times New Roman" w:hAnsi="Times New Roman" w:eastAsia="宋体"/>
          <w:sz w:val="21"/>
        </w:rPr>
        <w:t>[18]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bookmarkEnd w:id="1019"/>
      <w:r>
        <w:rPr>
          <w:rFonts w:ascii="Times New Roman" w:hAnsi="Times New Roman" w:eastAsia="宋体"/>
          <w:sz w:val="21"/>
        </w:rPr>
        <w:t>[19] Hu E J, Shen Y, Wallis P, et al. LoRA: Low-rank adaptation of large language models[EB/OL]. arXiv:2106.09685, 2021. DOI: 10.48550/arXiv.2106.09685.</w:t>
      </w:r>
    </w:p>
    <w:p>
      <w:pPr>
        <w:spacing w:line="312" w:lineRule="auto"/>
        <w:ind w:left="480" w:leftChars="0" w:hanging="480" w:hangingChars="200"/>
      </w:pPr>
      <w:bookmarkStart w:id="1020" w:name="_Ref_ref020"/>
      <w:bookmarkEnd w:id="1020"/>
      <w:r>
        <w:rPr>
          <w:rFonts w:ascii="Times New Roman" w:hAnsi="Times New Roman" w:eastAsia="宋体"/>
          <w:sz w:val="21"/>
        </w:rPr>
        <w:t>[20]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bookmarkEnd w:id="1021"/>
      <w:r>
        <w:rPr>
          <w:rFonts w:ascii="Times New Roman" w:hAnsi="Times New Roman" w:eastAsia="宋体"/>
          <w:sz w:val="21"/>
        </w:rPr>
        <w:t>[21] Yang A, Li A, Yang B, et al. Qwen3 technical report[EB/OL]. arXiv:2505.09388, 2025. DOI: 10.48550/arXiv.2505.09388.</w:t>
      </w:r>
    </w:p>
    <w:p>
      <w:pPr>
        <w:spacing w:line="312" w:lineRule="auto"/>
        <w:ind w:left="480" w:leftChars="0" w:hanging="480" w:hangingChars="200"/>
      </w:pPr>
      <w:bookmarkStart w:id="1022" w:name="_Ref_ref022"/>
      <w:bookmarkEnd w:id="1022"/>
      <w:r>
        <w:rPr>
          <w:rFonts w:ascii="Times New Roman" w:hAnsi="Times New Roman" w:eastAsia="宋体"/>
          <w:sz w:val="21"/>
        </w:rPr>
        <w:t>[22]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bookmarkEnd w:id="1023"/>
      <w:r>
        <w:rPr>
          <w:rFonts w:ascii="Times New Roman" w:hAnsi="Times New Roman" w:eastAsia="宋体"/>
          <w:sz w:val="21"/>
        </w:rPr>
        <w:t>[23]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bookmarkEnd w:id="1024"/>
      <w:r>
        <w:rPr>
          <w:rFonts w:ascii="Times New Roman" w:hAnsi="Times New Roman" w:eastAsia="宋体"/>
          <w:sz w:val="21"/>
        </w:rPr>
        <w:t>[24]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bookmarkEnd w:id="1025"/>
      <w:r>
        <w:rPr>
          <w:rFonts w:ascii="Times New Roman" w:hAnsi="Times New Roman" w:eastAsia="宋体"/>
          <w:sz w:val="21"/>
        </w:rPr>
        <w:t>[25]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bookmarkEnd w:id="1026"/>
      <w:r>
        <w:rPr>
          <w:rFonts w:ascii="Times New Roman" w:hAnsi="Times New Roman" w:eastAsia="宋体"/>
          <w:sz w:val="21"/>
        </w:rPr>
        <w:t>[26]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