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6E3309">
      <w:pPr>
        <w:spacing w:line="240" w:lineRule="auto"/>
        <w:ind w:firstLine="0"/>
      </w:pPr>
    </w:p>
    <w:p w14:paraId="38248781">
      <w:pPr>
        <w:spacing w:line="240" w:lineRule="auto"/>
        <w:ind w:firstLine="0"/>
      </w:pPr>
    </w:p>
    <w:p w14:paraId="0CE4B08C">
      <w:pPr>
        <w:spacing w:after="360" w:line="240" w:lineRule="auto"/>
        <w:ind w:firstLine="0"/>
        <w:jc w:val="center"/>
      </w:pPr>
      <w:r>
        <w:rPr>
          <w:rFonts w:ascii="Times New Roman" w:hAnsi="Times New Roman" w:eastAsia="黑体"/>
          <w:b/>
          <w:sz w:val="44"/>
        </w:rPr>
        <w:t>北 京 科 技 大 学</w:t>
      </w:r>
    </w:p>
    <w:p w14:paraId="1C856EFA">
      <w:pPr>
        <w:spacing w:after="120" w:line="240" w:lineRule="auto"/>
        <w:ind w:firstLine="0"/>
        <w:jc w:val="center"/>
      </w:pPr>
      <w:r>
        <w:rPr>
          <w:rFonts w:ascii="Times New Roman" w:hAnsi="Times New Roman" w:eastAsia="黑体"/>
          <w:b/>
          <w:sz w:val="72"/>
        </w:rPr>
        <w:t>硕士学位研究生</w:t>
      </w:r>
    </w:p>
    <w:p w14:paraId="3BA7A809">
      <w:pPr>
        <w:spacing w:after="600" w:line="240" w:lineRule="auto"/>
        <w:ind w:firstLine="0"/>
        <w:jc w:val="center"/>
      </w:pPr>
      <w:r>
        <w:rPr>
          <w:rFonts w:ascii="Times New Roman" w:hAnsi="Times New Roman" w:eastAsia="黑体"/>
          <w:b/>
          <w:sz w:val="72"/>
        </w:rPr>
        <w:t>选题报告及文献综述</w:t>
      </w:r>
    </w:p>
    <w:p w14:paraId="409DC122">
      <w:pPr>
        <w:spacing w:line="240" w:lineRule="auto"/>
        <w:ind w:firstLine="0"/>
      </w:pPr>
    </w:p>
    <w:p w14:paraId="35E0D320">
      <w:pPr>
        <w:spacing w:after="600" w:line="240" w:lineRule="auto"/>
        <w:ind w:firstLine="0"/>
        <w:jc w:val="center"/>
      </w:pPr>
      <w:r>
        <w:rPr>
          <w:rFonts w:ascii="Times New Roman" w:hAnsi="Times New Roman" w:eastAsia="宋体"/>
          <w:sz w:val="26"/>
        </w:rPr>
        <w:t>论文题目： 面向合金配方辅助设计的领域小模型选择性蒸馏与知识增强生成方法研究</w:t>
      </w:r>
    </w:p>
    <w:p w14:paraId="17A90F11">
      <w:pPr>
        <w:spacing w:line="240" w:lineRule="auto"/>
        <w:ind w:firstLine="0"/>
      </w:pPr>
    </w:p>
    <w:p w14:paraId="258E0318">
      <w:pPr>
        <w:spacing w:after="80" w:line="240" w:lineRule="auto"/>
        <w:ind w:firstLine="0"/>
        <w:jc w:val="center"/>
      </w:pPr>
      <w:r>
        <w:rPr>
          <w:rFonts w:ascii="Times New Roman" w:hAnsi="Times New Roman" w:eastAsia="宋体"/>
          <w:sz w:val="30"/>
        </w:rPr>
        <w:t>指导教师：            ＿＿＿＿＿＿＿＿</w:t>
      </w:r>
    </w:p>
    <w:p w14:paraId="59D00873">
      <w:pPr>
        <w:spacing w:after="80" w:line="240" w:lineRule="auto"/>
        <w:ind w:firstLine="0"/>
        <w:jc w:val="center"/>
      </w:pPr>
      <w:r>
        <w:rPr>
          <w:rFonts w:ascii="Times New Roman" w:hAnsi="Times New Roman" w:eastAsia="宋体"/>
          <w:sz w:val="30"/>
        </w:rPr>
        <w:t>单    位：            ＿＿＿＿＿＿＿＿</w:t>
      </w:r>
    </w:p>
    <w:p w14:paraId="4F40C59C">
      <w:pPr>
        <w:spacing w:after="80" w:line="240" w:lineRule="auto"/>
        <w:ind w:firstLine="0"/>
        <w:jc w:val="center"/>
      </w:pPr>
      <w:r>
        <w:rPr>
          <w:rFonts w:ascii="Times New Roman" w:hAnsi="Times New Roman" w:eastAsia="宋体"/>
          <w:sz w:val="30"/>
        </w:rPr>
        <w:t>姓    名：            ＿＿＿＿＿＿＿＿</w:t>
      </w:r>
    </w:p>
    <w:p w14:paraId="662E0D31">
      <w:pPr>
        <w:spacing w:after="80" w:line="240" w:lineRule="auto"/>
        <w:ind w:firstLine="0"/>
        <w:jc w:val="center"/>
      </w:pPr>
      <w:r>
        <w:rPr>
          <w:rFonts w:ascii="Times New Roman" w:hAnsi="Times New Roman" w:eastAsia="宋体"/>
          <w:sz w:val="30"/>
        </w:rPr>
        <w:t>学    号：            ＿＿＿＿＿＿＿＿</w:t>
      </w:r>
    </w:p>
    <w:p w14:paraId="0436A8E5">
      <w:pPr>
        <w:spacing w:after="80" w:line="240" w:lineRule="auto"/>
        <w:ind w:firstLine="0"/>
        <w:jc w:val="center"/>
      </w:pPr>
      <w:r>
        <w:rPr>
          <w:rFonts w:ascii="Times New Roman" w:hAnsi="Times New Roman" w:eastAsia="宋体"/>
          <w:sz w:val="30"/>
        </w:rPr>
        <w:t>专业名称：            ＿＿＿＿＿＿＿＿</w:t>
      </w:r>
    </w:p>
    <w:p w14:paraId="191D58A7">
      <w:pPr>
        <w:spacing w:after="80" w:line="240" w:lineRule="auto"/>
        <w:ind w:firstLine="0"/>
        <w:jc w:val="center"/>
      </w:pPr>
      <w:r>
        <w:rPr>
          <w:rFonts w:ascii="Times New Roman" w:hAnsi="Times New Roman" w:eastAsia="宋体"/>
          <w:sz w:val="30"/>
        </w:rPr>
        <w:t>入学时间：            ＿＿＿＿＿＿＿＿</w:t>
      </w:r>
    </w:p>
    <w:p w14:paraId="51ED9AA0">
      <w:pPr>
        <w:spacing w:line="240" w:lineRule="auto"/>
        <w:ind w:firstLine="0"/>
      </w:pPr>
    </w:p>
    <w:p w14:paraId="1CB0181F">
      <w:pPr>
        <w:spacing w:line="240" w:lineRule="auto"/>
        <w:ind w:firstLine="0"/>
      </w:pPr>
    </w:p>
    <w:p w14:paraId="48E23A4E">
      <w:pPr>
        <w:spacing w:line="240" w:lineRule="auto"/>
        <w:ind w:firstLine="0"/>
      </w:pPr>
    </w:p>
    <w:p w14:paraId="29BF86B1">
      <w:pPr>
        <w:spacing w:after="0" w:line="240" w:lineRule="auto"/>
        <w:ind w:firstLine="0"/>
        <w:jc w:val="center"/>
      </w:pPr>
      <w:r>
        <w:rPr>
          <w:rFonts w:ascii="Times New Roman" w:hAnsi="Times New Roman" w:eastAsia="黑体"/>
          <w:b w:val="0"/>
          <w:sz w:val="30"/>
        </w:rPr>
        <w:t xml:space="preserve">      ＿＿＿＿＿＿＿＿</w:t>
      </w:r>
    </w:p>
    <w:p w14:paraId="011A7D26">
      <w:r>
        <w:br w:type="page"/>
      </w:r>
    </w:p>
    <w:p w14:paraId="7D440056">
      <w:pPr>
        <w:spacing w:after="240"/>
        <w:ind w:firstLine="0"/>
        <w:jc w:val="center"/>
      </w:pPr>
      <w:r>
        <w:rPr>
          <w:rFonts w:ascii="Times New Roman" w:hAnsi="Times New Roman" w:eastAsia="黑体"/>
          <w:b/>
          <w:sz w:val="30"/>
        </w:rPr>
        <w:t>目    录</w:t>
      </w:r>
    </w:p>
    <w:p w14:paraId="14E61BDD">
      <w:pPr>
        <w:pStyle w:val="27"/>
        <w:tabs>
          <w:tab w:val="right" w:leader="dot" w:pos="8312"/>
        </w:tabs>
      </w:pPr>
      <w:r>
        <w:fldChar w:fldCharType="begin"/>
      </w:r>
      <w:r>
        <w:instrText xml:space="preserve"> TOC \o "1-3" \h \z \u </w:instrText>
      </w:r>
      <w:r>
        <w:fldChar w:fldCharType="separate"/>
      </w:r>
      <w:r>
        <w:fldChar w:fldCharType="begin"/>
      </w:r>
      <w:r>
        <w:instrText xml:space="preserve"> HYPERLINK \l _Toc2054283632 </w:instrText>
      </w:r>
      <w:r>
        <w:fldChar w:fldCharType="separate"/>
      </w:r>
      <w:r>
        <w:rPr>
          <w:rFonts w:ascii="Times New Roman" w:hAnsi="Times New Roman" w:eastAsia="黑体"/>
        </w:rPr>
        <w:t>1 选题背景及选题意义</w:t>
      </w:r>
      <w:r>
        <w:tab/>
      </w:r>
      <w:r>
        <w:fldChar w:fldCharType="begin"/>
      </w:r>
      <w:r>
        <w:instrText xml:space="preserve"> PAGEREF _Toc2054283632 \h </w:instrText>
      </w:r>
      <w:r>
        <w:fldChar w:fldCharType="separate"/>
      </w:r>
      <w:r>
        <w:t>3</w:t>
      </w:r>
      <w:r>
        <w:fldChar w:fldCharType="end"/>
      </w:r>
      <w:r>
        <w:fldChar w:fldCharType="end"/>
      </w:r>
    </w:p>
    <w:p w14:paraId="637DA2E9">
      <w:pPr>
        <w:pStyle w:val="30"/>
        <w:tabs>
          <w:tab w:val="right" w:leader="dot" w:pos="8312"/>
        </w:tabs>
      </w:pPr>
      <w:r>
        <w:fldChar w:fldCharType="begin"/>
      </w:r>
      <w:r>
        <w:instrText xml:space="preserve"> HYPERLINK \l _Toc1597189787 </w:instrText>
      </w:r>
      <w:r>
        <w:fldChar w:fldCharType="separate"/>
      </w:r>
      <w:r>
        <w:rPr>
          <w:rFonts w:ascii="Times New Roman" w:hAnsi="Times New Roman" w:eastAsia="黑体"/>
        </w:rPr>
        <w:t>1.1 选题背景</w:t>
      </w:r>
      <w:r>
        <w:tab/>
      </w:r>
      <w:r>
        <w:fldChar w:fldCharType="begin"/>
      </w:r>
      <w:r>
        <w:instrText xml:space="preserve"> PAGEREF _Toc1597189787 \h </w:instrText>
      </w:r>
      <w:r>
        <w:fldChar w:fldCharType="separate"/>
      </w:r>
      <w:r>
        <w:t>3</w:t>
      </w:r>
      <w:r>
        <w:fldChar w:fldCharType="end"/>
      </w:r>
      <w:r>
        <w:fldChar w:fldCharType="end"/>
      </w:r>
    </w:p>
    <w:p w14:paraId="665A3401">
      <w:pPr>
        <w:pStyle w:val="30"/>
        <w:tabs>
          <w:tab w:val="right" w:leader="dot" w:pos="8312"/>
        </w:tabs>
      </w:pPr>
      <w:r>
        <w:fldChar w:fldCharType="begin"/>
      </w:r>
      <w:r>
        <w:instrText xml:space="preserve"> HYPERLINK \l _Toc706014055 </w:instrText>
      </w:r>
      <w:r>
        <w:fldChar w:fldCharType="separate"/>
      </w:r>
      <w:r>
        <w:rPr>
          <w:rFonts w:ascii="Times New Roman" w:hAnsi="Times New Roman" w:eastAsia="黑体"/>
        </w:rPr>
        <w:t>1.2 研究目标与任务定位</w:t>
      </w:r>
      <w:r>
        <w:tab/>
      </w:r>
      <w:r>
        <w:fldChar w:fldCharType="begin"/>
      </w:r>
      <w:r>
        <w:instrText xml:space="preserve"> PAGEREF _Toc706014055 \h </w:instrText>
      </w:r>
      <w:r>
        <w:fldChar w:fldCharType="separate"/>
      </w:r>
      <w:r>
        <w:t>4</w:t>
      </w:r>
      <w:r>
        <w:fldChar w:fldCharType="end"/>
      </w:r>
      <w:r>
        <w:fldChar w:fldCharType="end"/>
      </w:r>
    </w:p>
    <w:p w14:paraId="51E1E384">
      <w:pPr>
        <w:pStyle w:val="30"/>
        <w:tabs>
          <w:tab w:val="right" w:leader="dot" w:pos="8312"/>
        </w:tabs>
      </w:pPr>
      <w:r>
        <w:fldChar w:fldCharType="begin"/>
      </w:r>
      <w:r>
        <w:instrText xml:space="preserve"> HYPERLINK \l _Toc1026302619 </w:instrText>
      </w:r>
      <w:r>
        <w:fldChar w:fldCharType="separate"/>
      </w:r>
      <w:r>
        <w:rPr>
          <w:rFonts w:ascii="Times New Roman" w:hAnsi="Times New Roman" w:eastAsia="黑体"/>
        </w:rPr>
        <w:t>1.3 选题意义</w:t>
      </w:r>
      <w:r>
        <w:tab/>
      </w:r>
      <w:r>
        <w:fldChar w:fldCharType="begin"/>
      </w:r>
      <w:r>
        <w:instrText xml:space="preserve"> PAGEREF _Toc1026302619 \h </w:instrText>
      </w:r>
      <w:r>
        <w:fldChar w:fldCharType="separate"/>
      </w:r>
      <w:r>
        <w:t>4</w:t>
      </w:r>
      <w:r>
        <w:fldChar w:fldCharType="end"/>
      </w:r>
      <w:r>
        <w:fldChar w:fldCharType="end"/>
      </w:r>
    </w:p>
    <w:p w14:paraId="173B275C">
      <w:pPr>
        <w:pStyle w:val="27"/>
        <w:tabs>
          <w:tab w:val="right" w:leader="dot" w:pos="8312"/>
        </w:tabs>
      </w:pPr>
      <w:r>
        <w:fldChar w:fldCharType="begin"/>
      </w:r>
      <w:r>
        <w:instrText xml:space="preserve"> HYPERLINK \l _Toc1640146189 </w:instrText>
      </w:r>
      <w:r>
        <w:fldChar w:fldCharType="separate"/>
      </w:r>
      <w:r>
        <w:rPr>
          <w:rFonts w:ascii="Times New Roman" w:hAnsi="Times New Roman" w:eastAsia="黑体"/>
        </w:rPr>
        <w:t>2 文献综述</w:t>
      </w:r>
      <w:r>
        <w:tab/>
      </w:r>
      <w:r>
        <w:fldChar w:fldCharType="begin"/>
      </w:r>
      <w:r>
        <w:instrText xml:space="preserve"> PAGEREF _Toc1640146189 \h </w:instrText>
      </w:r>
      <w:r>
        <w:fldChar w:fldCharType="separate"/>
      </w:r>
      <w:r>
        <w:t>5</w:t>
      </w:r>
      <w:r>
        <w:fldChar w:fldCharType="end"/>
      </w:r>
      <w:r>
        <w:fldChar w:fldCharType="end"/>
      </w:r>
    </w:p>
    <w:p w14:paraId="078CE08E">
      <w:pPr>
        <w:pStyle w:val="30"/>
        <w:tabs>
          <w:tab w:val="right" w:leader="dot" w:pos="8312"/>
        </w:tabs>
      </w:pPr>
      <w:r>
        <w:fldChar w:fldCharType="begin"/>
      </w:r>
      <w:r>
        <w:instrText xml:space="preserve"> HYPERLINK \l _Toc3389466 </w:instrText>
      </w:r>
      <w:r>
        <w:fldChar w:fldCharType="separate"/>
      </w:r>
      <w:r>
        <w:rPr>
          <w:rFonts w:ascii="Times New Roman" w:hAnsi="Times New Roman" w:eastAsia="黑体"/>
        </w:rPr>
        <w:t>2.1 材料语言模型与合金生成</w:t>
      </w:r>
      <w:r>
        <w:tab/>
      </w:r>
      <w:r>
        <w:fldChar w:fldCharType="begin"/>
      </w:r>
      <w:r>
        <w:instrText xml:space="preserve"> PAGEREF _Toc3389466 \h </w:instrText>
      </w:r>
      <w:r>
        <w:fldChar w:fldCharType="separate"/>
      </w:r>
      <w:r>
        <w:t>5</w:t>
      </w:r>
      <w:r>
        <w:fldChar w:fldCharType="end"/>
      </w:r>
      <w:r>
        <w:fldChar w:fldCharType="end"/>
      </w:r>
    </w:p>
    <w:p w14:paraId="54AEDAD2">
      <w:pPr>
        <w:pStyle w:val="30"/>
        <w:tabs>
          <w:tab w:val="right" w:leader="dot" w:pos="8312"/>
        </w:tabs>
      </w:pPr>
      <w:r>
        <w:fldChar w:fldCharType="begin"/>
      </w:r>
      <w:r>
        <w:instrText xml:space="preserve"> HYPERLINK \l _Toc624558311 </w:instrText>
      </w:r>
      <w:r>
        <w:fldChar w:fldCharType="separate"/>
      </w:r>
      <w:r>
        <w:rPr>
          <w:rFonts w:ascii="Times New Roman" w:hAnsi="Times New Roman" w:eastAsia="黑体"/>
        </w:rPr>
        <w:t>2.2 知识蒸馏与领域小模型适配</w:t>
      </w:r>
      <w:r>
        <w:tab/>
      </w:r>
      <w:r>
        <w:fldChar w:fldCharType="begin"/>
      </w:r>
      <w:r>
        <w:instrText xml:space="preserve"> PAGEREF _Toc624558311 \h </w:instrText>
      </w:r>
      <w:r>
        <w:fldChar w:fldCharType="separate"/>
      </w:r>
      <w:r>
        <w:t>6</w:t>
      </w:r>
      <w:r>
        <w:fldChar w:fldCharType="end"/>
      </w:r>
      <w:r>
        <w:fldChar w:fldCharType="end"/>
      </w:r>
    </w:p>
    <w:p w14:paraId="1751F35B">
      <w:pPr>
        <w:pStyle w:val="30"/>
        <w:tabs>
          <w:tab w:val="right" w:leader="dot" w:pos="8312"/>
        </w:tabs>
      </w:pPr>
      <w:r>
        <w:fldChar w:fldCharType="begin"/>
      </w:r>
      <w:r>
        <w:instrText xml:space="preserve"> HYPERLINK \l _Toc1539296947 </w:instrText>
      </w:r>
      <w:r>
        <w:fldChar w:fldCharType="separate"/>
      </w:r>
      <w:r>
        <w:rPr>
          <w:rFonts w:ascii="Times New Roman" w:hAnsi="Times New Roman" w:eastAsia="黑体"/>
        </w:rPr>
        <w:t>2.3 指令数据构造与教学样本选择</w:t>
      </w:r>
      <w:r>
        <w:tab/>
      </w:r>
      <w:r>
        <w:fldChar w:fldCharType="begin"/>
      </w:r>
      <w:r>
        <w:instrText xml:space="preserve"> PAGEREF _Toc1539296947 \h </w:instrText>
      </w:r>
      <w:r>
        <w:fldChar w:fldCharType="separate"/>
      </w:r>
      <w:r>
        <w:t>7</w:t>
      </w:r>
      <w:r>
        <w:fldChar w:fldCharType="end"/>
      </w:r>
      <w:r>
        <w:fldChar w:fldCharType="end"/>
      </w:r>
    </w:p>
    <w:p w14:paraId="565E670D">
      <w:pPr>
        <w:pStyle w:val="30"/>
        <w:tabs>
          <w:tab w:val="right" w:leader="dot" w:pos="8312"/>
        </w:tabs>
      </w:pPr>
      <w:r>
        <w:fldChar w:fldCharType="begin"/>
      </w:r>
      <w:r>
        <w:instrText xml:space="preserve"> HYPERLINK \l _Toc187253697 </w:instrText>
      </w:r>
      <w:r>
        <w:fldChar w:fldCharType="separate"/>
      </w:r>
      <w:r>
        <w:rPr>
          <w:rFonts w:ascii="Times New Roman" w:hAnsi="Times New Roman" w:eastAsia="黑体"/>
        </w:rPr>
        <w:t>2.4 检索增强与受约束生成</w:t>
      </w:r>
      <w:r>
        <w:tab/>
      </w:r>
      <w:r>
        <w:fldChar w:fldCharType="begin"/>
      </w:r>
      <w:r>
        <w:instrText xml:space="preserve"> PAGEREF _Toc187253697 \h </w:instrText>
      </w:r>
      <w:r>
        <w:fldChar w:fldCharType="separate"/>
      </w:r>
      <w:r>
        <w:t>7</w:t>
      </w:r>
      <w:r>
        <w:fldChar w:fldCharType="end"/>
      </w:r>
      <w:r>
        <w:fldChar w:fldCharType="end"/>
      </w:r>
    </w:p>
    <w:p w14:paraId="572E7E81">
      <w:pPr>
        <w:pStyle w:val="30"/>
        <w:tabs>
          <w:tab w:val="right" w:leader="dot" w:pos="8312"/>
        </w:tabs>
      </w:pPr>
      <w:r>
        <w:fldChar w:fldCharType="begin"/>
      </w:r>
      <w:r>
        <w:instrText xml:space="preserve"> HYPERLINK \l _Toc858931902 </w:instrText>
      </w:r>
      <w:r>
        <w:fldChar w:fldCharType="separate"/>
      </w:r>
      <w:r>
        <w:rPr>
          <w:rFonts w:ascii="Times New Roman" w:hAnsi="Times New Roman" w:eastAsia="黑体"/>
        </w:rPr>
        <w:t>2.5 研究定位与可延伸空间</w:t>
      </w:r>
      <w:r>
        <w:tab/>
      </w:r>
      <w:r>
        <w:fldChar w:fldCharType="begin"/>
      </w:r>
      <w:r>
        <w:instrText xml:space="preserve"> PAGEREF _Toc858931902 \h </w:instrText>
      </w:r>
      <w:r>
        <w:fldChar w:fldCharType="separate"/>
      </w:r>
      <w:r>
        <w:t>8</w:t>
      </w:r>
      <w:r>
        <w:fldChar w:fldCharType="end"/>
      </w:r>
      <w:r>
        <w:fldChar w:fldCharType="end"/>
      </w:r>
    </w:p>
    <w:p w14:paraId="579601C8">
      <w:pPr>
        <w:pStyle w:val="27"/>
        <w:tabs>
          <w:tab w:val="right" w:leader="dot" w:pos="8312"/>
        </w:tabs>
      </w:pPr>
      <w:r>
        <w:fldChar w:fldCharType="begin"/>
      </w:r>
      <w:r>
        <w:instrText xml:space="preserve"> HYPERLINK \l _Toc1063814726 </w:instrText>
      </w:r>
      <w:r>
        <w:fldChar w:fldCharType="separate"/>
      </w:r>
      <w:r>
        <w:rPr>
          <w:rFonts w:ascii="Times New Roman" w:hAnsi="Times New Roman" w:eastAsia="黑体"/>
        </w:rPr>
        <w:t>3 研究内容、研究方案、时间安排</w:t>
      </w:r>
      <w:r>
        <w:tab/>
      </w:r>
      <w:r>
        <w:fldChar w:fldCharType="begin"/>
      </w:r>
      <w:r>
        <w:instrText xml:space="preserve"> PAGEREF _Toc1063814726 \h </w:instrText>
      </w:r>
      <w:r>
        <w:fldChar w:fldCharType="separate"/>
      </w:r>
      <w:r>
        <w:t>8</w:t>
      </w:r>
      <w:r>
        <w:fldChar w:fldCharType="end"/>
      </w:r>
      <w:r>
        <w:fldChar w:fldCharType="end"/>
      </w:r>
    </w:p>
    <w:p w14:paraId="370B23B1">
      <w:pPr>
        <w:pStyle w:val="30"/>
        <w:tabs>
          <w:tab w:val="right" w:leader="dot" w:pos="8312"/>
        </w:tabs>
      </w:pPr>
      <w:r>
        <w:fldChar w:fldCharType="begin"/>
      </w:r>
      <w:r>
        <w:instrText xml:space="preserve"> HYPERLINK \l _Toc974987009 </w:instrText>
      </w:r>
      <w:r>
        <w:fldChar w:fldCharType="separate"/>
      </w:r>
      <w:r>
        <w:rPr>
          <w:rFonts w:ascii="Times New Roman" w:hAnsi="Times New Roman" w:eastAsia="黑体"/>
        </w:rPr>
        <w:t>3.1 研究内容</w:t>
      </w:r>
      <w:r>
        <w:tab/>
      </w:r>
      <w:r>
        <w:fldChar w:fldCharType="begin"/>
      </w:r>
      <w:r>
        <w:instrText xml:space="preserve"> PAGEREF _Toc974987009 \h </w:instrText>
      </w:r>
      <w:r>
        <w:fldChar w:fldCharType="separate"/>
      </w:r>
      <w:r>
        <w:t>8</w:t>
      </w:r>
      <w:r>
        <w:fldChar w:fldCharType="end"/>
      </w:r>
      <w:r>
        <w:fldChar w:fldCharType="end"/>
      </w:r>
    </w:p>
    <w:p w14:paraId="55DEBCCE">
      <w:pPr>
        <w:pStyle w:val="24"/>
        <w:tabs>
          <w:tab w:val="right" w:leader="dot" w:pos="8312"/>
        </w:tabs>
      </w:pPr>
      <w:r>
        <w:fldChar w:fldCharType="begin"/>
      </w:r>
      <w:r>
        <w:instrText xml:space="preserve"> HYPERLINK \l _Toc369445394 </w:instrText>
      </w:r>
      <w:r>
        <w:fldChar w:fldCharType="separate"/>
      </w:r>
      <w:r>
        <w:rPr>
          <w:rFonts w:ascii="Times New Roman" w:hAnsi="Times New Roman" w:eastAsia="黑体"/>
        </w:rPr>
        <w:t>3.1.1 任务范围与总体方案</w:t>
      </w:r>
      <w:r>
        <w:tab/>
      </w:r>
      <w:r>
        <w:fldChar w:fldCharType="begin"/>
      </w:r>
      <w:r>
        <w:instrText xml:space="preserve"> PAGEREF _Toc369445394 \h </w:instrText>
      </w:r>
      <w:r>
        <w:fldChar w:fldCharType="separate"/>
      </w:r>
      <w:r>
        <w:t>8</w:t>
      </w:r>
      <w:r>
        <w:fldChar w:fldCharType="end"/>
      </w:r>
      <w:r>
        <w:fldChar w:fldCharType="end"/>
      </w:r>
    </w:p>
    <w:p w14:paraId="41F5EED6">
      <w:pPr>
        <w:pStyle w:val="24"/>
        <w:tabs>
          <w:tab w:val="right" w:leader="dot" w:pos="8312"/>
        </w:tabs>
      </w:pPr>
      <w:r>
        <w:fldChar w:fldCharType="begin"/>
      </w:r>
      <w:r>
        <w:instrText xml:space="preserve"> HYPERLINK \l _Toc1251310210 </w:instrText>
      </w:r>
      <w:r>
        <w:fldChar w:fldCharType="separate"/>
      </w:r>
      <w:r>
        <w:rPr>
          <w:rFonts w:ascii="Times New Roman" w:hAnsi="Times New Roman" w:eastAsia="黑体"/>
        </w:rPr>
        <w:t>3.1.2 证据可追溯的教学数据构造</w:t>
      </w:r>
      <w:r>
        <w:tab/>
      </w:r>
      <w:r>
        <w:fldChar w:fldCharType="begin"/>
      </w:r>
      <w:r>
        <w:instrText xml:space="preserve"> PAGEREF _Toc1251310210 \h </w:instrText>
      </w:r>
      <w:r>
        <w:fldChar w:fldCharType="separate"/>
      </w:r>
      <w:r>
        <w:t>9</w:t>
      </w:r>
      <w:r>
        <w:fldChar w:fldCharType="end"/>
      </w:r>
      <w:r>
        <w:fldChar w:fldCharType="end"/>
      </w:r>
    </w:p>
    <w:p w14:paraId="478C13FB">
      <w:pPr>
        <w:pStyle w:val="24"/>
        <w:tabs>
          <w:tab w:val="right" w:leader="dot" w:pos="8312"/>
        </w:tabs>
      </w:pPr>
      <w:r>
        <w:fldChar w:fldCharType="begin"/>
      </w:r>
      <w:r>
        <w:instrText xml:space="preserve"> HYPERLINK \l _Toc2069166731 </w:instrText>
      </w:r>
      <w:r>
        <w:fldChar w:fldCharType="separate"/>
      </w:r>
      <w:r>
        <w:rPr>
          <w:rFonts w:ascii="Times New Roman" w:hAnsi="Times New Roman" w:eastAsia="黑体"/>
        </w:rPr>
        <w:t>3.1.3 学生失误感知与约束覆盖联合的选择性蒸馏</w:t>
      </w:r>
      <w:r>
        <w:tab/>
      </w:r>
      <w:r>
        <w:fldChar w:fldCharType="begin"/>
      </w:r>
      <w:r>
        <w:instrText xml:space="preserve"> PAGEREF _Toc2069166731 \h </w:instrText>
      </w:r>
      <w:r>
        <w:fldChar w:fldCharType="separate"/>
      </w:r>
      <w:r>
        <w:t>9</w:t>
      </w:r>
      <w:r>
        <w:fldChar w:fldCharType="end"/>
      </w:r>
      <w:r>
        <w:fldChar w:fldCharType="end"/>
      </w:r>
    </w:p>
    <w:p w14:paraId="46E2FEEC">
      <w:pPr>
        <w:pStyle w:val="24"/>
        <w:tabs>
          <w:tab w:val="right" w:leader="dot" w:pos="8312"/>
        </w:tabs>
      </w:pPr>
      <w:r>
        <w:fldChar w:fldCharType="begin"/>
      </w:r>
      <w:r>
        <w:instrText xml:space="preserve"> HYPERLINK \l _Toc1817149922 </w:instrText>
      </w:r>
      <w:r>
        <w:fldChar w:fldCharType="separate"/>
      </w:r>
      <w:r>
        <w:rPr>
          <w:rFonts w:ascii="Times New Roman" w:hAnsi="Times New Roman" w:eastAsia="黑体"/>
        </w:rPr>
        <w:t>3.1.4 条件可比的证据选择与约束一致生成</w:t>
      </w:r>
      <w:r>
        <w:tab/>
      </w:r>
      <w:r>
        <w:fldChar w:fldCharType="begin"/>
      </w:r>
      <w:r>
        <w:instrText xml:space="preserve"> PAGEREF _Toc1817149922 \h </w:instrText>
      </w:r>
      <w:r>
        <w:fldChar w:fldCharType="separate"/>
      </w:r>
      <w:r>
        <w:t>11</w:t>
      </w:r>
      <w:r>
        <w:fldChar w:fldCharType="end"/>
      </w:r>
      <w:r>
        <w:fldChar w:fldCharType="end"/>
      </w:r>
    </w:p>
    <w:p w14:paraId="24333627">
      <w:pPr>
        <w:pStyle w:val="30"/>
        <w:tabs>
          <w:tab w:val="right" w:leader="dot" w:pos="8312"/>
        </w:tabs>
      </w:pPr>
      <w:r>
        <w:fldChar w:fldCharType="begin"/>
      </w:r>
      <w:r>
        <w:instrText xml:space="preserve"> HYPERLINK \l _Toc1660621059 </w:instrText>
      </w:r>
      <w:r>
        <w:fldChar w:fldCharType="separate"/>
      </w:r>
      <w:r>
        <w:rPr>
          <w:rFonts w:ascii="Times New Roman" w:hAnsi="Times New Roman" w:eastAsia="黑体"/>
        </w:rPr>
        <w:t>3.2 研究方案</w:t>
      </w:r>
      <w:r>
        <w:tab/>
      </w:r>
      <w:r>
        <w:fldChar w:fldCharType="begin"/>
      </w:r>
      <w:r>
        <w:instrText xml:space="preserve"> PAGEREF _Toc1660621059 \h </w:instrText>
      </w:r>
      <w:r>
        <w:fldChar w:fldCharType="separate"/>
      </w:r>
      <w:r>
        <w:t>11</w:t>
      </w:r>
      <w:r>
        <w:fldChar w:fldCharType="end"/>
      </w:r>
      <w:r>
        <w:fldChar w:fldCharType="end"/>
      </w:r>
    </w:p>
    <w:p w14:paraId="4282B383">
      <w:pPr>
        <w:pStyle w:val="30"/>
        <w:tabs>
          <w:tab w:val="right" w:leader="dot" w:pos="8312"/>
        </w:tabs>
      </w:pPr>
      <w:r>
        <w:fldChar w:fldCharType="begin"/>
      </w:r>
      <w:r>
        <w:instrText xml:space="preserve"> HYPERLINK \l _Toc1458377959 </w:instrText>
      </w:r>
      <w:r>
        <w:fldChar w:fldCharType="separate"/>
      </w:r>
      <w:r>
        <w:rPr>
          <w:rFonts w:ascii="Times New Roman" w:hAnsi="Times New Roman" w:eastAsia="黑体"/>
        </w:rPr>
        <w:t>3.3 时间安排</w:t>
      </w:r>
      <w:r>
        <w:tab/>
      </w:r>
      <w:r>
        <w:fldChar w:fldCharType="begin"/>
      </w:r>
      <w:r>
        <w:instrText xml:space="preserve"> PAGEREF _Toc1458377959 \h </w:instrText>
      </w:r>
      <w:r>
        <w:fldChar w:fldCharType="separate"/>
      </w:r>
      <w:r>
        <w:t>18</w:t>
      </w:r>
      <w:r>
        <w:fldChar w:fldCharType="end"/>
      </w:r>
      <w:r>
        <w:fldChar w:fldCharType="end"/>
      </w:r>
    </w:p>
    <w:p w14:paraId="3FB1D11B">
      <w:pPr>
        <w:pStyle w:val="27"/>
        <w:tabs>
          <w:tab w:val="right" w:leader="dot" w:pos="8312"/>
        </w:tabs>
      </w:pPr>
      <w:r>
        <w:fldChar w:fldCharType="begin"/>
      </w:r>
      <w:r>
        <w:instrText xml:space="preserve"> HYPERLINK \l _Toc1418352295 </w:instrText>
      </w:r>
      <w:r>
        <w:fldChar w:fldCharType="separate"/>
      </w:r>
      <w:r>
        <w:rPr>
          <w:rFonts w:ascii="Times New Roman" w:hAnsi="Times New Roman" w:eastAsia="黑体"/>
        </w:rPr>
        <w:t>参考文献</w:t>
      </w:r>
      <w:r>
        <w:tab/>
      </w:r>
      <w:r>
        <w:fldChar w:fldCharType="begin"/>
      </w:r>
      <w:r>
        <w:instrText xml:space="preserve"> PAGEREF _Toc1418352295 \h </w:instrText>
      </w:r>
      <w:r>
        <w:fldChar w:fldCharType="separate"/>
      </w:r>
      <w:r>
        <w:t>19</w:t>
      </w:r>
      <w:r>
        <w:fldChar w:fldCharType="end"/>
      </w:r>
      <w:r>
        <w:fldChar w:fldCharType="end"/>
      </w:r>
    </w:p>
    <w:p w14:paraId="17A4A1CA">
      <w:pPr>
        <w:ind w:firstLine="0"/>
      </w:pPr>
      <w:r>
        <w:fldChar w:fldCharType="end"/>
      </w:r>
    </w:p>
    <w:p w14:paraId="2CFD87F2">
      <w:r>
        <w:br w:type="page"/>
      </w:r>
    </w:p>
    <w:p w14:paraId="36CDCA17">
      <w:pPr>
        <w:pStyle w:val="3"/>
      </w:pPr>
      <w:bookmarkStart w:id="0" w:name="_Toc2054283632"/>
      <w:r>
        <w:rPr>
          <w:rFonts w:ascii="Times New Roman" w:hAnsi="Times New Roman" w:eastAsia="黑体"/>
          <w:b/>
          <w:sz w:val="30"/>
        </w:rPr>
        <w:t>1 选题背景及选题意义</w:t>
      </w:r>
      <w:bookmarkEnd w:id="0"/>
    </w:p>
    <w:p w14:paraId="4E77CB4E">
      <w:pPr>
        <w:pStyle w:val="4"/>
      </w:pPr>
      <w:bookmarkStart w:id="1" w:name="_Toc1597189787"/>
      <w:r>
        <w:rPr>
          <w:rFonts w:ascii="Times New Roman" w:hAnsi="Times New Roman" w:eastAsia="黑体"/>
          <w:b/>
          <w:sz w:val="28"/>
        </w:rPr>
        <w:t>1.1 选题背景</w:t>
      </w:r>
      <w:bookmarkEnd w:id="1"/>
    </w:p>
    <w:p w14:paraId="4C2B0CA1">
      <w:pPr>
        <w:spacing w:line="312" w:lineRule="auto"/>
        <w:ind w:firstLine="480" w:firstLineChars="200"/>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14:paraId="3342B714">
      <w:pPr>
        <w:spacing w:line="312" w:lineRule="auto"/>
        <w:ind w:firstLine="480" w:firstLineChars="200"/>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_Ref_ref001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w:t>
      </w:r>
      <w:r>
        <w:rPr>
          <w:rFonts w:ascii="Times New Roman" w:hAnsi="Times New Roman" w:eastAsia="宋体"/>
          <w:sz w:val="24"/>
          <w:vertAlign w:val="superscript"/>
        </w:rPr>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_Ref_ref002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w:t>
      </w:r>
      <w:r>
        <w:rPr>
          <w:rFonts w:ascii="Times New Roman" w:hAnsi="Times New Roman" w:eastAsia="宋体"/>
          <w:sz w:val="24"/>
          <w:vertAlign w:val="superscript"/>
        </w:rPr>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14:paraId="1BB51522">
      <w:pPr>
        <w:spacing w:line="312" w:lineRule="auto"/>
        <w:ind w:firstLine="480" w:firstLineChars="200"/>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14:paraId="61968FF0">
      <w:pPr>
        <w:spacing w:line="312" w:lineRule="auto"/>
        <w:ind w:firstLine="480" w:firstLineChars="200"/>
      </w:pPr>
      <w:r>
        <w:rPr>
          <w:rFonts w:ascii="Times New Roman" w:hAnsi="Times New Roman" w:eastAsia="宋体"/>
          <w:b w:val="0"/>
          <w:sz w:val="24"/>
        </w:rPr>
        <w:t>领域适配为解决上述问题提供了方法基础。LLa</w:t>
      </w:r>
      <w:bookmarkStart w:id="45" w:name="_GoBack"/>
      <w:bookmarkEnd w:id="45"/>
      <w:r>
        <w:rPr>
          <w:rFonts w:ascii="Times New Roman" w:hAnsi="Times New Roman" w:eastAsia="宋体"/>
          <w:b w:val="0"/>
          <w:sz w:val="24"/>
        </w:rPr>
        <w:t>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_Ref_ref003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[3]</w:t>
      </w:r>
      <w:r>
        <w:rPr>
          <w:rFonts w:ascii="Times New Roman" w:hAnsi="Times New Roman" w:eastAsia="宋体"/>
          <w:sz w:val="24"/>
          <w:vertAlign w:val="superscript"/>
        </w:rPr>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_Ref_ref004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[4]</w:t>
      </w:r>
      <w:r>
        <w:rPr>
          <w:rFonts w:ascii="Times New Roman" w:hAnsi="Times New Roman" w:eastAsia="宋体"/>
          <w:sz w:val="24"/>
          <w:vertAlign w:val="superscript"/>
        </w:rPr>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_Ref_ref008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[8]</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_Ref_ref009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[9]</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_Ref_ref019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[19]</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_Ref_ref020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[20]</w:t>
      </w:r>
      <w:r>
        <w:rPr>
          <w:rFonts w:ascii="Times New Roman" w:hAnsi="Times New Roman" w:eastAsia="宋体"/>
          <w:sz w:val="24"/>
          <w:vertAlign w:val="superscript"/>
        </w:rPr>
        <w:fldChar w:fldCharType="end"/>
      </w:r>
      <w:r>
        <w:rPr>
          <w:rFonts w:ascii="Times New Roman" w:hAnsi="Times New Roman" w:eastAsia="宋体"/>
          <w:b w:val="0"/>
          <w:sz w:val="24"/>
        </w:rPr>
        <w:t>。</w:t>
      </w:r>
    </w:p>
    <w:p w14:paraId="582C8D90">
      <w:pPr>
        <w:spacing w:line="312" w:lineRule="auto"/>
        <w:ind w:firstLine="480" w:firstLineChars="200"/>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14:paraId="51A420C5">
      <w:pPr>
        <w:pStyle w:val="4"/>
      </w:pPr>
      <w:bookmarkStart w:id="2" w:name="_Toc706014055"/>
      <w:r>
        <w:rPr>
          <w:rFonts w:ascii="Times New Roman" w:hAnsi="Times New Roman" w:eastAsia="黑体"/>
          <w:b/>
          <w:sz w:val="28"/>
        </w:rPr>
        <w:t>1.2 研究目标与任务定位</w:t>
      </w:r>
      <w:bookmarkEnd w:id="2"/>
    </w:p>
    <w:p w14:paraId="66ED1F62">
      <w:pPr>
        <w:spacing w:line="312" w:lineRule="auto"/>
        <w:ind w:firstLine="480" w:firstLineChars="200"/>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14:paraId="34BB819C">
      <w:pPr>
        <w:spacing w:line="312" w:lineRule="auto"/>
        <w:ind w:firstLine="480" w:firstLineChars="200"/>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14:paraId="6E14F50D">
      <w:pPr>
        <w:spacing w:line="312" w:lineRule="auto"/>
        <w:ind w:firstLine="480" w:firstLineChars="200"/>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14:paraId="5212A367">
      <w:pPr>
        <w:pStyle w:val="4"/>
      </w:pPr>
      <w:bookmarkStart w:id="3" w:name="_Toc1026302619"/>
      <w:r>
        <w:rPr>
          <w:rFonts w:ascii="Times New Roman" w:hAnsi="Times New Roman" w:eastAsia="黑体"/>
          <w:b/>
          <w:sz w:val="28"/>
        </w:rPr>
        <w:t>1.3 选题意义</w:t>
      </w:r>
      <w:bookmarkEnd w:id="3"/>
    </w:p>
    <w:p w14:paraId="144CC7D7">
      <w:pPr>
        <w:spacing w:line="312" w:lineRule="auto"/>
        <w:ind w:firstLine="482" w:firstLineChars="200"/>
      </w:pPr>
      <w:r>
        <w:rPr>
          <w:rFonts w:ascii="Times New Roman" w:hAnsi="Times New Roman" w:eastAsia="宋体"/>
          <w:b/>
          <w:sz w:val="24"/>
        </w:rPr>
        <w:t>应用意义：减少方案准备中的重复劳动。</w:t>
      </w:r>
      <w:r>
        <w:rPr>
          <w:rFonts w:ascii="Times New Roman" w:hAnsi="Times New Roman" w:eastAsia="宋体"/>
          <w:b w:val="0"/>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_Ref_ref005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[5]</w:t>
      </w:r>
      <w:r>
        <w:rPr>
          <w:rFonts w:ascii="Times New Roman" w:hAnsi="Times New Roman" w:eastAsia="宋体"/>
          <w:sz w:val="24"/>
          <w:vertAlign w:val="superscript"/>
        </w:rPr>
        <w:fldChar w:fldCharType="end"/>
      </w:r>
      <w:r>
        <w:rPr>
          <w:rFonts w:ascii="Times New Roman" w:hAnsi="Times New Roman" w:eastAsia="宋体"/>
          <w:b w:val="0"/>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14:paraId="7FB21D14">
      <w:pPr>
        <w:spacing w:line="312" w:lineRule="auto"/>
        <w:ind w:firstLine="482" w:firstLineChars="200"/>
      </w:pPr>
      <w:r>
        <w:rPr>
          <w:rFonts w:ascii="Times New Roman" w:hAnsi="Times New Roman" w:eastAsia="宋体"/>
          <w:b/>
          <w:sz w:val="24"/>
        </w:rPr>
        <w:t>部署意义：使领域能力在本地可保存、可控制、可复用。</w:t>
      </w:r>
      <w:r>
        <w:rPr>
          <w:rFonts w:ascii="Times New Roman" w:hAnsi="Times New Roman" w:eastAsia="宋体"/>
          <w:b w:val="0"/>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14:paraId="3186667D">
      <w:pPr>
        <w:spacing w:line="312" w:lineRule="auto"/>
        <w:ind w:firstLine="482" w:firstLineChars="200"/>
      </w:pPr>
      <w:r>
        <w:rPr>
          <w:rFonts w:ascii="Times New Roman" w:hAnsi="Times New Roman" w:eastAsia="宋体"/>
          <w:b/>
          <w:sz w:val="24"/>
        </w:rPr>
        <w:t>方法意义：把有限资源转化为可研究的数据选择问题。</w:t>
      </w:r>
      <w:r>
        <w:rPr>
          <w:rFonts w:ascii="Times New Roman" w:hAnsi="Times New Roman" w:eastAsia="宋体"/>
          <w:b w:val="0"/>
          <w:sz w:val="24"/>
        </w:rPr>
        <w:t xml:space="preserve"> 成熟蒸馏方法已经能够向学生传递任务示范，LESS、DEITA、D3 和 LASER 也表明数据选择本身是活跃研究方向</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_Ref_ref013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[13]</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_Ref_ref014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[14]</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_Ref_ref015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[15]</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_Ref_ref016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[16]</w:t>
      </w:r>
      <w:r>
        <w:rPr>
          <w:rFonts w:ascii="Times New Roman" w:hAnsi="Times New Roman" w:eastAsia="宋体"/>
          <w:sz w:val="24"/>
          <w:vertAlign w:val="superscript"/>
        </w:rPr>
        <w:fldChar w:fldCharType="end"/>
      </w:r>
      <w:r>
        <w:rPr>
          <w:rFonts w:ascii="Times New Roman" w:hAnsi="Times New Roman" w:eastAsia="宋体"/>
          <w:b w:val="0"/>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14:paraId="46B43695">
      <w:pPr>
        <w:spacing w:line="312" w:lineRule="auto"/>
        <w:ind w:firstLine="482" w:firstLineChars="200"/>
      </w:pPr>
      <w:r>
        <w:rPr>
          <w:rFonts w:ascii="Times New Roman" w:hAnsi="Times New Roman" w:eastAsia="宋体"/>
          <w:b/>
          <w:sz w:val="24"/>
        </w:rPr>
        <w:t>研究价值：形成从教学样本到部署输出的一致证据链。</w:t>
      </w:r>
      <w:r>
        <w:rPr>
          <w:rFonts w:ascii="Times New Roman" w:hAnsi="Times New Roman" w:eastAsia="宋体"/>
          <w:b w:val="0"/>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14:paraId="203BB331">
      <w:pPr>
        <w:pStyle w:val="3"/>
      </w:pPr>
      <w:bookmarkStart w:id="4" w:name="_Toc1640146189"/>
      <w:r>
        <w:rPr>
          <w:rFonts w:ascii="Times New Roman" w:hAnsi="Times New Roman" w:eastAsia="黑体"/>
          <w:b/>
          <w:sz w:val="30"/>
        </w:rPr>
        <w:t>2 文献综述</w:t>
      </w:r>
      <w:bookmarkEnd w:id="4"/>
    </w:p>
    <w:p w14:paraId="16026D2D">
      <w:pPr>
        <w:pStyle w:val="4"/>
      </w:pPr>
      <w:bookmarkStart w:id="5" w:name="_Toc3389466"/>
      <w:r>
        <w:rPr>
          <w:rFonts w:ascii="Times New Roman" w:hAnsi="Times New Roman" w:eastAsia="黑体"/>
          <w:b/>
          <w:sz w:val="28"/>
        </w:rPr>
        <w:t>2.1 材料语言模型与合金生成</w:t>
      </w:r>
      <w:bookmarkEnd w:id="5"/>
    </w:p>
    <w:p w14:paraId="06550F7B">
      <w:pPr>
        <w:spacing w:line="312" w:lineRule="auto"/>
        <w:ind w:firstLine="480" w:firstLineChars="200"/>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_Ref_ref001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w:t>
      </w:r>
      <w:r>
        <w:rPr>
          <w:rFonts w:ascii="Times New Roman" w:hAnsi="Times New Roman" w:eastAsia="宋体"/>
          <w:sz w:val="24"/>
          <w:vertAlign w:val="superscript"/>
        </w:rPr>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_Ref_ref002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w:t>
      </w:r>
      <w:r>
        <w:rPr>
          <w:rFonts w:ascii="Times New Roman" w:hAnsi="Times New Roman" w:eastAsia="宋体"/>
          <w:sz w:val="24"/>
          <w:vertAlign w:val="superscript"/>
        </w:rPr>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14:paraId="3C73D524">
      <w:pPr>
        <w:spacing w:line="312" w:lineRule="auto"/>
        <w:ind w:firstLine="480" w:firstLineChars="200"/>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_Ref_ref003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[3]</w:t>
      </w:r>
      <w:r>
        <w:rPr>
          <w:rFonts w:ascii="Times New Roman" w:hAnsi="Times New Roman" w:eastAsia="宋体"/>
          <w:sz w:val="24"/>
          <w:vertAlign w:val="superscript"/>
        </w:rPr>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_Ref_ref004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[4]</w:t>
      </w:r>
      <w:r>
        <w:rPr>
          <w:rFonts w:ascii="Times New Roman" w:hAnsi="Times New Roman" w:eastAsia="宋体"/>
          <w:sz w:val="24"/>
          <w:vertAlign w:val="superscript"/>
        </w:rPr>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_Ref_ref006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[6]</w:t>
      </w:r>
      <w:r>
        <w:rPr>
          <w:rFonts w:ascii="Times New Roman" w:hAnsi="Times New Roman" w:eastAsia="宋体"/>
          <w:sz w:val="24"/>
          <w:vertAlign w:val="superscript"/>
        </w:rPr>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14:paraId="5A26DC11">
      <w:pPr>
        <w:spacing w:line="312" w:lineRule="auto"/>
        <w:ind w:firstLine="480" w:firstLineChars="200"/>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立项依据来自任务本身的缺口，而非“材料领域尚无人做过”的空白声明，与既有商业模型的成绩也在不同数据划分下分别报告。</w:t>
      </w:r>
    </w:p>
    <w:p w14:paraId="22FB1F75">
      <w:pPr>
        <w:pStyle w:val="4"/>
      </w:pPr>
      <w:bookmarkStart w:id="6" w:name="_Toc624558311"/>
      <w:r>
        <w:rPr>
          <w:rFonts w:ascii="Times New Roman" w:hAnsi="Times New Roman" w:eastAsia="黑体"/>
          <w:b/>
          <w:sz w:val="28"/>
        </w:rPr>
        <w:t>2.2 知识蒸馏与领域小模型适配</w:t>
      </w:r>
      <w:bookmarkEnd w:id="6"/>
    </w:p>
    <w:p w14:paraId="1BDCD677">
      <w:pPr>
        <w:spacing w:line="312" w:lineRule="auto"/>
        <w:ind w:firstLine="480" w:firstLineChars="200"/>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_Ref_ref008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[8]</w:t>
      </w:r>
      <w:r>
        <w:rPr>
          <w:rFonts w:ascii="Times New Roman" w:hAnsi="Times New Roman" w:eastAsia="宋体"/>
          <w:sz w:val="24"/>
          <w:vertAlign w:val="superscript"/>
        </w:rPr>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_Ref_ref009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[9]</w:t>
      </w:r>
      <w:r>
        <w:rPr>
          <w:rFonts w:ascii="Times New Roman" w:hAnsi="Times New Roman" w:eastAsia="宋体"/>
          <w:sz w:val="24"/>
          <w:vertAlign w:val="superscript"/>
        </w:rPr>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_Ref_ref010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[10]</w:t>
      </w:r>
      <w:r>
        <w:rPr>
          <w:rFonts w:ascii="Times New Roman" w:hAnsi="Times New Roman" w:eastAsia="宋体"/>
          <w:sz w:val="24"/>
          <w:vertAlign w:val="superscript"/>
        </w:rPr>
        <w:fldChar w:fldCharType="end"/>
      </w:r>
      <w:r>
        <w:rPr>
          <w:rFonts w:ascii="Times New Roman" w:hAnsi="Times New Roman" w:eastAsia="宋体"/>
          <w:b w:val="0"/>
          <w:sz w:val="24"/>
        </w:rPr>
        <w:t>。这些结果支持任务化教学，但其 NLP 基准结论不等于材料配方任务已经有效。</w:t>
      </w:r>
    </w:p>
    <w:p w14:paraId="67F40D42">
      <w:pPr>
        <w:spacing w:line="312" w:lineRule="auto"/>
        <w:ind w:firstLine="480" w:firstLineChars="200"/>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_Ref_ref011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[11]</w:t>
      </w:r>
      <w:r>
        <w:rPr>
          <w:rFonts w:ascii="Times New Roman" w:hAnsi="Times New Roman" w:eastAsia="宋体"/>
          <w:sz w:val="24"/>
          <w:vertAlign w:val="superscript"/>
        </w:rPr>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14:paraId="24F04C0F">
      <w:pPr>
        <w:spacing w:line="312" w:lineRule="auto"/>
        <w:ind w:firstLine="480" w:firstLineChars="200"/>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_Ref_ref019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[19]</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_Ref_ref020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[20]</w:t>
      </w:r>
      <w:r>
        <w:rPr>
          <w:rFonts w:ascii="Times New Roman" w:hAnsi="Times New Roman" w:eastAsia="宋体"/>
          <w:sz w:val="24"/>
          <w:vertAlign w:val="superscript"/>
        </w:rPr>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_Ref_ref021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[21]</w:t>
      </w:r>
      <w:r>
        <w:rPr>
          <w:rFonts w:ascii="Times New Roman" w:hAnsi="Times New Roman" w:eastAsia="宋体"/>
          <w:sz w:val="24"/>
          <w:vertAlign w:val="superscript"/>
        </w:rPr>
        <w:fldChar w:fldCharType="end"/>
      </w:r>
      <w:r>
        <w:rPr>
          <w:rFonts w:ascii="Times New Roman" w:hAnsi="Times New Roman" w:eastAsia="宋体"/>
          <w:b w:val="0"/>
          <w:sz w:val="24"/>
        </w:rPr>
        <w:t>，具体型号、运行模板与版本将在预实验中固定，不以某个品牌作为论文贡献。</w:t>
      </w:r>
    </w:p>
    <w:p w14:paraId="623539A7">
      <w:pPr>
        <w:spacing w:line="312" w:lineRule="auto"/>
        <w:ind w:firstLine="480" w:firstLineChars="200"/>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_Ref_ref025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[25]</w:t>
      </w:r>
      <w:r>
        <w:rPr>
          <w:rFonts w:ascii="Times New Roman" w:hAnsi="Times New Roman" w:eastAsia="宋体"/>
          <w:sz w:val="24"/>
          <w:vertAlign w:val="superscript"/>
        </w:rPr>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14:paraId="45AFD159">
      <w:pPr>
        <w:spacing w:line="312" w:lineRule="auto"/>
        <w:ind w:firstLine="480" w:firstLineChars="200"/>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_Ref_ref026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[26]</w:t>
      </w:r>
      <w:r>
        <w:rPr>
          <w:rFonts w:ascii="Times New Roman" w:hAnsi="Times New Roman" w:eastAsia="宋体"/>
          <w:sz w:val="24"/>
          <w:vertAlign w:val="superscript"/>
        </w:rPr>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分。这两点说明：决策模型路线的标签可得性依赖所在领域已有的结构化标注体系，材料领域缺乏可直接对应的同类资源；续接此类方法时，需以交叉熵加温度缩放作为强基线，不能默认 RLCD 更优。本课题因此把决策模型定位为输出层的类型化字段与约束检查，而非独立研究内容。</w:t>
      </w:r>
    </w:p>
    <w:p w14:paraId="3358903A">
      <w:pPr>
        <w:pStyle w:val="4"/>
      </w:pPr>
      <w:bookmarkStart w:id="7" w:name="_Toc1539296947"/>
      <w:r>
        <w:rPr>
          <w:rFonts w:ascii="Times New Roman" w:hAnsi="Times New Roman" w:eastAsia="黑体"/>
          <w:b/>
          <w:sz w:val="28"/>
        </w:rPr>
        <w:t>2.3 指令数据构造与教学样本选择</w:t>
      </w:r>
      <w:bookmarkEnd w:id="7"/>
    </w:p>
    <w:p w14:paraId="43AAD592">
      <w:pPr>
        <w:spacing w:line="312" w:lineRule="auto"/>
        <w:ind w:firstLine="480" w:firstLineChars="200"/>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_Ref_ref012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[12]</w:t>
      </w:r>
      <w:r>
        <w:rPr>
          <w:rFonts w:ascii="Times New Roman" w:hAnsi="Times New Roman" w:eastAsia="宋体"/>
          <w:sz w:val="24"/>
          <w:vertAlign w:val="superscript"/>
        </w:rPr>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_Ref_ref013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[13]</w:t>
      </w:r>
      <w:r>
        <w:rPr>
          <w:rFonts w:ascii="Times New Roman" w:hAnsi="Times New Roman" w:eastAsia="宋体"/>
          <w:sz w:val="24"/>
          <w:vertAlign w:val="superscript"/>
        </w:rPr>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_Ref_ref014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[14]</w:t>
      </w:r>
      <w:r>
        <w:rPr>
          <w:rFonts w:ascii="Times New Roman" w:hAnsi="Times New Roman" w:eastAsia="宋体"/>
          <w:sz w:val="24"/>
          <w:vertAlign w:val="superscript"/>
        </w:rPr>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_Ref_ref015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[15]</w:t>
      </w:r>
      <w:r>
        <w:rPr>
          <w:rFonts w:ascii="Times New Roman" w:hAnsi="Times New Roman" w:eastAsia="宋体"/>
          <w:sz w:val="24"/>
          <w:vertAlign w:val="superscript"/>
        </w:rPr>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_Ref_ref016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[16]</w:t>
      </w:r>
      <w:r>
        <w:rPr>
          <w:rFonts w:ascii="Times New Roman" w:hAnsi="Times New Roman" w:eastAsia="宋体"/>
          <w:sz w:val="24"/>
          <w:vertAlign w:val="superscript"/>
        </w:rPr>
        <w:fldChar w:fldCharType="end"/>
      </w:r>
      <w:r>
        <w:rPr>
          <w:rFonts w:ascii="Times New Roman" w:hAnsi="Times New Roman" w:eastAsia="宋体"/>
          <w:b w:val="0"/>
          <w:sz w:val="24"/>
        </w:rPr>
        <w:t>。因此，“困难度加多样性”或“按约束分组”都不能单独声称是新的通用方法。</w:t>
      </w:r>
    </w:p>
    <w:p w14:paraId="0E0425A1">
      <w:pPr>
        <w:spacing w:line="312" w:lineRule="auto"/>
        <w:ind w:firstLine="480" w:firstLineChars="200"/>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14:paraId="0DA9AA87">
      <w:pPr>
        <w:pStyle w:val="4"/>
      </w:pPr>
      <w:bookmarkStart w:id="8" w:name="_Toc187253697"/>
      <w:r>
        <w:rPr>
          <w:rFonts w:ascii="Times New Roman" w:hAnsi="Times New Roman" w:eastAsia="黑体"/>
          <w:b/>
          <w:sz w:val="28"/>
        </w:rPr>
        <w:t>2.4 检索增强与受约束生成</w:t>
      </w:r>
      <w:bookmarkEnd w:id="8"/>
    </w:p>
    <w:p w14:paraId="3DCA9028">
      <w:pPr>
        <w:spacing w:line="312" w:lineRule="auto"/>
        <w:ind w:firstLine="480" w:firstLineChars="200"/>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_Ref_ref017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[17]</w:t>
      </w:r>
      <w:r>
        <w:rPr>
          <w:rFonts w:ascii="Times New Roman" w:hAnsi="Times New Roman" w:eastAsia="宋体"/>
          <w:sz w:val="24"/>
          <w:vertAlign w:val="superscript"/>
        </w:rPr>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_Ref_ref018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[18]</w:t>
      </w:r>
      <w:r>
        <w:rPr>
          <w:rFonts w:ascii="Times New Roman" w:hAnsi="Times New Roman" w:eastAsia="宋体"/>
          <w:sz w:val="24"/>
          <w:vertAlign w:val="superscript"/>
        </w:rPr>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14:paraId="0BD74996">
      <w:pPr>
        <w:spacing w:line="312" w:lineRule="auto"/>
        <w:ind w:firstLine="480" w:firstLineChars="200"/>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_Ref_ref022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[22]</w:t>
      </w:r>
      <w:r>
        <w:rPr>
          <w:rFonts w:ascii="Times New Roman" w:hAnsi="Times New Roman" w:eastAsia="宋体"/>
          <w:sz w:val="24"/>
          <w:vertAlign w:val="superscript"/>
        </w:rPr>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14:paraId="67C22696">
      <w:pPr>
        <w:pStyle w:val="4"/>
      </w:pPr>
      <w:bookmarkStart w:id="9" w:name="_Toc858931902"/>
      <w:r>
        <w:rPr>
          <w:rFonts w:ascii="Times New Roman" w:hAnsi="Times New Roman" w:eastAsia="黑体"/>
          <w:b/>
          <w:sz w:val="28"/>
        </w:rPr>
        <w:t>2.5 研究定位与可延伸空间</w:t>
      </w:r>
      <w:bookmarkEnd w:id="9"/>
    </w:p>
    <w:p w14:paraId="13456A34">
      <w:pPr>
        <w:spacing w:line="312" w:lineRule="auto"/>
        <w:ind w:firstLine="480" w:firstLineChars="200"/>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14:paraId="7E7945F8">
      <w:pPr>
        <w:spacing w:line="312" w:lineRule="auto"/>
        <w:ind w:firstLine="480" w:firstLineChars="200"/>
      </w:pPr>
      <w:r>
        <w:rPr>
          <w:rFonts w:ascii="Times New Roman" w:hAnsi="Times New Roman" w:eastAsia="宋体"/>
          <w:b w:val="0"/>
          <w:sz w:val="24"/>
        </w:rPr>
        <w:t>与材料专用基础模型相比，本课题不进行海量文献继续预训练；与依赖商业热力学计算构造奖励的合金生成相比，本课题不依赖 CALPHAD 计算；与通用教学样本选择相比，重点比较可核验失误与约束组合覆盖的增量；与普通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_Ref_ref023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[23]</w:t>
      </w:r>
      <w:r>
        <w:rPr>
          <w:rFonts w:ascii="Times New Roman" w:hAnsi="Times New Roman" w:eastAsia="宋体"/>
          <w:sz w:val="24"/>
          <w:vertAlign w:val="superscript"/>
        </w:rPr>
        <w:fldChar w:fldCharType="end"/>
      </w:r>
      <w:r>
        <w:rPr>
          <w:rFonts w:ascii="Times New Roman" w:hAnsi="Times New Roman" w:eastAsia="宋体"/>
          <w:b w:val="0"/>
          <w:sz w:val="24"/>
        </w:rPr>
        <w:t>，故此类工具只作为可选的辅助诊断，不生成真实可合成性标签。</w:t>
      </w:r>
    </w:p>
    <w:p w14:paraId="401E933F">
      <w:pPr>
        <w:pStyle w:val="3"/>
      </w:pPr>
      <w:bookmarkStart w:id="10" w:name="_Toc1063814726"/>
      <w:r>
        <w:rPr>
          <w:rFonts w:ascii="Times New Roman" w:hAnsi="Times New Roman" w:eastAsia="黑体"/>
          <w:b/>
          <w:sz w:val="30"/>
        </w:rPr>
        <w:t>3 研究内容、研究方案、时间安排</w:t>
      </w:r>
      <w:bookmarkEnd w:id="10"/>
    </w:p>
    <w:p w14:paraId="7A806462">
      <w:pPr>
        <w:pStyle w:val="4"/>
      </w:pPr>
      <w:bookmarkStart w:id="11" w:name="_Toc974987009"/>
      <w:r>
        <w:rPr>
          <w:rFonts w:ascii="Times New Roman" w:hAnsi="Times New Roman" w:eastAsia="黑体"/>
          <w:b/>
          <w:sz w:val="28"/>
        </w:rPr>
        <w:t>3.1 研究内容</w:t>
      </w:r>
      <w:bookmarkEnd w:id="11"/>
    </w:p>
    <w:p w14:paraId="0DED4D58">
      <w:pPr>
        <w:spacing w:line="312" w:lineRule="auto"/>
        <w:ind w:firstLine="480" w:firstLineChars="200"/>
      </w:pPr>
      <w:r>
        <w:rPr>
          <w:rFonts w:ascii="Times New Roman" w:hAnsi="Times New Roman" w:eastAsia="宋体"/>
          <w:b w:val="0"/>
          <w:sz w:val="24"/>
        </w:rPr>
        <w:t>本课题基于约束可核验的选择性任务蒸馏方法，构建面向合金配方辅助生成的本地模型适配框架。先界定任务范围与总体方案，明确输入输出、约束类型与数据边界；再构造证据可追溯的教学数据，把资料整理为成分—状态—测试—性能—来源记录，按来源分组并生成约束扰动任务。核心是以任务检查器给出的可核验失误类型作为薄弱度信号，结合约束覆盖度在固定预算内选样；推理阶段条件可比的证据选择与约束一致生成，共同支撑本地运行的辅助原型。</w:t>
      </w:r>
    </w:p>
    <w:p w14:paraId="04CD382D">
      <w:pPr>
        <w:pStyle w:val="5"/>
      </w:pPr>
      <w:bookmarkStart w:id="12" w:name="_Toc369445394"/>
      <w:r>
        <w:rPr>
          <w:rFonts w:ascii="Times New Roman" w:hAnsi="Times New Roman" w:eastAsia="黑体"/>
          <w:b/>
          <w:sz w:val="28"/>
        </w:rPr>
        <w:t>3.1.1 任务范围与总体方案</w:t>
      </w:r>
      <w:bookmarkEnd w:id="12"/>
    </w:p>
    <w:p w14:paraId="2CCCC6C3">
      <w:pPr>
        <w:spacing w:line="312" w:lineRule="auto"/>
        <w:ind w:firstLine="480" w:firstLineChars="200"/>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14:paraId="52EF951C">
      <w:pPr>
        <w:spacing w:line="312" w:lineRule="auto"/>
        <w:ind w:firstLine="480" w:firstLineChars="200"/>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14:paraId="05F6830C">
      <w:pPr>
        <w:spacing w:line="312" w:lineRule="auto"/>
        <w:ind w:firstLine="480" w:firstLineChars="200"/>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14:paraId="7051C27E">
      <w:pPr>
        <w:pStyle w:val="5"/>
      </w:pPr>
      <w:bookmarkStart w:id="13" w:name="_Toc1251310210"/>
      <w:r>
        <w:rPr>
          <w:rFonts w:ascii="Times New Roman" w:hAnsi="Times New Roman" w:eastAsia="黑体"/>
          <w:b/>
          <w:sz w:val="28"/>
        </w:rPr>
        <w:t>3.1.2 证据可追溯的教学数据构造</w:t>
      </w:r>
      <w:bookmarkEnd w:id="13"/>
    </w:p>
    <w:p w14:paraId="25526FE0">
      <w:pPr>
        <w:spacing w:line="312" w:lineRule="auto"/>
        <w:ind w:firstLine="480" w:firstLineChars="200"/>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_Ref_ref007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[7]</w:t>
      </w:r>
      <w:r>
        <w:rPr>
          <w:rFonts w:ascii="Times New Roman" w:hAnsi="Times New Roman" w:eastAsia="宋体"/>
          <w:sz w:val="24"/>
          <w:vertAlign w:val="superscript"/>
        </w:rPr>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14:paraId="2C9817E7">
      <w:pPr>
        <w:spacing w:line="312" w:lineRule="auto"/>
        <w:ind w:firstLine="480" w:firstLineChars="200"/>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14:paraId="68767A7E">
      <w:pPr>
        <w:spacing w:line="312" w:lineRule="auto"/>
        <w:ind w:firstLine="480" w:firstLineChars="200"/>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14:paraId="774E8388">
      <w:pPr>
        <w:spacing w:line="312" w:lineRule="auto"/>
        <w:ind w:firstLine="480" w:firstLineChars="200"/>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建议型示范的数量、用途和人工核验比例单列。不得把教学样本扩增数量等同于独立材料实验数量。</w:t>
      </w:r>
    </w:p>
    <w:p w14:paraId="064682BF">
      <w:pPr>
        <w:pStyle w:val="5"/>
      </w:pPr>
      <w:bookmarkStart w:id="14" w:name="_Toc2069166731"/>
      <w:r>
        <w:rPr>
          <w:rFonts w:ascii="Times New Roman" w:hAnsi="Times New Roman" w:eastAsia="黑体"/>
          <w:b/>
          <w:sz w:val="28"/>
        </w:rPr>
        <w:t>3.1.3 学生失误感知与约束覆盖联合的选择性蒸馏</w:t>
      </w:r>
      <w:bookmarkEnd w:id="14"/>
    </w:p>
    <w:p w14:paraId="2F64EC04">
      <w:pPr>
        <w:spacing w:line="312" w:lineRule="auto"/>
        <w:ind w:firstLine="480" w:firstLineChars="200"/>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14:paraId="05B65B8F">
      <w:pPr>
        <w:spacing w:line="312" w:lineRule="auto"/>
        <w:ind w:firstLine="480" w:firstLineChars="200"/>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14:paraId="21FACE98">
      <w:pPr>
        <w:spacing w:line="312" w:lineRule="auto"/>
        <w:ind w:firstLine="480" w:firstLineChars="200"/>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14:paraId="34ADB616">
      <w:pPr>
        <w:spacing w:line="312" w:lineRule="auto"/>
        <w:ind w:firstLine="480" w:firstLineChars="200"/>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14:paraId="441E94FD">
      <w:pPr>
        <w:spacing w:line="312" w:lineRule="auto"/>
        <w:ind w:firstLine="480" w:firstLineChars="200"/>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14:paraId="766F3C3D">
      <w:pPr>
        <w:pStyle w:val="5"/>
      </w:pPr>
      <w:bookmarkStart w:id="15" w:name="_Toc1817149922"/>
      <w:r>
        <w:rPr>
          <w:rFonts w:ascii="Times New Roman" w:hAnsi="Times New Roman" w:eastAsia="黑体"/>
          <w:b/>
          <w:sz w:val="28"/>
        </w:rPr>
        <w:t>3.1.4 条件可比的证据选择与约束一致生成</w:t>
      </w:r>
      <w:bookmarkEnd w:id="15"/>
    </w:p>
    <w:p w14:paraId="696DDEE0">
      <w:pPr>
        <w:spacing w:line="312" w:lineRule="auto"/>
        <w:ind w:firstLine="480" w:firstLineChars="200"/>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14:paraId="382B2C76">
      <w:pPr>
        <w:spacing w:line="312" w:lineRule="auto"/>
        <w:ind w:firstLine="480" w:firstLineChars="200"/>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14:paraId="296902C6">
      <w:pPr>
        <w:spacing w:line="312" w:lineRule="auto"/>
        <w:ind w:firstLine="480" w:firstLineChars="200"/>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14:paraId="1BD2FBC4">
      <w:pPr>
        <w:spacing w:line="312" w:lineRule="auto"/>
        <w:ind w:firstLine="480" w:firstLineChars="200"/>
      </w:pPr>
      <w:r>
        <w:rPr>
          <w:rFonts w:ascii="Times New Roman" w:hAnsi="Times New Roman" w:eastAsia="宋体"/>
          <w:b w:val="0"/>
          <w:sz w:val="24"/>
        </w:rPr>
        <w:t>对一般非线性性能要求，本体与区间检查只能给出部分可行性证据。性能模型输出的是带版本和适用范围的估计，其评分与科学验证分开记录。无解诊断须区分“数值硬约束已证明冲突”与“有限搜索预算内未找到候选”两种情形。</w:t>
      </w:r>
    </w:p>
    <w:p w14:paraId="4EF848F9">
      <w:pPr>
        <w:pStyle w:val="4"/>
      </w:pPr>
      <w:bookmarkStart w:id="16" w:name="_Toc1660621059"/>
      <w:r>
        <w:rPr>
          <w:rFonts w:ascii="Times New Roman" w:hAnsi="Times New Roman" w:eastAsia="黑体"/>
          <w:b/>
          <w:sz w:val="28"/>
        </w:rPr>
        <w:t>3.2 研究方案</w:t>
      </w:r>
      <w:bookmarkEnd w:id="16"/>
    </w:p>
    <w:p w14:paraId="1EFF859A">
      <w:pPr>
        <w:spacing w:line="312" w:lineRule="auto"/>
        <w:ind w:firstLine="482" w:firstLineChars="200"/>
      </w:pPr>
      <w:r>
        <w:rPr>
          <w:rFonts w:ascii="Times New Roman" w:hAnsi="Times New Roman" w:eastAsia="宋体"/>
          <w:b/>
          <w:sz w:val="24"/>
        </w:rPr>
        <w:t>（一）拟创新点及其证据要求</w:t>
      </w:r>
    </w:p>
    <w:p w14:paraId="3A663A08">
      <w:pPr>
        <w:spacing w:line="312" w:lineRule="auto"/>
        <w:ind w:firstLine="480" w:firstLineChars="200"/>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14:paraId="154B4612">
      <w:pPr>
        <w:spacing w:line="312" w:lineRule="auto"/>
        <w:ind w:firstLine="482" w:firstLineChars="200"/>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14:paraId="7C47E356">
      <w:pPr>
        <w:spacing w:line="312" w:lineRule="auto"/>
        <w:ind w:firstLine="480" w:firstLineChars="200"/>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支持型／探索建议型”两类标注。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14:paraId="13979E8F">
      <w:pPr>
        <w:spacing w:line="312" w:lineRule="auto"/>
        <w:ind w:firstLine="482" w:firstLineChars="200"/>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_Ref_ref013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[13]</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_Ref_ref015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[15]</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_Ref_ref016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[16]</w:t>
      </w:r>
      <w:r>
        <w:rPr>
          <w:rFonts w:ascii="Times New Roman" w:hAnsi="Times New Roman" w:eastAsia="宋体"/>
          <w:sz w:val="24"/>
          <w:vertAlign w:val="superscript"/>
        </w:rPr>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14:paraId="41750BDB">
      <w:pPr>
        <w:spacing w:line="312" w:lineRule="auto"/>
        <w:ind w:firstLine="482" w:firstLineChars="200"/>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14:paraId="0F185DDB">
      <w:pPr>
        <w:spacing w:line="312" w:lineRule="auto"/>
        <w:ind w:firstLine="480" w:firstLineChars="200"/>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14:paraId="27F5720C">
      <w:pPr>
        <w:spacing w:line="312" w:lineRule="auto"/>
        <w:ind w:firstLine="482" w:firstLineChars="200"/>
      </w:pPr>
      <w:r>
        <w:rPr>
          <w:rFonts w:ascii="Times New Roman" w:hAnsi="Times New Roman" w:eastAsia="宋体"/>
          <w:b/>
          <w:sz w:val="24"/>
        </w:rPr>
        <w:t>（二）数据与可用资源</w:t>
      </w:r>
    </w:p>
    <w:p w14:paraId="690F2C3B">
      <w:pPr>
        <w:spacing w:line="312" w:lineRule="auto"/>
        <w:ind w:firstLine="480" w:firstLineChars="200"/>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_Ref_ref007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[7]</w:t>
      </w:r>
      <w:r>
        <w:rPr>
          <w:rFonts w:ascii="Times New Roman" w:hAnsi="Times New Roman" w:eastAsia="宋体"/>
          <w:sz w:val="24"/>
          <w:vertAlign w:val="superscript"/>
        </w:rPr>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14:paraId="7A22981B">
      <w:pPr>
        <w:spacing w:line="312" w:lineRule="auto"/>
        <w:ind w:firstLine="480" w:firstLineChars="200"/>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_Ref_ref024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[24]</w:t>
      </w:r>
      <w:r>
        <w:rPr>
          <w:rFonts w:ascii="Times New Roman" w:hAnsi="Times New Roman" w:eastAsia="宋体"/>
          <w:sz w:val="24"/>
          <w:vertAlign w:val="superscript"/>
        </w:rPr>
        <w:fldChar w:fldCharType="end"/>
      </w:r>
      <w:r>
        <w:rPr>
          <w:rFonts w:ascii="Times New Roman" w:hAnsi="Times New Roman" w:eastAsia="宋体"/>
          <w:b w:val="0"/>
          <w:sz w:val="24"/>
        </w:rPr>
        <w:t>，但它不是高熵合金实测数据，正式使用前须核对具体版本、字段和缺失值，不作为当前必需前提。</w:t>
      </w:r>
    </w:p>
    <w:p w14:paraId="567CBD86">
      <w:pPr>
        <w:spacing w:line="312" w:lineRule="auto"/>
        <w:ind w:firstLine="480" w:firstLineChars="200"/>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8980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0E81CE8C">
            <w:pPr>
              <w:spacing w:line="240" w:lineRule="auto"/>
              <w:ind w:firstLine="0"/>
            </w:pPr>
            <w:r>
              <w:rPr>
                <w:rFonts w:ascii="Times New Roman" w:hAnsi="Times New Roman" w:eastAsia="黑体"/>
                <w:b/>
                <w:sz w:val="21"/>
              </w:rPr>
              <w:t>层级</w:t>
            </w:r>
          </w:p>
        </w:tc>
        <w:tc>
          <w:tcPr>
            <w:tcW w:w="2771" w:type="dxa"/>
          </w:tcPr>
          <w:p w14:paraId="2238B26D">
            <w:pPr>
              <w:spacing w:line="240" w:lineRule="auto"/>
              <w:ind w:firstLine="0"/>
            </w:pPr>
            <w:r>
              <w:rPr>
                <w:rFonts w:ascii="Times New Roman" w:hAnsi="Times New Roman" w:eastAsia="黑体"/>
                <w:b/>
                <w:sz w:val="21"/>
              </w:rPr>
              <w:t>已核实资料或计划规模</w:t>
            </w:r>
          </w:p>
        </w:tc>
        <w:tc>
          <w:tcPr>
            <w:tcW w:w="2771" w:type="dxa"/>
          </w:tcPr>
          <w:p w14:paraId="26FD6271">
            <w:pPr>
              <w:spacing w:line="240" w:lineRule="auto"/>
              <w:ind w:firstLine="0"/>
            </w:pPr>
            <w:r>
              <w:rPr>
                <w:rFonts w:ascii="Times New Roman" w:hAnsi="Times New Roman" w:eastAsia="黑体"/>
                <w:b/>
                <w:sz w:val="21"/>
              </w:rPr>
              <w:t>使用与边界</w:t>
            </w:r>
          </w:p>
        </w:tc>
      </w:tr>
      <w:tr w14:paraId="7AD6D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287B8595">
            <w:pPr>
              <w:spacing w:line="240" w:lineRule="auto"/>
              <w:ind w:firstLine="0"/>
            </w:pPr>
            <w:r>
              <w:rPr>
                <w:rFonts w:ascii="Times New Roman" w:hAnsi="Times New Roman" w:eastAsia="宋体"/>
                <w:sz w:val="21"/>
              </w:rPr>
              <w:t>MPEA 主资料</w:t>
            </w:r>
          </w:p>
        </w:tc>
        <w:tc>
          <w:tcPr>
            <w:tcW w:w="2771" w:type="dxa"/>
          </w:tcPr>
          <w:p w14:paraId="4B8EE590">
            <w:pPr>
              <w:spacing w:line="240" w:lineRule="auto"/>
              <w:ind w:firstLine="0"/>
            </w:pPr>
            <w:r>
              <w:rPr>
                <w:rFonts w:ascii="Times New Roman" w:hAnsi="Times New Roman" w:eastAsia="宋体"/>
                <w:sz w:val="21"/>
              </w:rPr>
              <w:t>1,545 条记录、630 种成分、265 个 DOI</w:t>
            </w:r>
          </w:p>
        </w:tc>
        <w:tc>
          <w:tcPr>
            <w:tcW w:w="2771" w:type="dxa"/>
          </w:tcPr>
          <w:p w14:paraId="30C6FF98">
            <w:pPr>
              <w:spacing w:line="240" w:lineRule="auto"/>
              <w:ind w:firstLine="0"/>
            </w:pPr>
            <w:r>
              <w:rPr>
                <w:rFonts w:ascii="Times New Roman" w:hAnsi="Times New Roman" w:eastAsia="宋体"/>
                <w:sz w:val="21"/>
              </w:rPr>
              <w:t>用于资料审计与可用字段筛选，不将全部记录混成相同条件的性能标签</w:t>
            </w:r>
          </w:p>
        </w:tc>
      </w:tr>
      <w:tr w14:paraId="1244F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4C44E773">
            <w:pPr>
              <w:spacing w:line="240" w:lineRule="auto"/>
              <w:ind w:firstLine="0"/>
            </w:pPr>
            <w:r>
              <w:rPr>
                <w:rFonts w:ascii="Times New Roman" w:hAnsi="Times New Roman" w:eastAsia="宋体"/>
                <w:sz w:val="21"/>
              </w:rPr>
              <w:t>首版硬度子集</w:t>
            </w:r>
          </w:p>
        </w:tc>
        <w:tc>
          <w:tcPr>
            <w:tcW w:w="2771" w:type="dxa"/>
          </w:tcPr>
          <w:p w14:paraId="73410611">
            <w:pPr>
              <w:spacing w:line="240" w:lineRule="auto"/>
              <w:ind w:firstLine="0"/>
            </w:pPr>
            <w:r>
              <w:rPr>
                <w:rFonts w:ascii="Times New Roman" w:hAnsi="Times New Roman" w:eastAsia="宋体"/>
                <w:sz w:val="21"/>
              </w:rPr>
              <w:t>254 条记录、233 种成分、55 个 DOI</w:t>
            </w:r>
          </w:p>
        </w:tc>
        <w:tc>
          <w:tcPr>
            <w:tcW w:w="2771" w:type="dxa"/>
          </w:tcPr>
          <w:p w14:paraId="148E5A56">
            <w:pPr>
              <w:spacing w:line="240" w:lineRule="auto"/>
              <w:ind w:firstLine="0"/>
            </w:pPr>
            <w:r>
              <w:rPr>
                <w:rFonts w:ascii="Times New Roman" w:hAnsi="Times New Roman" w:eastAsia="宋体"/>
                <w:sz w:val="21"/>
              </w:rPr>
              <w:t>测试温度字段为 20—30 ℃、粗工艺为 CAST 且有硬度值，详细测试条件仍需核验</w:t>
            </w:r>
          </w:p>
        </w:tc>
      </w:tr>
      <w:tr w14:paraId="0FC1F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71" w:type="dxa"/>
          </w:tcPr>
          <w:p w14:paraId="1324DCC7">
            <w:pPr>
              <w:spacing w:line="240" w:lineRule="auto"/>
              <w:ind w:firstLine="0"/>
            </w:pPr>
            <w:r>
              <w:rPr>
                <w:rFonts w:ascii="Times New Roman" w:hAnsi="Times New Roman" w:eastAsia="宋体"/>
                <w:sz w:val="21"/>
              </w:rPr>
              <w:t>预实验教学池</w:t>
            </w:r>
          </w:p>
        </w:tc>
        <w:tc>
          <w:tcPr>
            <w:tcW w:w="2771" w:type="dxa"/>
          </w:tcPr>
          <w:p w14:paraId="73C0E6C6">
            <w:pPr>
              <w:spacing w:line="240" w:lineRule="auto"/>
              <w:ind w:firstLine="0"/>
            </w:pPr>
            <w:r>
              <w:rPr>
                <w:rFonts w:ascii="Times New Roman" w:hAnsi="Times New Roman" w:eastAsia="宋体"/>
                <w:sz w:val="21"/>
              </w:rPr>
              <w:t>计划约 300—1,000 个合格任务</w:t>
            </w:r>
          </w:p>
        </w:tc>
        <w:tc>
          <w:tcPr>
            <w:tcW w:w="2771" w:type="dxa"/>
          </w:tcPr>
          <w:p w14:paraId="30E1FF88">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14:paraId="2D2BD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0029842">
            <w:pPr>
              <w:spacing w:line="240" w:lineRule="auto"/>
              <w:ind w:firstLine="0"/>
            </w:pPr>
            <w:r>
              <w:rPr>
                <w:rFonts w:ascii="Times New Roman" w:hAnsi="Times New Roman" w:eastAsia="宋体"/>
                <w:sz w:val="21"/>
              </w:rPr>
              <w:t>开发与测试任务</w:t>
            </w:r>
          </w:p>
        </w:tc>
        <w:tc>
          <w:tcPr>
            <w:tcW w:w="2771" w:type="dxa"/>
          </w:tcPr>
          <w:p w14:paraId="210972EC">
            <w:pPr>
              <w:spacing w:line="240" w:lineRule="auto"/>
              <w:ind w:firstLine="0"/>
            </w:pPr>
            <w:r>
              <w:rPr>
                <w:rFonts w:ascii="Times New Roman" w:hAnsi="Times New Roman" w:eastAsia="宋体"/>
                <w:sz w:val="21"/>
              </w:rPr>
              <w:t>由各自来源关联组独立构造</w:t>
            </w:r>
          </w:p>
        </w:tc>
        <w:tc>
          <w:tcPr>
            <w:tcW w:w="2771" w:type="dxa"/>
          </w:tcPr>
          <w:p w14:paraId="29A6ECE7">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14:paraId="739DA1C7">
      <w:pPr>
        <w:spacing w:line="240" w:lineRule="auto"/>
        <w:ind w:firstLine="0"/>
      </w:pPr>
    </w:p>
    <w:p w14:paraId="7B92DCF0">
      <w:pPr>
        <w:spacing w:line="312" w:lineRule="auto"/>
        <w:ind w:firstLine="480" w:firstLineChars="200"/>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14:paraId="7BA5F428">
      <w:pPr>
        <w:spacing w:line="312" w:lineRule="auto"/>
        <w:ind w:firstLine="480" w:firstLineChars="200"/>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_Ref_ref001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_Ref_ref002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_Ref_ref021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[21]</w:t>
      </w:r>
      <w:r>
        <w:rPr>
          <w:rFonts w:ascii="Times New Roman" w:hAnsi="Times New Roman" w:eastAsia="宋体"/>
          <w:sz w:val="24"/>
          <w:vertAlign w:val="superscript"/>
        </w:rPr>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_Ref_ref004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[4]</w:t>
      </w:r>
      <w:r>
        <w:rPr>
          <w:rFonts w:ascii="Times New Roman" w:hAnsi="Times New Roman" w:eastAsia="宋体"/>
          <w:sz w:val="24"/>
          <w:vertAlign w:val="superscript"/>
        </w:rPr>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w:t>
      </w:r>
    </w:p>
    <w:p w14:paraId="4513CBAE">
      <w:pPr>
        <w:spacing w:line="312" w:lineRule="auto"/>
        <w:ind w:firstLine="482" w:firstLineChars="200"/>
      </w:pPr>
      <w:r>
        <w:rPr>
          <w:rFonts w:ascii="Times New Roman" w:hAnsi="Times New Roman" w:eastAsia="宋体"/>
          <w:b/>
          <w:sz w:val="24"/>
        </w:rPr>
        <w:t>（三）实验设计与公平比较</w:t>
      </w:r>
    </w:p>
    <w:p w14:paraId="2D73944A">
      <w:pPr>
        <w:spacing w:line="312" w:lineRule="auto"/>
        <w:ind w:firstLine="480" w:firstLineChars="200"/>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14:paraId="72BE369C">
      <w:pPr>
        <w:spacing w:line="312" w:lineRule="auto"/>
        <w:ind w:firstLine="480" w:firstLineChars="200"/>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14:paraId="72351035">
      <w:pPr>
        <w:spacing w:line="312" w:lineRule="auto"/>
        <w:ind w:firstLine="480" w:firstLineChars="200"/>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成本适合，则加入梯度选择对照。全量训练只作额外预算上界参考，不宣称与等预算子集比较完全公平。种子预热与诊断开销在各组使用一致设置，选样计算成本计入总账。</w:t>
      </w:r>
    </w:p>
    <w:p w14:paraId="59DA1B2B">
      <w:pPr>
        <w:spacing w:line="312" w:lineRule="auto"/>
        <w:ind w:firstLine="480" w:firstLineChars="200"/>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14:paraId="6E840CE9">
      <w:pPr>
        <w:spacing w:line="312" w:lineRule="auto"/>
        <w:ind w:firstLine="480" w:firstLineChars="200"/>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14:paraId="003989A4">
      <w:pPr>
        <w:spacing w:line="312" w:lineRule="auto"/>
        <w:ind w:firstLine="482" w:firstLineChars="200"/>
      </w:pPr>
      <w:r>
        <w:rPr>
          <w:rFonts w:ascii="Times New Roman" w:hAnsi="Times New Roman" w:eastAsia="宋体"/>
          <w:b/>
          <w:sz w:val="24"/>
        </w:rPr>
        <w:t>（四）指标、接近标准与应用价值验证</w:t>
      </w:r>
    </w:p>
    <w:p w14:paraId="6A3FF807">
      <w:pPr>
        <w:spacing w:line="312" w:lineRule="auto"/>
        <w:ind w:firstLine="480" w:firstLineChars="200"/>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14:paraId="439B7572">
      <w:pPr>
        <w:spacing w:line="312" w:lineRule="auto"/>
        <w:ind w:firstLine="480" w:firstLineChars="200"/>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14:paraId="66975F60">
      <w:pPr>
        <w:spacing w:line="312" w:lineRule="auto"/>
        <w:ind w:firstLine="480" w:firstLineChars="200"/>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14:paraId="463F3346">
      <w:pPr>
        <w:spacing w:line="312" w:lineRule="auto"/>
        <w:ind w:firstLine="480" w:firstLineChars="200"/>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14:paraId="1F77355E">
      <w:pPr>
        <w:spacing w:line="312" w:lineRule="auto"/>
        <w:ind w:firstLine="480" w:firstLineChars="200"/>
      </w:pPr>
      <w:r>
        <w:rPr>
          <w:rFonts w:ascii="Times New Roman" w:hAnsi="Times New Roman" w:eastAsia="宋体"/>
          <w:b w:val="0"/>
          <w:sz w:val="24"/>
        </w:rPr>
        <w:t>应用价值设置两层证据。可直接核验的是每次获得合格候选所需的重试、字段修正、查证步骤和机器运行开销；涉及“人工时间节省”的结论则需要用户任务试用。若能获得材料研究者参与，采用同任务、交叉顺序和隐去方案标签的结果复核，记录用时与修订量；若无法组织合适使用者，只报告离线操作负担与技术指标，不宣称已经证明产业效率提升。性能模型或经验规则的通过率仅作辅助诊断，不能替代独立实验成败或高温性能验证。</w:t>
      </w:r>
    </w:p>
    <w:p w14:paraId="4F922775">
      <w:pPr>
        <w:spacing w:line="312" w:lineRule="auto"/>
        <w:ind w:firstLine="482" w:firstLineChars="200"/>
      </w:pPr>
      <w:r>
        <w:rPr>
          <w:rFonts w:ascii="Times New Roman" w:hAnsi="Times New Roman" w:eastAsia="宋体"/>
          <w:b/>
          <w:sz w:val="24"/>
        </w:rPr>
        <w:t>（五）技术路线与阶段衔接</w:t>
      </w:r>
    </w:p>
    <w:p w14:paraId="56EA5C3E">
      <w:pPr>
        <w:spacing w:line="312" w:lineRule="auto"/>
        <w:ind w:firstLine="480" w:firstLineChars="200"/>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14:paraId="02EA060C">
      <w:pPr>
        <w:spacing w:before="120" w:after="120"/>
        <w:ind w:firstLine="0"/>
        <w:jc w:val="center"/>
      </w:pPr>
      <w:r>
        <w:drawing>
          <wp:inline distT="0" distB="0" distL="114300" distR="114300">
            <wp:extent cx="4859655" cy="3900170"/>
            <wp:effectExtent l="0" t="0" r="1714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860000" cy="3900252"/>
                    </a:xfrm>
                    <a:prstGeom prst="rect">
                      <a:avLst/>
                    </a:prstGeom>
                  </pic:spPr>
                </pic:pic>
              </a:graphicData>
            </a:graphic>
          </wp:inline>
        </w:drawing>
      </w:r>
    </w:p>
    <w:p w14:paraId="226F62FB">
      <w:pPr>
        <w:spacing w:after="200"/>
        <w:ind w:firstLine="0"/>
        <w:jc w:val="center"/>
      </w:pPr>
      <w:r>
        <w:rPr>
          <w:rFonts w:ascii="Times New Roman" w:hAnsi="Times New Roman" w:eastAsia="宋体"/>
          <w:sz w:val="21"/>
        </w:rPr>
        <w:t>图 3-1　技术路线图</w:t>
      </w:r>
    </w:p>
    <w:p w14:paraId="30FEF39E">
      <w:pPr>
        <w:spacing w:line="312" w:lineRule="auto"/>
        <w:ind w:firstLine="482" w:firstLineChars="200"/>
      </w:pPr>
      <w:r>
        <w:rPr>
          <w:rFonts w:ascii="Times New Roman" w:hAnsi="Times New Roman" w:eastAsia="宋体"/>
          <w:b/>
          <w:sz w:val="24"/>
        </w:rPr>
        <w:t>（六）资源与实施可行性</w:t>
      </w:r>
    </w:p>
    <w:p w14:paraId="1301620D">
      <w:pPr>
        <w:spacing w:line="312" w:lineRule="auto"/>
        <w:ind w:firstLine="480" w:firstLineChars="200"/>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_Ref_ref019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[19]</w:t>
      </w:r>
      <w:r>
        <w:rPr>
          <w:rFonts w:ascii="Times New Roman" w:hAnsi="Times New Roman" w:eastAsia="宋体"/>
          <w:sz w:val="24"/>
          <w:vertAlign w:val="superscript"/>
        </w:rPr>
        <w:fldChar w:fldCharType="end"/>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_Ref_ref020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[20]</w:t>
      </w:r>
      <w:r>
        <w:rPr>
          <w:rFonts w:ascii="Times New Roman" w:hAnsi="Times New Roman" w:eastAsia="宋体"/>
          <w:sz w:val="24"/>
          <w:vertAlign w:val="superscript"/>
        </w:rPr>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14:paraId="5445051E">
      <w:pPr>
        <w:spacing w:line="312" w:lineRule="auto"/>
        <w:ind w:firstLine="480" w:firstLineChars="200"/>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3.2（二）的约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14:paraId="1F0DC4FB">
      <w:pPr>
        <w:spacing w:line="312" w:lineRule="auto"/>
        <w:ind w:firstLine="480" w:firstLineChars="200"/>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14:paraId="6DA4672D">
      <w:pPr>
        <w:spacing w:line="312" w:lineRule="auto"/>
        <w:ind w:firstLine="482" w:firstLineChars="200"/>
      </w:pPr>
      <w:r>
        <w:rPr>
          <w:rFonts w:ascii="Times New Roman" w:hAnsi="Times New Roman" w:eastAsia="宋体"/>
          <w:b/>
          <w:sz w:val="24"/>
        </w:rPr>
        <w:t>（七）主要风险及处理边界</w:t>
      </w:r>
    </w:p>
    <w:p w14:paraId="01D7D3C5">
      <w:pPr>
        <w:spacing w:line="312" w:lineRule="auto"/>
        <w:ind w:firstLine="480" w:firstLineChars="200"/>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14:paraId="64A86BED">
      <w:pPr>
        <w:spacing w:line="312" w:lineRule="auto"/>
        <w:ind w:firstLine="480" w:firstLineChars="200"/>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14:paraId="6FE8C1AA">
      <w:pPr>
        <w:spacing w:line="312" w:lineRule="auto"/>
        <w:ind w:firstLine="480" w:firstLineChars="200"/>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14:paraId="2149CE8A">
      <w:pPr>
        <w:spacing w:line="312" w:lineRule="auto"/>
        <w:ind w:firstLine="480" w:firstLineChars="200"/>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14:paraId="3573EE20">
      <w:pPr>
        <w:spacing w:line="312" w:lineRule="auto"/>
        <w:ind w:firstLine="482" w:firstLineChars="200"/>
      </w:pPr>
      <w:r>
        <w:rPr>
          <w:rFonts w:ascii="Times New Roman" w:hAnsi="Times New Roman" w:eastAsia="宋体"/>
          <w:b/>
          <w:sz w:val="24"/>
        </w:rPr>
        <w:t>（八）预期成果与完成标准</w:t>
      </w:r>
    </w:p>
    <w:p w14:paraId="45F21AC9">
      <w:pPr>
        <w:spacing w:line="312" w:lineRule="auto"/>
        <w:ind w:firstLine="480" w:firstLineChars="200"/>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14:paraId="5F578784">
      <w:pPr>
        <w:spacing w:line="312" w:lineRule="auto"/>
        <w:ind w:firstLine="480" w:firstLineChars="200"/>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14:paraId="0DD3E6DE">
      <w:pPr>
        <w:spacing w:line="312" w:lineRule="auto"/>
        <w:ind w:firstLine="482" w:firstLineChars="200"/>
      </w:pPr>
      <w:r>
        <w:rPr>
          <w:rFonts w:ascii="Times New Roman" w:hAnsi="Times New Roman" w:eastAsia="宋体"/>
          <w:b/>
          <w:sz w:val="24"/>
        </w:rPr>
        <w:t>（九）数据管理、授权与研究诚信</w:t>
      </w:r>
    </w:p>
    <w:p w14:paraId="1C6CBDF1">
      <w:pPr>
        <w:spacing w:line="312" w:lineRule="auto"/>
        <w:ind w:firstLine="480" w:firstLineChars="200"/>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14:paraId="41AB5699">
      <w:pPr>
        <w:spacing w:line="312" w:lineRule="auto"/>
        <w:ind w:firstLine="480" w:firstLineChars="200"/>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14:paraId="76BCDF79">
      <w:pPr>
        <w:pStyle w:val="4"/>
      </w:pPr>
      <w:bookmarkStart w:id="17" w:name="_Toc1458377959"/>
      <w:r>
        <w:rPr>
          <w:rFonts w:ascii="Times New Roman" w:hAnsi="Times New Roman" w:eastAsia="黑体"/>
          <w:b/>
          <w:sz w:val="28"/>
        </w:rPr>
        <w:t>3.3 时间安排</w:t>
      </w:r>
      <w:bookmarkEnd w:id="17"/>
    </w:p>
    <w:p w14:paraId="0961C05F">
      <w:pPr>
        <w:spacing w:line="312" w:lineRule="auto"/>
        <w:ind w:firstLine="480" w:firstLineChars="200"/>
      </w:pPr>
      <w:r>
        <w:rPr>
          <w:rFonts w:ascii="Times New Roman" w:hAnsi="Times New Roman" w:eastAsia="宋体"/>
          <w:b w:val="0"/>
          <w:sz w:val="24"/>
        </w:rPr>
        <w:t>时间表以正式启动后八个月为计划周期，不假设具体入学或答辩日期，实际节点由研究者填写调整。</w:t>
      </w:r>
    </w:p>
    <w:p w14:paraId="64D66B20">
      <w:pPr>
        <w:spacing w:line="312" w:lineRule="auto"/>
        <w:ind w:firstLine="480" w:firstLineChars="200"/>
      </w:pPr>
      <w:r>
        <w:rPr>
          <w:rFonts w:ascii="Times New Roman" w:hAnsi="Times New Roman" w:eastAsia="宋体"/>
          <w:b w:val="0"/>
          <w:sz w:val="24"/>
        </w:rPr>
        <w:t>第 1 个月：完成研究资料、许可、来源关联与任务审计；固定首版合金范围、条件字段、教师和学生候选，完成小规模运行与预算估计。</w:t>
      </w:r>
    </w:p>
    <w:p w14:paraId="145EF6BE">
      <w:pPr>
        <w:spacing w:line="312" w:lineRule="auto"/>
        <w:ind w:firstLine="480" w:firstLineChars="200"/>
      </w:pPr>
      <w:r>
        <w:rPr>
          <w:rFonts w:ascii="Times New Roman" w:hAnsi="Times New Roman" w:eastAsia="宋体"/>
          <w:b w:val="0"/>
          <w:sz w:val="24"/>
        </w:rPr>
        <w:t>第 2 个月：构建任务本体、教师示范和准入规则；划分互斥数据集并检查派生样本泄漏，完成本地底座及常规蒸馏基线。</w:t>
      </w:r>
    </w:p>
    <w:p w14:paraId="045A513D">
      <w:pPr>
        <w:spacing w:line="312" w:lineRule="auto"/>
        <w:ind w:firstLine="480" w:firstLineChars="200"/>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14:paraId="59ED1184">
      <w:pPr>
        <w:spacing w:line="312" w:lineRule="auto"/>
        <w:ind w:firstLine="480" w:firstLineChars="200"/>
      </w:pPr>
      <w:r>
        <w:rPr>
          <w:rFonts w:ascii="Times New Roman" w:hAnsi="Times New Roman" w:eastAsia="宋体"/>
          <w:b w:val="0"/>
          <w:sz w:val="24"/>
        </w:rPr>
        <w:t>第 5 个月：完成本地检索、条件过滤、分步生成和有限修正集成，做分组件消融，确认模型学习与数值工具收益的边界。</w:t>
      </w:r>
    </w:p>
    <w:p w14:paraId="5248C584">
      <w:pPr>
        <w:spacing w:line="312" w:lineRule="auto"/>
        <w:ind w:firstLine="480" w:firstLineChars="200"/>
      </w:pPr>
      <w:r>
        <w:rPr>
          <w:rFonts w:ascii="Times New Roman" w:hAnsi="Times New Roman" w:eastAsia="宋体"/>
          <w:b w:val="0"/>
          <w:sz w:val="24"/>
        </w:rPr>
        <w:t>第 6 个月：冻结正式配置，完成教师比较、来源组留出及约束组合泛化实验；资源和授权具备时组织有限用户任务试用。</w:t>
      </w:r>
    </w:p>
    <w:p w14:paraId="4115C2DF">
      <w:pPr>
        <w:spacing w:line="312" w:lineRule="auto"/>
        <w:ind w:firstLine="480" w:firstLineChars="200"/>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14:paraId="70952353">
      <w:pPr>
        <w:pStyle w:val="3"/>
      </w:pPr>
      <w:bookmarkStart w:id="18" w:name="_Toc1418352295"/>
      <w:r>
        <w:rPr>
          <w:rFonts w:ascii="Times New Roman" w:hAnsi="Times New Roman" w:eastAsia="黑体"/>
          <w:b/>
          <w:sz w:val="30"/>
        </w:rPr>
        <w:t>参考文献</w:t>
      </w:r>
      <w:bookmarkEnd w:id="18"/>
    </w:p>
    <w:p w14:paraId="18E925DA">
      <w:pPr>
        <w:spacing w:line="312" w:lineRule="auto"/>
        <w:ind w:left="420" w:leftChars="0" w:hanging="420" w:hangingChars="200"/>
      </w:pPr>
      <w:bookmarkStart w:id="19" w:name="_Ref_ref001"/>
      <w:r>
        <w:rPr>
          <w:rFonts w:ascii="Times New Roman" w:hAnsi="Times New Roman" w:eastAsia="宋体"/>
          <w:sz w:val="21"/>
        </w:rPr>
        <w:t>[1]</w:t>
      </w:r>
      <w:bookmarkEnd w:id="19"/>
      <w:r>
        <w:rPr>
          <w:rFonts w:ascii="Times New Roman" w:hAnsi="Times New Roman" w:eastAsia="宋体"/>
          <w:sz w:val="21"/>
        </w:rPr>
        <w:t xml:space="preserve"> Jia S, Zhang C, Fung V. LLMatDesign: Autonomous materials discovery with large language models[EB/OL]. arXiv:2406.13163, 2024. DOI: 10.48550/arXiv.2406.13163.</w:t>
      </w:r>
    </w:p>
    <w:p w14:paraId="5447654D">
      <w:pPr>
        <w:spacing w:line="312" w:lineRule="auto"/>
        <w:ind w:left="420" w:leftChars="0" w:hanging="420" w:hangingChars="200"/>
      </w:pPr>
      <w:bookmarkStart w:id="20" w:name="_Ref_ref002"/>
      <w:r>
        <w:rPr>
          <w:rFonts w:ascii="Times New Roman" w:hAnsi="Times New Roman" w:eastAsia="宋体"/>
          <w:sz w:val="21"/>
        </w:rPr>
        <w:t>[2]</w:t>
      </w:r>
      <w:bookmarkEnd w:id="20"/>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14:paraId="34F5B67D">
      <w:pPr>
        <w:spacing w:line="312" w:lineRule="auto"/>
        <w:ind w:left="420" w:leftChars="0" w:hanging="420" w:hangingChars="200"/>
      </w:pPr>
      <w:bookmarkStart w:id="21" w:name="_Ref_ref003"/>
      <w:r>
        <w:rPr>
          <w:rFonts w:ascii="Times New Roman" w:hAnsi="Times New Roman" w:eastAsia="宋体"/>
          <w:sz w:val="21"/>
        </w:rPr>
        <w:t>[3]</w:t>
      </w:r>
      <w:bookmarkEnd w:id="21"/>
      <w:r>
        <w:rPr>
          <w:rFonts w:ascii="Times New Roman" w:hAnsi="Times New Roman" w:eastAsia="宋体"/>
          <w:sz w:val="21"/>
        </w:rPr>
        <w:t xml:space="preserve"> Mishra V, Singh S, Ahlawat D, et al. Foundational large language models for materials research[EB/OL]. arXiv:2412.09560, 2024. DOI: 10.48550/arXiv.2412.09560.</w:t>
      </w:r>
    </w:p>
    <w:p w14:paraId="34D49E0F">
      <w:pPr>
        <w:spacing w:line="312" w:lineRule="auto"/>
        <w:ind w:left="420" w:leftChars="0" w:hanging="420" w:hangingChars="200"/>
      </w:pPr>
      <w:bookmarkStart w:id="22" w:name="_Ref_ref004"/>
      <w:r>
        <w:rPr>
          <w:rFonts w:ascii="Times New Roman" w:hAnsi="Times New Roman" w:eastAsia="宋体"/>
          <w:sz w:val="21"/>
        </w:rPr>
        <w:t>[4]</w:t>
      </w:r>
      <w:bookmarkEnd w:id="22"/>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14:paraId="30CE9FE2">
      <w:pPr>
        <w:spacing w:line="312" w:lineRule="auto"/>
        <w:ind w:left="420" w:leftChars="0" w:hanging="420" w:hangingChars="200"/>
      </w:pPr>
      <w:bookmarkStart w:id="23" w:name="_Ref_ref005"/>
      <w:r>
        <w:rPr>
          <w:rFonts w:ascii="Times New Roman" w:hAnsi="Times New Roman" w:eastAsia="宋体"/>
          <w:sz w:val="21"/>
        </w:rPr>
        <w:t>[5]</w:t>
      </w:r>
      <w:bookmarkEnd w:id="23"/>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14:paraId="013EEC7A">
      <w:pPr>
        <w:spacing w:line="312" w:lineRule="auto"/>
        <w:ind w:left="420" w:leftChars="0" w:hanging="420" w:hangingChars="200"/>
      </w:pPr>
      <w:bookmarkStart w:id="24" w:name="_Ref_ref006"/>
      <w:r>
        <w:rPr>
          <w:rFonts w:ascii="Times New Roman" w:hAnsi="Times New Roman" w:eastAsia="宋体"/>
          <w:sz w:val="21"/>
        </w:rPr>
        <w:t>[6]</w:t>
      </w:r>
      <w:bookmarkEnd w:id="24"/>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 DOI: 10.48550/arXiv.2605.29555.</w:t>
      </w:r>
    </w:p>
    <w:p w14:paraId="5FEB8599">
      <w:pPr>
        <w:spacing w:line="312" w:lineRule="auto"/>
        <w:ind w:left="420" w:leftChars="0" w:hanging="420" w:hangingChars="200"/>
      </w:pPr>
      <w:bookmarkStart w:id="25" w:name="_Ref_ref007"/>
      <w:r>
        <w:rPr>
          <w:rFonts w:ascii="Times New Roman" w:hAnsi="Times New Roman" w:eastAsia="宋体"/>
          <w:sz w:val="21"/>
        </w:rPr>
        <w:t>[7]</w:t>
      </w:r>
      <w:bookmarkEnd w:id="25"/>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14:paraId="73572FEE">
      <w:pPr>
        <w:spacing w:line="312" w:lineRule="auto"/>
        <w:ind w:left="420" w:leftChars="0" w:hanging="420" w:hangingChars="200"/>
      </w:pPr>
      <w:bookmarkStart w:id="26" w:name="_Ref_ref008"/>
      <w:r>
        <w:rPr>
          <w:rFonts w:ascii="Times New Roman" w:hAnsi="Times New Roman" w:eastAsia="宋体"/>
          <w:sz w:val="21"/>
        </w:rPr>
        <w:t>[8]</w:t>
      </w:r>
      <w:bookmarkEnd w:id="26"/>
      <w:r>
        <w:rPr>
          <w:rFonts w:ascii="Times New Roman" w:hAnsi="Times New Roman" w:eastAsia="宋体"/>
          <w:sz w:val="21"/>
        </w:rPr>
        <w:t xml:space="preserve"> Hinton G, Vinyals O, Dean J. Distilling the knowledge in a neural network[EB/OL]. arXiv:1503.02531, 2015. DOI: 10.48550/arXiv.1503.02531.</w:t>
      </w:r>
    </w:p>
    <w:p w14:paraId="30F0FCEC">
      <w:pPr>
        <w:spacing w:line="312" w:lineRule="auto"/>
        <w:ind w:left="420" w:leftChars="0" w:hanging="420" w:hangingChars="200"/>
      </w:pPr>
      <w:bookmarkStart w:id="27" w:name="_Ref_ref009"/>
      <w:r>
        <w:rPr>
          <w:rFonts w:ascii="Times New Roman" w:hAnsi="Times New Roman" w:eastAsia="宋体"/>
          <w:sz w:val="21"/>
        </w:rPr>
        <w:t>[9]</w:t>
      </w:r>
      <w:bookmarkEnd w:id="27"/>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14:paraId="444EA678">
      <w:pPr>
        <w:spacing w:line="312" w:lineRule="auto"/>
        <w:ind w:left="420" w:leftChars="0" w:hanging="420" w:hangingChars="200"/>
      </w:pPr>
      <w:bookmarkStart w:id="28" w:name="_Ref_ref010"/>
      <w:r>
        <w:rPr>
          <w:rFonts w:ascii="Times New Roman" w:hAnsi="Times New Roman" w:eastAsia="宋体"/>
          <w:sz w:val="21"/>
        </w:rPr>
        <w:t>[10]</w:t>
      </w:r>
      <w:bookmarkEnd w:id="28"/>
      <w:r>
        <w:rPr>
          <w:rFonts w:ascii="Times New Roman" w:hAnsi="Times New Roman" w:eastAsia="宋体"/>
          <w:sz w:val="21"/>
        </w:rPr>
        <w:t xml:space="preserve"> Mitra A, Del Corro L, Mahajan S, et al. Orca 2: Teaching small language models how to reason[EB/OL]. arXiv:2311.11045, 2023. DOI: 10.48550/arXiv.2311.11045.</w:t>
      </w:r>
    </w:p>
    <w:p w14:paraId="2A0FB6D9">
      <w:pPr>
        <w:spacing w:line="312" w:lineRule="auto"/>
        <w:ind w:left="420" w:leftChars="0" w:hanging="420" w:hangingChars="200"/>
      </w:pPr>
      <w:bookmarkStart w:id="29" w:name="_Ref_ref011"/>
      <w:r>
        <w:rPr>
          <w:rFonts w:ascii="Times New Roman" w:hAnsi="Times New Roman" w:eastAsia="宋体"/>
          <w:sz w:val="21"/>
        </w:rPr>
        <w:t>[11]</w:t>
      </w:r>
      <w:bookmarkEnd w:id="29"/>
      <w:r>
        <w:rPr>
          <w:rFonts w:ascii="Times New Roman" w:hAnsi="Times New Roman" w:eastAsia="宋体"/>
          <w:sz w:val="21"/>
        </w:rPr>
        <w:t xml:space="preserve"> Gu Y, Dong L, Wei F, Huang M. MiniLLM: On-policy distillation of large language models[EB/OL]. arXiv:2306.08543, 2023. DOI: 10.48550/arXiv.2306.08543.</w:t>
      </w:r>
    </w:p>
    <w:p w14:paraId="6FE8A56E">
      <w:pPr>
        <w:spacing w:line="312" w:lineRule="auto"/>
        <w:ind w:left="420" w:leftChars="0" w:hanging="420" w:hangingChars="200"/>
      </w:pPr>
      <w:bookmarkStart w:id="30" w:name="_Ref_ref012"/>
      <w:r>
        <w:rPr>
          <w:rFonts w:ascii="Times New Roman" w:hAnsi="Times New Roman" w:eastAsia="宋体"/>
          <w:sz w:val="21"/>
        </w:rPr>
        <w:t>[12]</w:t>
      </w:r>
      <w:bookmarkEnd w:id="30"/>
      <w:r>
        <w:rPr>
          <w:rFonts w:ascii="Times New Roman" w:hAnsi="Times New Roman" w:eastAsia="宋体"/>
          <w:sz w:val="21"/>
        </w:rPr>
        <w:t xml:space="preserve"> Wang Y, Kordi Y, Mishra S, et al. Self-Instruct: Aligning language models with self-generated instructions[EB/OL]. arXiv:2212.10560, 2022. DOI: 10.48550/arXiv.2212.10560.</w:t>
      </w:r>
    </w:p>
    <w:p w14:paraId="47983D9D">
      <w:pPr>
        <w:spacing w:line="312" w:lineRule="auto"/>
        <w:ind w:left="420" w:leftChars="0" w:hanging="420" w:hangingChars="200"/>
      </w:pPr>
      <w:bookmarkStart w:id="31" w:name="_Ref_ref013"/>
      <w:r>
        <w:rPr>
          <w:rFonts w:ascii="Times New Roman" w:hAnsi="Times New Roman" w:eastAsia="宋体"/>
          <w:sz w:val="21"/>
        </w:rPr>
        <w:t>[13]</w:t>
      </w:r>
      <w:bookmarkEnd w:id="31"/>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14:paraId="6C63777D">
      <w:pPr>
        <w:spacing w:line="312" w:lineRule="auto"/>
        <w:ind w:left="420" w:leftChars="0" w:hanging="420" w:hangingChars="200"/>
      </w:pPr>
      <w:bookmarkStart w:id="32" w:name="_Ref_ref014"/>
      <w:r>
        <w:rPr>
          <w:rFonts w:ascii="Times New Roman" w:hAnsi="Times New Roman" w:eastAsia="宋体"/>
          <w:sz w:val="21"/>
        </w:rPr>
        <w:t>[14]</w:t>
      </w:r>
      <w:bookmarkEnd w:id="32"/>
      <w:r>
        <w:rPr>
          <w:rFonts w:ascii="Times New Roman" w:hAnsi="Times New Roman" w:eastAsia="宋体"/>
          <w:sz w:val="21"/>
        </w:rPr>
        <w:t xml:space="preserve"> Xia M, Malladi S, Gururangan S, et al. LESS: Selecting influential data for targeted instruction tuning[EB/OL]. arXiv:2402.04333, 2024. DOI: 10.48550/arXiv.2402.04333.</w:t>
      </w:r>
    </w:p>
    <w:p w14:paraId="006A73EF">
      <w:pPr>
        <w:spacing w:line="312" w:lineRule="auto"/>
        <w:ind w:left="420" w:leftChars="0" w:hanging="420" w:hangingChars="200"/>
      </w:pPr>
      <w:bookmarkStart w:id="33" w:name="_Ref_ref015"/>
      <w:r>
        <w:rPr>
          <w:rFonts w:ascii="Times New Roman" w:hAnsi="Times New Roman" w:eastAsia="宋体"/>
          <w:sz w:val="21"/>
        </w:rPr>
        <w:t>[15]</w:t>
      </w:r>
      <w:bookmarkEnd w:id="33"/>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14:paraId="5F523A16">
      <w:pPr>
        <w:spacing w:line="312" w:lineRule="auto"/>
        <w:ind w:left="420" w:leftChars="0" w:hanging="420" w:hangingChars="200"/>
      </w:pPr>
      <w:bookmarkStart w:id="34" w:name="_Ref_ref016"/>
      <w:r>
        <w:rPr>
          <w:rFonts w:ascii="Times New Roman" w:hAnsi="Times New Roman" w:eastAsia="宋体"/>
          <w:sz w:val="21"/>
        </w:rPr>
        <w:t>[16]</w:t>
      </w:r>
      <w:bookmarkEnd w:id="34"/>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14:paraId="086948F5">
      <w:pPr>
        <w:spacing w:line="312" w:lineRule="auto"/>
        <w:ind w:left="420" w:leftChars="0" w:hanging="420" w:hangingChars="200"/>
      </w:pPr>
      <w:bookmarkStart w:id="35" w:name="_Ref_ref017"/>
      <w:r>
        <w:rPr>
          <w:rFonts w:ascii="Times New Roman" w:hAnsi="Times New Roman" w:eastAsia="宋体"/>
          <w:sz w:val="21"/>
        </w:rPr>
        <w:t>[17]</w:t>
      </w:r>
      <w:bookmarkEnd w:id="35"/>
      <w:r>
        <w:rPr>
          <w:rFonts w:ascii="Times New Roman" w:hAnsi="Times New Roman" w:eastAsia="宋体"/>
          <w:sz w:val="21"/>
        </w:rPr>
        <w:t xml:space="preserve"> Lewis P, Perez E, Piktus A, et al. Retrieval-augmented generation for knowledge-intensive NLP tasks[EB/OL]. arXiv:2005.11401, 2020. DOI: 10.48550/arXiv.2005.11401.</w:t>
      </w:r>
    </w:p>
    <w:p w14:paraId="2CFE13B3">
      <w:pPr>
        <w:spacing w:line="312" w:lineRule="auto"/>
        <w:ind w:left="420" w:leftChars="0" w:hanging="420" w:hangingChars="200"/>
      </w:pPr>
      <w:bookmarkStart w:id="36" w:name="_Ref_ref018"/>
      <w:r>
        <w:rPr>
          <w:rFonts w:ascii="Times New Roman" w:hAnsi="Times New Roman" w:eastAsia="宋体"/>
          <w:sz w:val="21"/>
        </w:rPr>
        <w:t>[18]</w:t>
      </w:r>
      <w:bookmarkEnd w:id="36"/>
      <w:r>
        <w:rPr>
          <w:rFonts w:ascii="Times New Roman" w:hAnsi="Times New Roman" w:eastAsia="宋体"/>
          <w:sz w:val="21"/>
        </w:rPr>
        <w:t xml:space="preserve"> Zhang T, Patil S G, Jain N, et al. RAFT: Adapting language model to domain specific RAG[EB/OL]. arXiv:2403.10131, 2024. DOI: 10.48550/arXiv.2403.10131.</w:t>
      </w:r>
    </w:p>
    <w:p w14:paraId="3D55E67F">
      <w:pPr>
        <w:spacing w:line="312" w:lineRule="auto"/>
        <w:ind w:left="420" w:leftChars="0" w:hanging="420" w:hangingChars="200"/>
      </w:pPr>
      <w:bookmarkStart w:id="37" w:name="_Ref_ref019"/>
      <w:r>
        <w:rPr>
          <w:rFonts w:ascii="Times New Roman" w:hAnsi="Times New Roman" w:eastAsia="宋体"/>
          <w:sz w:val="21"/>
        </w:rPr>
        <w:t>[19]</w:t>
      </w:r>
      <w:bookmarkEnd w:id="37"/>
      <w:r>
        <w:rPr>
          <w:rFonts w:ascii="Times New Roman" w:hAnsi="Times New Roman" w:eastAsia="宋体"/>
          <w:sz w:val="21"/>
        </w:rPr>
        <w:t xml:space="preserve"> Hu E J, Shen Y, Wallis P, et al. LoRA: Low-rank adaptation of large language models[EB/OL]. arXiv:2106.09685, 2021. DOI: 10.48550/arXiv.2106.09685.</w:t>
      </w:r>
    </w:p>
    <w:p w14:paraId="6312C386">
      <w:pPr>
        <w:spacing w:line="312" w:lineRule="auto"/>
        <w:ind w:left="420" w:leftChars="0" w:hanging="420" w:hangingChars="200"/>
      </w:pPr>
      <w:bookmarkStart w:id="38" w:name="_Ref_ref020"/>
      <w:r>
        <w:rPr>
          <w:rFonts w:ascii="Times New Roman" w:hAnsi="Times New Roman" w:eastAsia="宋体"/>
          <w:sz w:val="21"/>
        </w:rPr>
        <w:t>[20]</w:t>
      </w:r>
      <w:bookmarkEnd w:id="38"/>
      <w:r>
        <w:rPr>
          <w:rFonts w:ascii="Times New Roman" w:hAnsi="Times New Roman" w:eastAsia="宋体"/>
          <w:sz w:val="21"/>
        </w:rPr>
        <w:t xml:space="preserve"> Dettmers T, Pagnoni A, Holtzman A, Zettlemoyer L. QLoRA: Efficient finetuning of quantized LLMs[EB/OL]. arXiv:2305.14314, 2023. DOI: 10.48550/arXiv.2305.14314.</w:t>
      </w:r>
    </w:p>
    <w:p w14:paraId="451C9855">
      <w:pPr>
        <w:spacing w:line="312" w:lineRule="auto"/>
        <w:ind w:left="420" w:leftChars="0" w:hanging="420" w:hangingChars="200"/>
      </w:pPr>
      <w:bookmarkStart w:id="39" w:name="_Ref_ref021"/>
      <w:r>
        <w:rPr>
          <w:rFonts w:ascii="Times New Roman" w:hAnsi="Times New Roman" w:eastAsia="宋体"/>
          <w:sz w:val="21"/>
        </w:rPr>
        <w:t>[21]</w:t>
      </w:r>
      <w:bookmarkEnd w:id="39"/>
      <w:r>
        <w:rPr>
          <w:rFonts w:ascii="Times New Roman" w:hAnsi="Times New Roman" w:eastAsia="宋体"/>
          <w:sz w:val="21"/>
        </w:rPr>
        <w:t xml:space="preserve"> Yang A, Li A, Yang B, et al. Qwen3 technical report[EB/OL]. arXiv:2505.09388, 2025. DOI: 10.48550/arXiv.2505.09388.</w:t>
      </w:r>
    </w:p>
    <w:p w14:paraId="46700353">
      <w:pPr>
        <w:spacing w:line="312" w:lineRule="auto"/>
        <w:ind w:left="420" w:leftChars="0" w:hanging="420" w:hangingChars="200"/>
      </w:pPr>
      <w:bookmarkStart w:id="40" w:name="_Ref_ref022"/>
      <w:r>
        <w:rPr>
          <w:rFonts w:ascii="Times New Roman" w:hAnsi="Times New Roman" w:eastAsia="宋体"/>
          <w:sz w:val="21"/>
        </w:rPr>
        <w:t>[22]</w:t>
      </w:r>
      <w:bookmarkEnd w:id="40"/>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14:paraId="63420AE0">
      <w:pPr>
        <w:spacing w:line="312" w:lineRule="auto"/>
        <w:ind w:left="420" w:leftChars="0" w:hanging="420" w:hangingChars="200"/>
      </w:pPr>
      <w:bookmarkStart w:id="41" w:name="_Ref_ref023"/>
      <w:r>
        <w:rPr>
          <w:rFonts w:ascii="Times New Roman" w:hAnsi="Times New Roman" w:eastAsia="宋体"/>
          <w:sz w:val="21"/>
        </w:rPr>
        <w:t>[23]</w:t>
      </w:r>
      <w:bookmarkEnd w:id="41"/>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14:paraId="474FDF49">
      <w:pPr>
        <w:spacing w:line="312" w:lineRule="auto"/>
        <w:ind w:left="420" w:leftChars="0" w:hanging="420" w:hangingChars="200"/>
      </w:pPr>
      <w:bookmarkStart w:id="42" w:name="_Ref_ref024"/>
      <w:r>
        <w:rPr>
          <w:rFonts w:ascii="Times New Roman" w:hAnsi="Times New Roman" w:eastAsia="宋体"/>
          <w:sz w:val="21"/>
        </w:rPr>
        <w:t>[24]</w:t>
      </w:r>
      <w:bookmarkEnd w:id="42"/>
      <w:r>
        <w:rPr>
          <w:rFonts w:ascii="Times New Roman" w:hAnsi="Times New Roman" w:eastAsia="宋体"/>
          <w:sz w:val="21"/>
        </w:rPr>
        <w:t xml:space="preserve"> Bugelnig K, Requena G. Dataset - SciVisContest - Materials Discovery Challenge - version 2025[DS/OL]. Zenodo, version v3. DOI: 10.5281/zenodo.15189444. 数据说明：https://sciviscontest2025.github.io/data/.</w:t>
      </w:r>
    </w:p>
    <w:p w14:paraId="4A0783C0">
      <w:pPr>
        <w:spacing w:line="312" w:lineRule="auto"/>
        <w:ind w:left="420" w:leftChars="0" w:hanging="420" w:hangingChars="200"/>
      </w:pPr>
      <w:bookmarkStart w:id="43" w:name="_Ref_ref025"/>
      <w:r>
        <w:rPr>
          <w:rFonts w:ascii="Times New Roman" w:hAnsi="Times New Roman" w:eastAsia="宋体"/>
          <w:sz w:val="21"/>
        </w:rPr>
        <w:t>[25]</w:t>
      </w:r>
      <w:bookmarkEnd w:id="43"/>
      <w:r>
        <w:rPr>
          <w:rFonts w:ascii="Times New Roman" w:hAnsi="Times New Roman" w:eastAsia="宋体"/>
          <w:sz w:val="21"/>
        </w:rPr>
        <w:t xml:space="preserve"> Zhang X, Li J, Shao B, et al. Fine-tuning small language models for reliable VASP INCAR generation[EB/OL]. arXiv:2608.05387, 2026. DOI: 10.48550/arXiv.2608.05387.</w:t>
      </w:r>
    </w:p>
    <w:p w14:paraId="1D35459A">
      <w:pPr>
        <w:spacing w:line="312" w:lineRule="auto"/>
        <w:ind w:left="420" w:leftChars="0" w:hanging="420" w:hangingChars="200"/>
      </w:pPr>
      <w:bookmarkStart w:id="44" w:name="_Ref_ref026"/>
      <w:r>
        <w:rPr>
          <w:rFonts w:ascii="Times New Roman" w:hAnsi="Times New Roman" w:eastAsia="宋体"/>
          <w:sz w:val="21"/>
        </w:rPr>
        <w:t>[26]</w:t>
      </w:r>
      <w:bookmarkEnd w:id="44"/>
      <w:r>
        <w:rPr>
          <w:rFonts w:ascii="Times New Roman" w:hAnsi="Times New Roman" w:eastAsia="宋体"/>
          <w:sz w:val="21"/>
        </w:rPr>
        <w:t xml:space="preserve"> Deka P. From retrieval to typed decisions: calibrated System One models from biomedical sentence encoders[EB/OL]. arXiv:2610.02486, 2026.</w:t>
      </w:r>
    </w:p>
    <w:sectPr>
      <w:footerReference r:id="rId5" w:type="default"/>
      <w:pgSz w:w="11906" w:h="16838"/>
      <w:pgMar w:top="1440" w:right="1797" w:bottom="1440" w:left="1797" w:header="850" w:footer="99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altName w:val="Kingsoft Confett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OpenSymbol"/>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Cambria">
    <w:altName w:val="IBM Plex Serif"/>
    <w:panose1 w:val="02040503050406030204"/>
    <w:charset w:val="00"/>
    <w:family w:val="auto"/>
    <w:pitch w:val="default"/>
    <w:sig w:usb0="00000000" w:usb1="00000000" w:usb2="00000000" w:usb3="00000000" w:csb0="0000019F" w:csb1="00000000"/>
  </w:font>
  <w:font w:name="IBM Plex Serif">
    <w:panose1 w:val="02060503050406000203"/>
    <w:charset w:val="00"/>
    <w:family w:val="auto"/>
    <w:pitch w:val="default"/>
    <w:sig w:usb0="A000026F" w:usb1="5000203B" w:usb2="00000000" w:usb3="00000000" w:csb0="20000197" w:csb1="00000000"/>
  </w:font>
  <w:font w:name="ＭＳ 明朝">
    <w:altName w:val="C059"/>
    <w:panose1 w:val="00000000000000000000"/>
    <w:charset w:val="80"/>
    <w:family w:val="roman"/>
    <w:pitch w:val="default"/>
    <w:sig w:usb0="00000000" w:usb1="00000000" w:usb2="00000010" w:usb3="00000000" w:csb0="00020000" w:csb1="00000000"/>
  </w:font>
  <w:font w:name="ＭＳ 明朝">
    <w:altName w:val="C059"/>
    <w:panose1 w:val="00000000000000000000"/>
    <w:charset w:val="86"/>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ＭＳ ゴシック">
    <w:altName w:val="C059"/>
    <w:panose1 w:val="00000000000000000000"/>
    <w:charset w:val="80"/>
    <w:family w:val="modern"/>
    <w:pitch w:val="default"/>
    <w:sig w:usb0="00000000" w:usb1="00000000" w:usb2="00000010" w:usb3="00000000" w:csb0="00020000" w:csb1="00000000"/>
  </w:font>
  <w:font w:name="ＭＳ 明朝">
    <w:altName w:val="C059"/>
    <w:panose1 w:val="00000000000000000000"/>
    <w:charset w:val="00"/>
    <w:family w:val="auto"/>
    <w:pitch w:val="default"/>
    <w:sig w:usb0="00000000" w:usb1="00000000" w:usb2="00000000" w:usb3="00000000" w:csb0="00000000" w:csb1="00000000"/>
  </w:font>
  <w:font w:name="OpenSymbol">
    <w:panose1 w:val="05010000000000000000"/>
    <w:charset w:val="00"/>
    <w:family w:val="auto"/>
    <w:pitch w:val="default"/>
    <w:sig w:usb0="800000AF" w:usb1="1001ECEA" w:usb2="00000000" w:usb3="00000000" w:csb0="80000001" w:csb1="00000000"/>
  </w:font>
  <w:font w:name="Courier">
    <w:altName w:val="DejaVu Math TeX Gyre"/>
    <w:panose1 w:val="02000500000000000000"/>
    <w:charset w:val="00"/>
    <w:family w:val="auto"/>
    <w:pitch w:val="default"/>
    <w:sig w:usb0="00000000"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黑体">
    <w:altName w:val="方正黑体_GBK"/>
    <w:panose1 w:val="00000000000000000000"/>
    <w:charset w:val="00"/>
    <w:family w:val="auto"/>
    <w:pitch w:val="default"/>
    <w:sig w:usb0="00000000" w:usb1="00000000" w:usb2="00000000" w:usb3="00000000" w:csb0="00000000" w:csb1="00000000"/>
  </w:font>
  <w:font w:name="方正黑体_GBK">
    <w:panose1 w:val="02000000000000000000"/>
    <w:charset w:val="86"/>
    <w:family w:val="auto"/>
    <w:pitch w:val="default"/>
    <w:sig w:usb0="00000001" w:usb1="08000000" w:usb2="00000000" w:usb3="00000000" w:csb0="00040000" w:csb1="00000000"/>
  </w:font>
  <w:font w:name="ＭＳ ゴシック">
    <w:altName w:val="C059"/>
    <w:panose1 w:val="00000000000000000000"/>
    <w:charset w:val="00"/>
    <w:family w:val="auto"/>
    <w:pitch w:val="default"/>
    <w:sig w:usb0="00000000" w:usb1="00000000" w:usb2="00000000" w:usb3="00000000" w:csb0="00000000" w:csb1="00000000"/>
  </w:font>
  <w:font w:name="方正仿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D4BD40">
    <w:pPr>
      <w:pStyle w:val="25"/>
      <w:jc w:val="center"/>
    </w:pPr>
    <w:r>
      <w:fldChar w:fldCharType="begin"/>
    </w:r>
    <w:r>
      <w:instrText xml:space="preserve"> PAGE </w:instrText>
    </w:r>
    <w:r>
      <w:fldChar w:fldCharType="separate"/>
    </w:r>
    <w:r>
      <w:rPr>
        <w:rFonts w:ascii="Times New Roman" w:hAnsi="Times New Roman" w:eastAsia="宋体"/>
        <w:sz w:val="24"/>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DE47A1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312" w:lineRule="auto"/>
    </w:pPr>
    <w:rPr>
      <w:rFonts w:ascii="Times New Roman" w:hAnsi="Times New Roman" w:eastAsia="宋体" w:cstheme="minorBidi"/>
      <w:sz w:val="24"/>
      <w:szCs w:val="22"/>
      <w:lang w:val="en-US" w:eastAsia="en-US" w:bidi="ar-SA"/>
    </w:rPr>
  </w:style>
  <w:style w:type="paragraph" w:styleId="3">
    <w:name w:val="heading 1"/>
    <w:basedOn w:val="1"/>
    <w:next w:val="1"/>
    <w:link w:val="141"/>
    <w:qFormat/>
    <w:uiPriority w:val="9"/>
    <w:pPr>
      <w:keepNext/>
      <w:keepLines/>
      <w:spacing w:before="240" w:after="120" w:line="312" w:lineRule="auto"/>
      <w:ind w:firstLine="0"/>
      <w:outlineLvl w:val="0"/>
    </w:pPr>
    <w:rPr>
      <w:rFonts w:asciiTheme="majorHAnsi" w:hAnsiTheme="majorHAnsi" w:eastAsiaTheme="majorEastAsia" w:cstheme="majorBidi"/>
      <w:b/>
      <w:bCs/>
      <w:color w:val="000000"/>
      <w:sz w:val="30"/>
      <w:szCs w:val="28"/>
    </w:rPr>
  </w:style>
  <w:style w:type="paragraph" w:styleId="4">
    <w:name w:val="heading 2"/>
    <w:basedOn w:val="1"/>
    <w:next w:val="1"/>
    <w:link w:val="142"/>
    <w:unhideWhenUsed/>
    <w:qFormat/>
    <w:uiPriority w:val="9"/>
    <w:pPr>
      <w:keepNext/>
      <w:keepLines/>
      <w:spacing w:before="120" w:after="120" w:line="312" w:lineRule="auto"/>
      <w:ind w:firstLine="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3"/>
    <w:unhideWhenUsed/>
    <w:qFormat/>
    <w:uiPriority w:val="9"/>
    <w:pPr>
      <w:keepNext/>
      <w:keepLines/>
      <w:spacing w:before="120" w:after="120" w:line="312" w:lineRule="auto"/>
      <w:ind w:firstLine="0"/>
      <w:outlineLvl w:val="2"/>
    </w:pPr>
    <w:rPr>
      <w:rFonts w:asciiTheme="majorHAnsi" w:hAnsiTheme="majorHAnsi" w:eastAsiaTheme="majorEastAsia" w:cstheme="majorBidi"/>
      <w:b/>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spacing w:line="312" w:lineRule="auto"/>
      <w:ind w:left="720" w:firstLine="0"/>
      <w:contextualSpacing/>
    </w:pPr>
    <w:rPr>
      <w:rFonts w:ascii="Times New Roman" w:hAnsi="Times New Roman" w:eastAsia="宋体"/>
      <w:sz w:val="24"/>
    </w:r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0</Lines>
  <Paragraphs>0</Paragraphs>
  <TotalTime>0</TotalTime>
  <ScaleCrop>false</ScaleCrop>
  <LinksUpToDate>false</LinksUpToDate>
  <CharactersWithSpaces>0</CharactersWithSpaces>
  <Application>WPS Office_0.0.0.0_F1E327BC-269C-435d-A152-05C5408002CA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yin</dc:creator>
  <dc:description>由 build_report.py 从 Markdown 生成</dc:description>
  <cp:lastModifiedBy>yin</cp:lastModifiedBy>
  <dcterms:modified xsi:type="dcterms:W3CDTF">2026-10-20T21:51:05Z</dcterms:modified>
  <dc:title>面向合金配方辅助设计的领域小模型选择性蒸馏与知识增强生成方法研究</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ICV">
    <vt:lpwstr>36B8AA936A23A7DBC971D76A669B1267_42</vt:lpwstr>
  </property>
</Properties>
</file>