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360"/>
        <w:ind w:firstLine="0"/>
        <w:jc w:val="center"/>
      </w:pPr>
      <w:r>
        <w:rPr>
          <w:rFonts w:ascii="Times New Roman" w:hAnsi="Times New Roman" w:eastAsia="黑体"/>
          <w:b/>
          <w:sz w:val="44"/>
        </w:rPr>
        <w:t>北 京 科 技 大 学</w:t>
      </w:r>
    </w:p>
    <w:p>
      <w:pPr>
        <w:spacing w:line="240" w:lineRule="auto" w:after="120"/>
        <w:ind w:firstLine="0"/>
        <w:jc w:val="center"/>
      </w:pPr>
      <w:r>
        <w:rPr>
          <w:rFonts w:ascii="Times New Roman" w:hAnsi="Times New Roman" w:eastAsia="黑体"/>
          <w:b/>
          <w:sz w:val="72"/>
        </w:rPr>
        <w:t>硕士学位研究生</w:t>
      </w:r>
    </w:p>
    <w:p>
      <w:pPr>
        <w:spacing w:line="240" w:lineRule="auto" w:after="600"/>
        <w:ind w:firstLine="0"/>
        <w:jc w:val="center"/>
      </w:pPr>
      <w:r>
        <w:rPr>
          <w:rFonts w:ascii="Times New Roman" w:hAnsi="Times New Roman" w:eastAsia="黑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面向材料文献问答的条件可比 RAG 与小模型蒸馏方法研究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黑体"/>
          <w:b w:val="0"/>
          <w:sz w:val="30"/>
        </w:rPr>
        <w:t xml:space="preserve">      ＿＿＿＿＿＿＿＿</w:t>
      </w:r>
    </w:p>
    <w:p>
      <w:r>
        <w:br w:type="page"/>
      </w:r>
    </w:p>
    <w:p>
      <w:pPr>
        <w:spacing w:after="240"/>
        <w:ind w:firstLine="0"/>
        <w:jc w:val="center"/>
      </w:pPr>
      <w:r>
        <w:rPr>
          <w:rFonts w:ascii="Times New Roman" w:hAnsi="Times New Roman" w:eastAsia="黑体"/>
          <w:b/>
          <w:sz w:val="30"/>
        </w:rPr>
        <w:t>目    录</w:t>
      </w:r>
    </w:p>
    <w:p>
      <w:pPr>
        <w:ind w:firstLine="0"/>
      </w:pPr>
      <w:r>
        <w:fldChar w:fldCharType="begin"/>
        <w:instrText xml:space="preserve"> TOC \o "1-3" \h \z \u </w:instrText>
        <w:fldChar w:fldCharType="separate"/>
      </w:r>
      <w:r>
        <w:rPr>
          <w:rFonts w:ascii="Times New Roman" w:hAnsi="Times New Roman" w:eastAsia="宋体"/>
          <w:sz w:val="24"/>
        </w:rPr>
        <w:t>（请在此处右键选择「更新域」生成目录）</w:t>
      </w:r>
      <w:r>
        <w:fldChar w:fldCharType="end"/>
      </w:r>
    </w:p>
    <w:p>
      <w:r>
        <w:br w:type="page"/>
      </w: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材料是高端制造、能源装备与国防工业的物质基础，其性能水平直接决定一个行业的技术上限。近十余年，主要经济体均把材料的智能化研发上升为国家层面的战略议题：美国于 2011 年启动材料基因组计划，提出将材料研发周期减半、成本减半的目标；欧盟在地平线欧洲框架下设置材料与先进制造专项；日本持续投入材料纳米技术；我国《"十四五"原材料工业发展规划》亦将材料数据的积累与智能化利用列为重点方向。这些部署指向同一个判断：依靠逐次试错的传统研发模式，已难以匹配产业对材料迭代速度的要求。</w:t>
      </w:r>
    </w:p>
    <w:p>
      <w:pPr>
        <w:ind w:firstLine="480" w:firstLineChars="200"/>
        <w:spacing w:line="312" w:lineRule="auto"/>
      </w:pPr>
      <w:r>
        <w:rPr>
          <w:rFonts w:ascii="Times New Roman" w:hAnsi="Times New Roman" w:eastAsia="宋体"/>
          <w:b w:val="0"/>
          <w:sz w:val="24"/>
        </w:rPr>
        <w:t>与这一判断同时出现的是人工智能，尤其是大模型技术的快速进展。语言模型在理解自然语言要求、组织文献证据、调用外部工具方面表现出可用能力，已在化学、生物、材料等学科形成辅助研究的原型系统。材料领域由此出现一批以语言模型为核心的设计辅助工作，覆盖从文献理解到候选生成的多个环节。可以说，"用大模型辅助材料研发"这一方向，在需求侧与技术侧都已具备现实基础。</w:t>
      </w:r>
    </w:p>
    <w:p>
      <w:pPr>
        <w:ind w:firstLine="480" w:firstLineChars="200"/>
        <w:spacing w:line="312" w:lineRule="auto"/>
      </w:pPr>
      <w:r>
        <w:rPr>
          <w:rFonts w:ascii="Times New Roman" w:hAnsi="Times New Roman" w:eastAsia="宋体"/>
          <w:b w:val="0"/>
          <w:sz w:val="24"/>
        </w:rPr>
        <w:t>然而，把这一方向落到具体任务上，成本结构的问题随即显现。材料研发各环节的代价相差悬殊：一次第一性原理计算以小时计，一轮合成与表征实验以周乃至月计，而一次文献检索只需秒级。这样的数量级差异意味着平均分配资源并不经济。真正的瓶颈通常不是缺少候选，而是如何用有限的时间与经费判断哪些候选值得进入下一步实验。合金配方设计正是这一判断的集中体现：它需要把性能要求、可用原料、成分范围与已有实验经验联系起来，并给出可复核的依据。</w:t>
      </w:r>
    </w:p>
    <w:p>
      <w:pPr>
        <w:ind w:firstLine="480" w:firstLineChars="200"/>
        <w:spacing w:line="312" w:lineRule="auto"/>
      </w:pPr>
      <w:r>
        <w:rPr>
          <w:rFonts w:ascii="Times New Roman" w:hAnsi="Times New Roman" w:eastAsia="宋体"/>
          <w:b w:val="0"/>
          <w:sz w:val="24"/>
        </w:rPr>
        <w:t>现有工作已在这一环节展示出可行性。LLMatDesign 把自然语言理解、材料修改与工具评价组成迭代流程，提供了辅助设计的工程参考</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；针对体心立方与 B2 有序相合金的研究则表明，开源语言模型经过偏好学习可以生成目标类别的候选成分</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。更近的一类工作把语言模型放进工具链中运行：模型不再一次性给出答案，而是在推理与动作之间交替：先判断还缺什么信息，调用工具取回，再根据返回结果决定下一步，直至得到可交付的方案</w:t>
      </w:r>
      <w:r>
        <w:rPr>
          <w:rFonts w:ascii="Times New Roman" w:hAnsi="Times New Roman" w:eastAsia="宋体"/>
          <w:sz w:val="24"/>
          <w:vertAlign w:val="superscript"/>
        </w:rPr>
        <w:fldChar w:fldCharType="begin"/>
        <w:instrText xml:space="preserve"> REF _Ref_ref041 \h </w:instrText>
        <w:fldChar w:fldCharType="separate"/>
        <w:t xml:space="preserve">[41]</w:t>
        <w:fldChar w:fldCharType="end"/>
      </w:r>
      <w:r>
        <w:rPr>
          <w:rFonts w:ascii="Times New Roman" w:hAnsi="Times New Roman" w:eastAsia="宋体"/>
          <w:b w:val="0"/>
          <w:sz w:val="24"/>
        </w:rPr>
        <w:t>。这类"智能体"形态比单纯的文本生成更贴近实际设计流程，因为设计本身就是一个反复查询、验证、修改的过程。</w:t>
      </w:r>
    </w:p>
    <w:p>
      <w:pPr>
        <w:ind w:firstLine="480" w:firstLineChars="200"/>
        <w:spacing w:line="312" w:lineRule="auto"/>
      </w:pPr>
      <w:r>
        <w:rPr>
          <w:rFonts w:ascii="Times New Roman" w:hAnsi="Times New Roman" w:eastAsia="宋体"/>
          <w:b w:val="0"/>
          <w:sz w:val="24"/>
        </w:rPr>
        <w:t>这些结果说明路线可行，但也同时暴露了本课题要处理的具体问题：材料文献中"主题相关但条件不符"的证据极易被误用：同一成分在不同热处理与测试条件下的记录语义高度相似而物理上不可比较，通用检索结构无法区分二者，而这一失效不会在语法或数值层面暴露。</w:t>
      </w:r>
    </w:p>
    <w:p>
      <w:pPr>
        <w:pStyle w:val="Heading2"/>
      </w:pPr>
      <w:r>
        <w:rPr>
          <w:rFonts w:ascii="Times New Roman" w:hAnsi="Times New Roman" w:eastAsia="黑体"/>
          <w:b/>
          <w:sz w:val="28"/>
        </w:rPr>
        <w:t>1.2 选题意义</w:t>
      </w:r>
    </w:p>
    <w:p>
      <w:pPr>
        <w:ind w:firstLine="480" w:firstLineChars="200"/>
        <w:spacing w:line="312" w:lineRule="auto"/>
      </w:pPr>
      <w:r>
        <w:rPr>
          <w:rFonts w:ascii="Times New Roman" w:hAnsi="Times New Roman" w:eastAsia="宋体"/>
          <w:b/>
          <w:sz w:val="24"/>
        </w:rPr>
        <w:t>合金配方辅助是一项约束密集且答案开放的生成任务，其难点不在生成本身，而在判断何为合格。</w:t>
      </w:r>
      <w:r>
        <w:rPr>
          <w:rFonts w:ascii="Times New Roman" w:hAnsi="Times New Roman" w:eastAsia="宋体"/>
          <w:b w:val="0"/>
          <w:sz w:val="24"/>
        </w:rPr>
        <w:t xml:space="preserve"> 一个配方是否成立，取决于若干硬性要求：各元素比例之和须归一，被锁定的元素在反复修改中不能变动，比例基准（原子百分比或质量百分比）不能混用，性能数值必须绑定其测量条件。与此同时，满足同一要求的合法配方通常不止一个。这一"约束刚性、答案开放"的组合，正是本课题选题的出发点。</w:t>
      </w:r>
    </w:p>
    <w:p>
      <w:pPr>
        <w:ind w:firstLine="480" w:firstLineChars="200"/>
        <w:spacing w:line="312" w:lineRule="auto"/>
      </w:pPr>
      <w:r>
        <w:rPr>
          <w:rFonts w:ascii="Times New Roman" w:hAnsi="Times New Roman" w:eastAsia="宋体"/>
          <w:b/>
          <w:sz w:val="24"/>
        </w:rPr>
        <w:t>从应用侧看，方案准备中的重复劳动可以被部分剥离。</w:t>
      </w:r>
      <w:r>
        <w:rPr>
          <w:rFonts w:ascii="Times New Roman" w:hAnsi="Times New Roman" w:eastAsia="宋体"/>
          <w:b w:val="0"/>
          <w:sz w:val="24"/>
        </w:rPr>
        <w:t xml:space="preserve"> 配方研究中的资料筛选、条件核对、成分改写与结果整理，均可拆解为边界明确的操作。AlloyLens 的专家参与案例显示，交互筛选、局部敏感性分析与多目标取舍具有真实的应用背景</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。本课题拟将其中一部分工作转化为本地辅助能力，交付带证据与约束检查结果的候选；但不把"缩短研发周期"或"提升合成成功率"作为未经验证的承诺。</w:t>
      </w:r>
    </w:p>
    <w:p>
      <w:pPr>
        <w:ind w:firstLine="480" w:firstLineChars="200"/>
        <w:spacing w:line="312" w:lineRule="auto"/>
      </w:pPr>
      <w:r>
        <w:rPr>
          <w:rFonts w:ascii="Times New Roman" w:hAnsi="Times New Roman" w:eastAsia="宋体"/>
          <w:b/>
          <w:sz w:val="24"/>
        </w:rPr>
        <w:t>从方法侧看，现有教学数据选择所依赖的难度信号，在答案开放的任务上会失效。</w:t>
      </w:r>
      <w:r>
        <w:rPr>
          <w:rFonts w:ascii="Times New Roman" w:hAnsi="Times New Roman" w:eastAsia="宋体"/>
          <w:b w:val="0"/>
          <w:sz w:val="24"/>
        </w:rPr>
        <w:t xml:space="preserve"> 当前的数据选择方法主要依据两类信号：一类来自模型自身行为，如困惑度、是否答对、思维链长度；另一类是与任务无关的启发式，如多样性、复杂度或质量评分，DEITA、D3、LASER 均属此列</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这两类信号隐含一个前提：任务有唯一答案。只有在答案唯一时，"模型没答对"才等价于"模型做得不好"。而在配方任务中，模型未复述参考配方，可能只是选择了另一条同样合法的路径。此时把行为信号直接当作薄弱度，会把合法差异误判为错误，使训练朝错误方向集中。</w:t>
      </w:r>
    </w:p>
    <w:p>
      <w:pPr>
        <w:ind w:firstLine="480" w:firstLineChars="200"/>
        <w:spacing w:line="312" w:lineRule="auto"/>
      </w:pPr>
      <w:r>
        <w:rPr>
          <w:rFonts w:ascii="Times New Roman" w:hAnsi="Times New Roman" w:eastAsia="宋体"/>
          <w:b/>
          <w:sz w:val="24"/>
        </w:rPr>
        <w:t>因此本课题的主张是：把"什么算错"的判定，从模型内部移到外部一个可执行的任务检查器上。</w:t>
      </w:r>
      <w:r>
        <w:rPr>
          <w:rFonts w:ascii="Times New Roman" w:hAnsi="Times New Roman" w:eastAsia="宋体"/>
          <w:b w:val="0"/>
          <w:sz w:val="24"/>
        </w:rPr>
        <w:t xml:space="preserve"> 用检查器对总量守恒、锁定项、比例单位与条件引用的判定结果定义薄弱度，而非用模型自身的行为指标；同时以约束组合的覆盖程度而非文本主题控制样本组成。由此，"薄弱"一词获得明确含义：它指可指出、可复现的执行错误，而不是输出文本与参考文本之间的表面差异。</w:t>
      </w:r>
    </w:p>
    <w:p>
      <w:pPr>
        <w:ind w:firstLine="480" w:firstLineChars="200"/>
        <w:spacing w:line="312" w:lineRule="auto"/>
      </w:pPr>
      <w:r>
        <w:rPr>
          <w:rFonts w:ascii="Times New Roman" w:hAnsi="Times New Roman" w:eastAsia="宋体"/>
          <w:b/>
          <w:sz w:val="24"/>
        </w:rPr>
        <w:t>这一思路的意义不限于合金。</w:t>
      </w:r>
      <w:r>
        <w:rPr>
          <w:rFonts w:ascii="Times New Roman" w:hAnsi="Times New Roman" w:eastAsia="宋体"/>
          <w:b w:val="0"/>
          <w:sz w:val="24"/>
        </w:rPr>
        <w:t xml:space="preserve"> 任何"约束刚性但答案开放"的专业生成任务都面临同样困难：配方、结构、工艺参数、实验方案，答案空间开放而可核验的约束是硬的。模型行为类难度信号在这些任务上会遇到同样的失效。本课题以合金配方为载体，尝试把"可核验性"从一个模型能力问题转化为一个数据工程问题；若思路在本题场景下成立，其形式可直接迁移，若不成立，这一否证同样限定了其适用边界。</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材料领域大模型研究进展</w:t>
      </w:r>
    </w:p>
    <w:p>
      <w:pPr>
        <w:ind w:firstLine="480" w:firstLineChars="200"/>
        <w:spacing w:line="312" w:lineRule="auto"/>
      </w:pPr>
      <w:r>
        <w:rPr>
          <w:rFonts w:ascii="Times New Roman" w:hAnsi="Times New Roman" w:eastAsia="宋体"/>
          <w:b w:val="0"/>
          <w:sz w:val="24"/>
        </w:rPr>
        <w:t>材料领域的语言模型应用近年进展明显。已有综述从不同角度梳理这一方向：一类侧重自然语言处理与大模型在材料发现中的具体应用场景</w:t>
      </w:r>
      <w:r>
        <w:rPr>
          <w:rFonts w:ascii="Times New Roman" w:hAnsi="Times New Roman" w:eastAsia="宋体"/>
          <w:sz w:val="24"/>
          <w:vertAlign w:val="superscript"/>
        </w:rPr>
        <w:fldChar w:fldCharType="begin"/>
        <w:instrText xml:space="preserve"> REF _Ref_ref030 \h </w:instrText>
        <w:fldChar w:fldCharType="separate"/>
        <w:t xml:space="preserve">[30]</w:t>
        <w:fldChar w:fldCharType="end"/>
      </w:r>
      <w:r>
        <w:rPr>
          <w:rFonts w:ascii="Times New Roman" w:hAnsi="Times New Roman" w:eastAsia="宋体"/>
          <w:b w:val="0"/>
          <w:sz w:val="24"/>
        </w:rPr>
        <w:t>，另一类从基础模型的角度讨论材料发现的能力边界与未来方向</w:t>
      </w:r>
      <w:r>
        <w:rPr>
          <w:rFonts w:ascii="Times New Roman" w:hAnsi="Times New Roman" w:eastAsia="宋体"/>
          <w:sz w:val="24"/>
          <w:vertAlign w:val="superscript"/>
        </w:rPr>
        <w:fldChar w:fldCharType="begin"/>
        <w:instrText xml:space="preserve"> REF _Ref_ref031 \h </w:instrText>
        <w:fldChar w:fldCharType="separate"/>
        <w:t xml:space="preserve">[31]</w:t>
        <w:fldChar w:fldCharType="end"/>
      </w:r>
      <w:r>
        <w:rPr>
          <w:rFonts w:ascii="Times New Roman" w:hAnsi="Times New Roman" w:eastAsia="宋体"/>
          <w:b w:val="0"/>
          <w:sz w:val="24"/>
        </w:rPr>
        <w:t>。综合这些梳理，现有工作大致可分为两类路线：一类以大规模领域适配为主，通过继续预训练与多任务微调构建材料专用基础模型；另一类以任务编排为主，把通用或半通用模型与工具、检索、评价模块组合成可执行的辅助流程。</w:t>
      </w:r>
    </w:p>
    <w:p>
      <w:pPr>
        <w:ind w:firstLine="480" w:firstLineChars="200"/>
        <w:spacing w:line="312" w:lineRule="auto"/>
      </w:pPr>
      <w:r>
        <w:rPr>
          <w:rFonts w:ascii="Times New Roman" w:hAnsi="Times New Roman" w:eastAsia="宋体"/>
          <w:b w:val="0"/>
          <w:sz w:val="24"/>
        </w:rPr>
        <w:t>第一类路线的代表是 LLaMat，它面向材料研究的多种文本与结构任务进行大规模领域适配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，说明专门化训练确有价值，但其训练规模并非单人课题可以复现。AlloyGPT 走的是另一条路径，用结构化文本同时学习合金的正向预测与逆向生成</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，把配方生成组织为语言建模问题；其价值在于证明该任务可被表述为学习问题，但其权重与数据的获取受许可条件约束，不能不加区分地当作开箱即用基线。</w:t>
      </w:r>
    </w:p>
    <w:p>
      <w:pPr>
        <w:ind w:firstLine="480" w:firstLineChars="200"/>
        <w:spacing w:line="312" w:lineRule="auto"/>
      </w:pPr>
      <w:r>
        <w:rPr>
          <w:rFonts w:ascii="Times New Roman" w:hAnsi="Times New Roman" w:eastAsia="宋体"/>
          <w:b w:val="0"/>
          <w:sz w:val="24"/>
        </w:rPr>
        <w:t>第二类路线可从 LLMatDesign 的工作看到成形形态：语言理解、结构改写与工具反馈被串成一个可反复执行的回路，模型在其中不是一次性给答案，而是根据评价结果继续调整</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。与之配合的还有一批面向具体环节的工具型工作，例如针对体心立方与 B2 有序相合金的偏好学习研究</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，以及把专家规则转化为知识增强偏好信号的 MaterEval</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。这些工作共同说明，材料任务的可靠性往往来自"模型 + 外部检查"的分工，而非单纯依赖模型能力。</w:t>
      </w:r>
    </w:p>
    <w:p>
      <w:pPr>
        <w:ind w:firstLine="480" w:firstLineChars="200"/>
        <w:spacing w:line="312" w:lineRule="auto"/>
      </w:pPr>
      <w:r>
        <w:rPr>
          <w:rFonts w:ascii="Times New Roman" w:hAnsi="Times New Roman" w:eastAsia="宋体"/>
          <w:b w:val="0"/>
          <w:sz w:val="24"/>
        </w:rPr>
        <w:t>近期还有一项工作值得单独说明。Zhang 等的做法提供了一个可借鉴的分工样本：小模型负责从计算要求与结构信息推导参数，确定性的后处理程序负责把推导结果收敛到语法与数值都合法的范围，两者串联完成参数文件生成</w:t>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b w:val="0"/>
          <w:sz w:val="24"/>
        </w:rPr>
        <w:t>。该工作在自建评分下的报告显示这一组合优于其所测试的通用模型，并且把微调与后处理的贡献做了拆分。这一分工与本课题的设计取向一致：领域适配负责学习任务行为，检查器负责处理可确定规则。但其目标是计算参数文件，且以参考计算记录作为监督信号；合金配方还涉及证据适用条件与新成分的未观测性能，故其评分范围与模型规模结论不能直接沿用。</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三点：其一，领域基础模型的训练成本高，单人课题难以复现，只能借用其公开权重而非沿用其训练范式；其二，多数工作关注单一的预测或生成环节，较少处理"反复修改要求后仍保持一致"这一实际使用中的要求；其三，评价多集中在模型输出是否合理，对"输出依据可否追溯"缺少系统处理。</w:t>
      </w:r>
    </w:p>
    <w:p>
      <w:pPr>
        <w:pStyle w:val="Heading2"/>
      </w:pPr>
      <w:r>
        <w:rPr>
          <w:rFonts w:ascii="Times New Roman" w:hAnsi="Times New Roman" w:eastAsia="黑体"/>
          <w:b/>
          <w:sz w:val="28"/>
        </w:rPr>
        <w:t>2.2 小模型适配与蒸馏方法</w:t>
      </w:r>
    </w:p>
    <w:p>
      <w:pPr>
        <w:ind w:firstLine="480" w:firstLineChars="200"/>
        <w:spacing w:line="312" w:lineRule="auto"/>
      </w:pPr>
      <w:r>
        <w:rPr>
          <w:rFonts w:ascii="Times New Roman" w:hAnsi="Times New Roman" w:eastAsia="宋体"/>
          <w:b w:val="0"/>
          <w:sz w:val="24"/>
        </w:rPr>
        <w:t>在无法承担大规模领域预训练的前提下，把小模型适配到具体任务成为更现实的选择。这一方向上有三条相互配合的技术线：任务蒸馏、参数高效微调，以及面向小模型的行为对齐。</w:t>
      </w:r>
    </w:p>
    <w:p>
      <w:pPr>
        <w:ind w:firstLine="480" w:firstLineChars="200"/>
        <w:spacing w:line="312" w:lineRule="auto"/>
      </w:pPr>
      <w:r>
        <w:rPr>
          <w:rFonts w:ascii="Times New Roman" w:hAnsi="Times New Roman" w:eastAsia="宋体"/>
          <w:b w:val="0"/>
          <w:sz w:val="24"/>
        </w:rPr>
        <w:t>知识蒸馏通过教师监督向更易部署的学生传递能力，其思想早于当前的大语言模型</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。近期已有综述系统整理了面向大语言模型的蒸馏方法、评价方式与应用场景</w:t>
      </w:r>
      <w:r>
        <w:rPr>
          <w:rFonts w:ascii="Times New Roman" w:hAnsi="Times New Roman" w:eastAsia="宋体"/>
          <w:sz w:val="24"/>
          <w:vertAlign w:val="superscript"/>
        </w:rPr>
        <w:fldChar w:fldCharType="begin"/>
        <w:instrText xml:space="preserve"> REF _Ref_ref032 \h </w:instrText>
        <w:fldChar w:fldCharType="separate"/>
        <w:t xml:space="preserve">[32]</w:t>
        <w:fldChar w:fldCharType="end"/>
      </w:r>
      <w:r>
        <w:rPr>
          <w:rFonts w:ascii="Times New Roman" w:hAnsi="Times New Roman" w:eastAsia="宋体"/>
          <w:b w:val="0"/>
          <w:sz w:val="24"/>
        </w:rPr>
        <w:t>。从更宽的背景看，这一技术线建立在两个基础之上：一是通过思维链提示激发模型的中间推理步骤</w:t>
      </w:r>
      <w:r>
        <w:rPr>
          <w:rFonts w:ascii="Times New Roman" w:hAnsi="Times New Roman" w:eastAsia="宋体"/>
          <w:sz w:val="24"/>
          <w:vertAlign w:val="superscript"/>
        </w:rPr>
        <w:fldChar w:fldCharType="begin"/>
        <w:instrText xml:space="preserve"> REF _Ref_ref033 \h </w:instrText>
        <w:fldChar w:fldCharType="separate"/>
        <w:t xml:space="preserve">[33]</w:t>
        <w:fldChar w:fldCharType="end"/>
      </w:r>
      <w:r>
        <w:rPr>
          <w:rFonts w:ascii="Times New Roman" w:hAnsi="Times New Roman" w:eastAsia="宋体"/>
          <w:b w:val="0"/>
          <w:sz w:val="24"/>
        </w:rPr>
        <w:t>，二是用人类反馈的强化学习让模型学会遵循指令</w:t>
      </w:r>
      <w:r>
        <w:rPr>
          <w:rFonts w:ascii="Times New Roman" w:hAnsi="Times New Roman" w:eastAsia="宋体"/>
          <w:sz w:val="24"/>
          <w:vertAlign w:val="superscript"/>
        </w:rPr>
        <w:fldChar w:fldCharType="begin"/>
        <w:instrText xml:space="preserve"> REF _Ref_ref034 \h </w:instrText>
        <w:fldChar w:fldCharType="separate"/>
        <w:t xml:space="preserve">[34]</w:t>
        <w:fldChar w:fldCharType="end"/>
      </w:r>
      <w:r>
        <w:rPr>
          <w:rFonts w:ascii="Times New Roman" w:hAnsi="Times New Roman" w:eastAsia="宋体"/>
          <w:b w:val="0"/>
          <w:sz w:val="24"/>
        </w:rPr>
        <w:t>。Distilling Step-by-Step 利用教师提供的解释性监督改善任务小模型</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，说明"教师给出理由"比"教师只给答案"更有效；Orca 2 进一步指出，小模型需要适合自身能力的解题策略，而非机械复制教师行为</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。这两点对本课题有直接影响：教学数据不应只有最终答案，还应包含可检查的操作说明。</w:t>
      </w:r>
    </w:p>
    <w:p>
      <w:pPr>
        <w:ind w:firstLine="480" w:firstLineChars="200"/>
        <w:spacing w:line="312" w:lineRule="auto"/>
      </w:pPr>
      <w:r>
        <w:rPr>
          <w:rFonts w:ascii="Times New Roman" w:hAnsi="Times New Roman" w:eastAsia="宋体"/>
          <w:b w:val="0"/>
          <w:sz w:val="24"/>
        </w:rPr>
        <w:t>MiniLLM 研究了能够访问教师分布时的蒸馏目标与优化方式</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但在实际使用中，商业接口通常只返回文本，无法取得教师的完整概率分布。因此本课题的主线采用基于教师示范的序列级蒸馏，再用监督微调学习证据标识、结构化操作与候选输出，不假定可取得教师全词表的概率输出。</w:t>
      </w:r>
    </w:p>
    <w:p>
      <w:pPr>
        <w:ind w:firstLine="480" w:firstLineChars="200"/>
        <w:spacing w:line="312" w:lineRule="auto"/>
      </w:pPr>
      <w:r>
        <w:rPr>
          <w:rFonts w:ascii="Times New Roman" w:hAnsi="Times New Roman" w:eastAsia="宋体"/>
          <w:b w:val="0"/>
          <w:sz w:val="24"/>
        </w:rPr>
        <w:t>在参数效率方面，可训练的参数范围可以从全量收窄到少数增量矩阵：底座保持冻结，仅为部分层引入两个小矩阵的乘积作为权重增量，训练时只更新这部分</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；在此基础上把底座以低位宽存储、并在计算时反量化，可进一步压低显存占用</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。这些手段的作用是降低单次适配的成本，本课题用它们控制开销，不作为算法贡献。底座方面，拟选择许可适合研究与本地部署的开放权重模型，例如 Qwen3 中的小规模稠密模型</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，具体型号与版本在预实验中固定。此类开源模型的出现本身有规模定律研究的背景</w:t>
      </w:r>
      <w:r>
        <w:rPr>
          <w:rFonts w:ascii="Times New Roman" w:hAnsi="Times New Roman" w:eastAsia="宋体"/>
          <w:sz w:val="24"/>
          <w:vertAlign w:val="superscript"/>
        </w:rPr>
        <w:fldChar w:fldCharType="begin"/>
        <w:instrText xml:space="preserve"> REF _Ref_ref035 \h </w:instrText>
        <w:fldChar w:fldCharType="separate"/>
        <w:t xml:space="preserve">[35]</w:t>
        <w:fldChar w:fldCharType="end"/>
      </w:r>
      <w:r>
        <w:rPr>
          <w:rFonts w:ascii="Times New Roman" w:hAnsi="Times New Roman" w:eastAsia="宋体"/>
          <w:b w:val="0"/>
          <w:sz w:val="24"/>
        </w:rPr>
        <w:t>，同类的开放权重系列还包括 LLaMA</w:t>
      </w:r>
      <w:r>
        <w:rPr>
          <w:rFonts w:ascii="Times New Roman" w:hAnsi="Times New Roman" w:eastAsia="宋体"/>
          <w:sz w:val="24"/>
          <w:vertAlign w:val="superscript"/>
        </w:rPr>
        <w:fldChar w:fldCharType="begin"/>
        <w:instrText xml:space="preserve"> REF _Ref_ref038 \h </w:instrText>
        <w:fldChar w:fldCharType="separate"/>
        <w:t xml:space="preserve">[38]</w:t>
        <w:fldChar w:fldCharType="end"/>
      </w:r>
      <w:r>
        <w:rPr>
          <w:rFonts w:ascii="Times New Roman" w:hAnsi="Times New Roman" w:eastAsia="宋体"/>
          <w:b w:val="0"/>
          <w:sz w:val="24"/>
        </w:rPr>
        <w:t xml:space="preserve"> 与 Mistral</w:t>
      </w:r>
      <w:r>
        <w:rPr>
          <w:rFonts w:ascii="Times New Roman" w:hAnsi="Times New Roman" w:eastAsia="宋体"/>
          <w:sz w:val="24"/>
          <w:vertAlign w:val="superscript"/>
        </w:rPr>
        <w:fldChar w:fldCharType="begin"/>
        <w:instrText xml:space="preserve"> REF _Ref_ref039 \h </w:instrText>
        <w:fldChar w:fldCharType="separate"/>
        <w:t xml:space="preserve">[39]</w:t>
        <w:fldChar w:fldCharType="end"/>
      </w:r>
      <w:r>
        <w:rPr>
          <w:rFonts w:ascii="Times New Roman" w:hAnsi="Times New Roman" w:eastAsia="宋体"/>
          <w:b w:val="0"/>
          <w:sz w:val="24"/>
        </w:rPr>
        <w:t>，它们共同构成本课题可选择的范围。需要说明的是，开放权重模型的许可证可能随版本调整，实际采用时以该版本随附的许可文本为准。</w:t>
      </w:r>
    </w:p>
    <w:p>
      <w:pPr>
        <w:ind w:firstLine="480" w:firstLineChars="200"/>
        <w:spacing w:line="312" w:lineRule="auto"/>
      </w:pPr>
      <w:r>
        <w:rPr>
          <w:rFonts w:ascii="Times New Roman" w:hAnsi="Times New Roman" w:eastAsia="宋体"/>
          <w:b w:val="0"/>
          <w:sz w:val="24"/>
        </w:rPr>
        <w:t>在智能体方向，已有工作把大模型智能体的完整行为蒸馏进小模型：教师智能体在推理与工具调用之间交替执行，其"推理—动作—观察"的完整轨迹被记录为学生要克隆的对象，并辅以提升轨迹质量的提示方法与提高测试时鲁棒性的自一致动作生成</w:t>
      </w:r>
      <w:r>
        <w:rPr>
          <w:rFonts w:ascii="Times New Roman" w:hAnsi="Times New Roman" w:eastAsia="宋体"/>
          <w:sz w:val="24"/>
          <w:vertAlign w:val="superscript"/>
        </w:rPr>
        <w:fldChar w:fldCharType="begin"/>
        <w:instrText xml:space="preserve"> REF _Ref_ref042 \h </w:instrText>
        <w:fldChar w:fldCharType="separate"/>
        <w:t xml:space="preserve">[42]</w:t>
        <w:fldChar w:fldCharType="end"/>
      </w:r>
      <w:r>
        <w:rPr>
          <w:rFonts w:ascii="Times New Roman" w:hAnsi="Times New Roman" w:eastAsia="宋体"/>
          <w:b w:val="0"/>
          <w:sz w:val="24"/>
        </w:rPr>
        <w:t>。该做法与本课题的取向一致：教的不是答案，而是"遇到什么情况该调什么工具"。其评测集中在事实与数学推理任务，工具为检索与代码执行；本课题面向的材料设计任务还涉及条件适用性判断与数值约束，故其结论不能直接沿用。</w:t>
      </w:r>
    </w:p>
    <w:p>
      <w:pPr>
        <w:ind w:firstLine="480" w:firstLineChars="200"/>
        <w:spacing w:line="312" w:lineRule="auto"/>
      </w:pPr>
      <w:r>
        <w:rPr>
          <w:rFonts w:ascii="Times New Roman" w:hAnsi="Times New Roman" w:eastAsia="宋体"/>
          <w:b w:val="0"/>
          <w:sz w:val="24"/>
        </w:rPr>
        <w:t>另一条相关但路径不同的路线是"类型化决策模型"。Deka 走的是另一条路：不生成自由文本，而是把已有的检索用编码器改造成在固定选项集上直接输出概率的判别器，一次前向即得决策，同时公开了配套的评测集</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其训练决策来自长期人工维护的专业索引体系，这提示此类路线的标签可得性依赖所在领域已有的结构化标注资源；该工作还报告，在温度缩放后没有哪个训练目标在校准上明显优于普通交叉熵。材料领域缺乏可直接对应的同类资源，本课题因此把类型化决策限定在输出层的字段与约束检查，不设为独立研究内容。</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在于：蒸馏与微调解决的是"如何把教师能力传递给学生"，却不回答"应该传递哪些样本"。当教师示范的数量远超训练预算时，样本选择本身成为决定效果的关键环节，而这正是下一节讨论的问题。</w:t>
      </w:r>
    </w:p>
    <w:p>
      <w:pPr>
        <w:pStyle w:val="Heading2"/>
      </w:pPr>
      <w:r>
        <w:rPr>
          <w:rFonts w:ascii="Times New Roman" w:hAnsi="Times New Roman" w:eastAsia="黑体"/>
          <w:b/>
          <w:sz w:val="28"/>
        </w:rPr>
        <w:t>2.3 相关算法原理</w:t>
      </w:r>
    </w:p>
    <w:p>
      <w:pPr>
        <w:ind w:firstLine="480" w:firstLineChars="200"/>
        <w:spacing w:line="312" w:lineRule="auto"/>
      </w:pPr>
      <w:r>
        <w:rPr>
          <w:rFonts w:ascii="Times New Roman" w:hAnsi="Times New Roman" w:eastAsia="宋体"/>
          <w:b w:val="0"/>
          <w:sz w:val="24"/>
        </w:rPr>
        <w:t>本课题涉及的方法分布在三个层面：教学样本如何构造与选择、学生模型如何低成本适配、生成阶段如何受约束并保留证据。以下分别说明其原理与已有做法，并指出各自的边界。</w:t>
      </w:r>
    </w:p>
    <w:p>
      <w:pPr>
        <w:pStyle w:val="Heading3"/>
      </w:pPr>
      <w:r>
        <w:rPr>
          <w:rFonts w:ascii="Times New Roman" w:hAnsi="Times New Roman" w:eastAsia="黑体"/>
          <w:b/>
          <w:sz w:val="28"/>
        </w:rPr>
        <w:t>2.3.1 任务蒸馏与教学数据构造</w:t>
      </w:r>
    </w:p>
    <w:p>
      <w:pPr>
        <w:ind w:firstLine="480" w:firstLineChars="200"/>
        <w:spacing w:line="312" w:lineRule="auto"/>
      </w:pPr>
      <w:r>
        <w:rPr>
          <w:rFonts w:ascii="Times New Roman" w:hAnsi="Times New Roman" w:eastAsia="宋体"/>
          <w:b w:val="0"/>
          <w:sz w:val="24"/>
        </w:rPr>
        <w:t>任务蒸馏的核心是把教师的行为转化为学生可学习的目标。设教师为 T、学生为 S、教学任务集合为 D，序列级蒸馏的目标可写为最小化学生输出与教师示范之间的负对数似然：</w:t>
      </w:r>
    </w:p>
    <w:p>
      <w:pPr>
        <w:ind w:firstLine="480" w:firstLineChars="200"/>
        <w:spacing w:line="312" w:lineRule="auto"/>
      </w:pPr>
      <w:r>
        <w:rPr>
          <w:rFonts w:ascii="Times New Roman" w:hAnsi="Times New Roman" w:eastAsia="宋体"/>
          <w:b w:val="0"/>
          <w:sz w:val="24"/>
        </w:rPr>
        <w:t>L(θ) = − Σ_{d∈D} Σ_{t} log P_S(y_t | y_{&lt;t}, x_d; θ)</w:t>
      </w:r>
    </w:p>
    <w:p>
      <w:pPr>
        <w:ind w:firstLine="480" w:firstLineChars="200"/>
        <w:spacing w:line="312" w:lineRule="auto"/>
      </w:pPr>
      <w:r>
        <w:rPr>
          <w:rFonts w:ascii="Times New Roman" w:hAnsi="Times New Roman" w:eastAsia="宋体"/>
          <w:b w:val="0"/>
          <w:sz w:val="24"/>
        </w:rPr>
        <w:t>其中 x_d 为第 d 个任务的需求描述，y 为学生需要生成的目标序列，θ 为学生参数。与传统分类蒸馏不同，这里的监督信号是一条完整的操作序列，而非单一标签。</w:t>
      </w:r>
    </w:p>
    <w:p>
      <w:pPr>
        <w:ind w:firstLine="480" w:firstLineChars="200"/>
        <w:spacing w:line="312" w:lineRule="auto"/>
      </w:pPr>
      <w:r>
        <w:rPr>
          <w:rFonts w:ascii="Times New Roman" w:hAnsi="Times New Roman" w:eastAsia="宋体"/>
          <w:b w:val="0"/>
          <w:sz w:val="24"/>
        </w:rPr>
        <w:t>既有做法多从两个方向扩增教学数据：一是自生成指令，即让模型先造题、再筛掉重复或无效的条目、最后用留下的部分回训自身，Self-Instruct 给出的就是这一轮循环的早期模板</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；二是难度驱动扩增，即优先补充模型当前难以完成的样本。这两种做法都依赖一个隐含假设：教学样本的价值可以由其答案或模型反应来衡量。</w:t>
      </w:r>
    </w:p>
    <w:p>
      <w:pPr>
        <w:ind w:firstLine="480" w:firstLineChars="200"/>
        <w:spacing w:line="312" w:lineRule="auto"/>
      </w:pPr>
      <w:r>
        <w:rPr>
          <w:rFonts w:ascii="Times New Roman" w:hAnsi="Times New Roman" w:eastAsia="宋体"/>
          <w:b w:val="0"/>
          <w:sz w:val="24"/>
        </w:rPr>
        <w:t>这一假设在配方任务上不成立。同一需求可对应多个合法配方，教师示范只是其中一条路径。若直接用"学生输出与示范的相似度"衡量学习效果，会把合法的不同答案判为错误。因此教学数据的构造必须引入独立的可核验判据：答案是否满足显式约束、引用的记录是否真实存在且条件相符。这一判据不依赖教师示范本身，因而不受示范路径单一性的限制。</w:t>
      </w:r>
    </w:p>
    <w:p>
      <w:pPr>
        <w:pStyle w:val="Heading3"/>
      </w:pPr>
      <w:r>
        <w:rPr>
          <w:rFonts w:ascii="Times New Roman" w:hAnsi="Times New Roman" w:eastAsia="黑体"/>
          <w:b/>
          <w:sz w:val="28"/>
        </w:rPr>
        <w:t>2.3.2 教学样本选择方法</w:t>
      </w:r>
    </w:p>
    <w:p>
      <w:pPr>
        <w:ind w:firstLine="480" w:firstLineChars="200"/>
        <w:spacing w:line="312" w:lineRule="auto"/>
      </w:pPr>
      <w:r>
        <w:rPr>
          <w:rFonts w:ascii="Times New Roman" w:hAnsi="Times New Roman" w:eastAsia="宋体"/>
          <w:b w:val="0"/>
          <w:sz w:val="24"/>
        </w:rPr>
        <w:t>当教学样本数量超过训练预算时，如何选择子集成为独立问题。设候选池为 D、预算上限为 B，选样即求一个子集 A ⊆ D，使 |A| 的成本不超过 B 且训练效果最优。</w:t>
      </w:r>
    </w:p>
    <w:p>
      <w:pPr>
        <w:ind w:firstLine="480" w:firstLineChars="200"/>
        <w:spacing w:line="312" w:lineRule="auto"/>
      </w:pPr>
      <w:r>
        <w:rPr>
          <w:rFonts w:ascii="Times New Roman" w:hAnsi="Times New Roman" w:eastAsia="宋体"/>
          <w:b w:val="0"/>
          <w:sz w:val="24"/>
        </w:rPr>
        <w:t>既有方法大致分四类。</w:t>
      </w:r>
      <w:r>
        <w:rPr>
          <w:rFonts w:ascii="Times New Roman" w:hAnsi="Times New Roman" w:eastAsia="宋体"/>
          <w:b/>
          <w:sz w:val="24"/>
        </w:rPr>
        <w:t>基于质量与复杂度的做法</w:t>
      </w:r>
      <w:r>
        <w:rPr>
          <w:rFonts w:ascii="Times New Roman" w:hAnsi="Times New Roman" w:eastAsia="宋体"/>
          <w:b w:val="0"/>
          <w:sz w:val="24"/>
        </w:rPr>
        <w:t>以 DEITA 为代表，从质量、复杂度与多样性三个维度打分后按分数取 top-k</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b w:val="0"/>
          <w:sz w:val="24"/>
        </w:rPr>
        <w:t>。</w:t>
      </w:r>
      <w:r>
        <w:rPr>
          <w:rFonts w:ascii="Times New Roman" w:hAnsi="Times New Roman" w:eastAsia="宋体"/>
          <w:b/>
          <w:sz w:val="24"/>
        </w:rPr>
        <w:t>基于影响函数的做法</w:t>
      </w:r>
      <w:r>
        <w:rPr>
          <w:rFonts w:ascii="Times New Roman" w:hAnsi="Times New Roman" w:eastAsia="宋体"/>
          <w:b w:val="0"/>
          <w:sz w:val="24"/>
        </w:rPr>
        <w:t>以 LESS 为代表，用梯度影响近似估计样本对目标任务的价值</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b w:val="0"/>
          <w:sz w:val="24"/>
        </w:rPr>
        <w:t>。</w:t>
      </w:r>
      <w:r>
        <w:rPr>
          <w:rFonts w:ascii="Times New Roman" w:hAnsi="Times New Roman" w:eastAsia="宋体"/>
          <w:b/>
          <w:sz w:val="24"/>
        </w:rPr>
        <w:t>基于多因素联合的做法</w:t>
      </w:r>
      <w:r>
        <w:rPr>
          <w:rFonts w:ascii="Times New Roman" w:hAnsi="Times New Roman" w:eastAsia="宋体"/>
          <w:b w:val="0"/>
          <w:sz w:val="24"/>
        </w:rPr>
        <w:t>以 D3 为代表，联合考虑多样性、难度与可信度</w:t>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w:t>
      </w:r>
      <w:r>
        <w:rPr>
          <w:rFonts w:ascii="Times New Roman" w:hAnsi="Times New Roman" w:eastAsia="宋体"/>
          <w:b/>
          <w:sz w:val="24"/>
        </w:rPr>
        <w:t>基于分层抽样的做法</w:t>
      </w:r>
      <w:r>
        <w:rPr>
          <w:rFonts w:ascii="Times New Roman" w:hAnsi="Times New Roman" w:eastAsia="宋体"/>
          <w:b w:val="0"/>
          <w:sz w:val="24"/>
        </w:rPr>
        <w:t>以 LASER 为代表，先按任务分层，再用专用评分策略在层内抽样</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val="0"/>
          <w:sz w:val="24"/>
        </w:rPr>
        <w:t>与之相关的是蒸馏场景下的数据效率研究。近期有工作发现，在 on-policy 蒸馏中只保留难例、甚至仅八个样本即可匹配大规模基线的效果，其分析将增益归因于难题自然产生的更长思维链而非高词元熵</w:t>
      </w:r>
      <w:r>
        <w:rPr>
          <w:rFonts w:ascii="Times New Roman" w:hAnsi="Times New Roman" w:eastAsia="宋体"/>
          <w:sz w:val="24"/>
          <w:vertAlign w:val="superscript"/>
        </w:rPr>
        <w:fldChar w:fldCharType="begin"/>
        <w:instrText xml:space="preserve"> REF _Ref_ref027 \h </w:instrText>
        <w:fldChar w:fldCharType="separate"/>
        <w:t xml:space="preserve">[27]</w:t>
        <w:fldChar w:fldCharType="end"/>
      </w:r>
      <w:r>
        <w:rPr>
          <w:rFonts w:ascii="Times New Roman" w:hAnsi="Times New Roman" w:eastAsia="宋体"/>
          <w:b w:val="0"/>
          <w:sz w:val="24"/>
        </w:rPr>
        <w:t>。在可验证奖励的强化学习场景中，类似思路被推得更远：有研究以验证器判定为失败的样本为对象，提出验证器耦合的覆盖度目标来组织训练集，使选出的样本既为学生当前做错、又仍处于可学习范围</w:t>
      </w:r>
      <w:r>
        <w:rPr>
          <w:rFonts w:ascii="Times New Roman" w:hAnsi="Times New Roman" w:eastAsia="宋体"/>
          <w:sz w:val="24"/>
          <w:vertAlign w:val="superscript"/>
        </w:rPr>
        <w:fldChar w:fldCharType="begin"/>
        <w:instrText xml:space="preserve"> REF _Ref_ref029 \h </w:instrText>
        <w:fldChar w:fldCharType="separate"/>
        <w:t xml:space="preserve">[29]</w:t>
        <w:fldChar w:fldCharType="end"/>
      </w:r>
      <w:r>
        <w:rPr>
          <w:rFonts w:ascii="Times New Roman" w:hAnsi="Times New Roman" w:eastAsia="宋体"/>
          <w:b w:val="0"/>
          <w:sz w:val="24"/>
        </w:rPr>
        <w:t>。该做法与本课题在"用外部验证器替代模型自我评估"这一点上取向一致，其覆盖度也超出了单纯的主题聚类。同期的另一项工作系统考察了提示的来源与选择，指出效用依赖教师与学生配对，定向选样并未稳定优于均匀随机采样</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有两点。第一，难度信号多来自模型自身表现或任务无关的启发式，二者都以"任务有唯一答案"为前提；在答案开放的任务上，模型没答对不等于做错，信号因此失真。第二，覆盖度多按文本主题或聚类划分，而配方任务的约束类型（总量、锁定项、单位、条件引用）与文本主题并不同构，按主题计算的覆盖无法反映约束层面的缺口。</w:t>
      </w:r>
    </w:p>
    <w:p>
      <w:pPr>
        <w:pStyle w:val="Heading3"/>
      </w:pPr>
      <w:r>
        <w:rPr>
          <w:rFonts w:ascii="Times New Roman" w:hAnsi="Times New Roman" w:eastAsia="黑体"/>
          <w:b/>
          <w:sz w:val="28"/>
        </w:rPr>
        <w:t>2.3.3 参数高效微调</w:t>
      </w:r>
    </w:p>
    <w:p>
      <w:pPr>
        <w:ind w:firstLine="480" w:firstLineChars="200"/>
        <w:spacing w:line="312" w:lineRule="auto"/>
      </w:pPr>
      <w:r>
        <w:rPr>
          <w:rFonts w:ascii="Times New Roman" w:hAnsi="Times New Roman" w:eastAsia="宋体"/>
          <w:b w:val="0"/>
          <w:sz w:val="24"/>
        </w:rPr>
        <w:t>在给定学生底座与训练预算的条件下，参数高效微调决定了适配的可行性与成本。LoRA 的做法是在冻结原有权重的前提下，为部分线性层引入低秩分解矩阵 A 与 B，使权重更新可写为 W = W_0 + BA，其中 B ∈ R</w:t>
      </w:r>
      <w:r>
        <w:rPr>
          <w:rFonts w:ascii="Times New Roman" w:hAnsi="Times New Roman" w:eastAsia="宋体"/>
          <w:b w:val="0"/>
          <w:sz w:val="24"/>
          <w:vertAlign w:val="superscript"/>
        </w:rPr>
        <w:t>d×r</w:t>
      </w:r>
      <w:r>
        <w:rPr>
          <w:rFonts w:ascii="Times New Roman" w:hAnsi="Times New Roman" w:eastAsia="宋体"/>
          <w:b w:val="0"/>
          <w:sz w:val="24"/>
        </w:rPr>
        <w:t>、A ∈ R</w:t>
      </w:r>
      <w:r>
        <w:rPr>
          <w:rFonts w:ascii="Times New Roman" w:hAnsi="Times New Roman" w:eastAsia="宋体"/>
          <w:b w:val="0"/>
          <w:sz w:val="24"/>
          <w:vertAlign w:val="superscript"/>
        </w:rPr>
        <w:t>r×k</w:t>
      </w:r>
      <w:r>
        <w:rPr>
          <w:rFonts w:ascii="Times New Roman" w:hAnsi="Times New Roman" w:eastAsia="宋体"/>
          <w:b w:val="0"/>
          <w:sz w:val="24"/>
        </w:rPr>
        <w:t>，秩 r 远小于 d 与 k</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。训练时只更新 A 与 B，可训练参数量因此下降几个数量级。</w:t>
      </w:r>
    </w:p>
    <w:p>
      <w:pPr>
        <w:ind w:firstLine="480" w:firstLineChars="200"/>
        <w:spacing w:line="312" w:lineRule="auto"/>
      </w:pPr>
      <w:r>
        <w:rPr>
          <w:rFonts w:ascii="Times New Roman" w:hAnsi="Times New Roman" w:eastAsia="宋体"/>
          <w:b w:val="0"/>
          <w:sz w:val="24"/>
        </w:rPr>
        <w:t>QLoRA 在此基础上引入三项改进：以 4 位量化存储底座权重，用双重量化进一步压缩量化常数，并在反向传播时把梯度回传到半精度计算</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。这使得在单张消费级显卡上微调数十亿参数模型成为可能。</w:t>
      </w:r>
    </w:p>
    <w:p>
      <w:pPr>
        <w:ind w:firstLine="480" w:firstLineChars="200"/>
        <w:spacing w:line="312" w:lineRule="auto"/>
      </w:pPr>
      <w:r>
        <w:rPr>
          <w:rFonts w:ascii="Times New Roman" w:hAnsi="Times New Roman" w:eastAsia="宋体"/>
          <w:b w:val="0"/>
          <w:sz w:val="24"/>
        </w:rPr>
        <w:t>这一技术线的成熟意味着，本课题的瓶颈不在"能否训练"，而在"训练什么"。参数高效微调降低的是单次训练的成本，若教学样本本身选择不当，低成本训练只会更快地得到错误的适配结果。</w:t>
      </w:r>
    </w:p>
    <w:p>
      <w:pPr>
        <w:pStyle w:val="Heading3"/>
      </w:pPr>
      <w:r>
        <w:rPr>
          <w:rFonts w:ascii="Times New Roman" w:hAnsi="Times New Roman" w:eastAsia="黑体"/>
          <w:b/>
          <w:sz w:val="28"/>
        </w:rPr>
        <w:t>2.3.4 检索增强与受约束生成</w:t>
      </w:r>
    </w:p>
    <w:p>
      <w:pPr>
        <w:ind w:firstLine="480" w:firstLineChars="200"/>
        <w:spacing w:line="312" w:lineRule="auto"/>
      </w:pPr>
      <w:r>
        <w:rPr>
          <w:rFonts w:ascii="Times New Roman" w:hAnsi="Times New Roman" w:eastAsia="宋体"/>
          <w:b w:val="0"/>
          <w:sz w:val="24"/>
        </w:rPr>
        <w:t>检索增强生成把模型参数知识与外部资料结合，有利于提供来源并支持知识更新</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。RAFT 针对的正是"给了文档也不一定用得上"这一情况：训练时把相关文档与干扰文档混在一起，只对引用了正确依据的输出计分，从而让模型学会在噪声中挑选可用材料而不被带偏</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。这一设定与本课题"成分相近但条件不适用"的干扰实例高度同构，可直接借鉴其构造方式；同一思路在生成式模型上也被用于按奖励排序筛选训练样本</w:t>
      </w:r>
      <w:r>
        <w:rPr>
          <w:rFonts w:ascii="Times New Roman" w:hAnsi="Times New Roman" w:eastAsia="宋体"/>
          <w:sz w:val="24"/>
          <w:vertAlign w:val="superscript"/>
        </w:rPr>
        <w:fldChar w:fldCharType="begin"/>
        <w:instrText xml:space="preserve"> REF _Ref_ref037 \h </w:instrText>
        <w:fldChar w:fldCharType="separate"/>
        <w:t xml:space="preserve">[37]</w:t>
        <w:fldChar w:fldCharType="end"/>
      </w:r>
      <w:r>
        <w:rPr>
          <w:rFonts w:ascii="Times New Roman" w:hAnsi="Times New Roman" w:eastAsia="宋体"/>
          <w:b w:val="0"/>
          <w:sz w:val="24"/>
        </w:rPr>
        <w:t>。但问答结果不能直接证明生成配方的科学可靠性，实例的条件对应与引用准确性仍须另行检验。</w:t>
      </w:r>
    </w:p>
    <w:p>
      <w:pPr>
        <w:ind w:firstLine="480" w:firstLineChars="200"/>
        <w:spacing w:line="312" w:lineRule="auto"/>
      </w:pPr>
      <w:r>
        <w:rPr>
          <w:rFonts w:ascii="Times New Roman" w:hAnsi="Times New Roman" w:eastAsia="宋体"/>
          <w:b w:val="0"/>
          <w:sz w:val="24"/>
        </w:rPr>
        <w:t>在受约束生成方面，PICARD 采取的是"边生成边解析"的策略：每步只允许那些仍能使整体保持语法合法的词元，其余候选在解码阶段即被排除</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。这表明约束不必等到生成结束再检查，可以在过程中生效。后续工作进一步从理论上分析了语法对齐解码的可行性与代价</w:t>
      </w:r>
      <w:r>
        <w:rPr>
          <w:rFonts w:ascii="Times New Roman" w:hAnsi="Times New Roman" w:eastAsia="宋体"/>
          <w:sz w:val="24"/>
          <w:vertAlign w:val="superscript"/>
        </w:rPr>
        <w:fldChar w:fldCharType="begin"/>
        <w:instrText xml:space="preserve"> REF _Ref_ref036 \h </w:instrText>
        <w:fldChar w:fldCharType="separate"/>
        <w:t xml:space="preserve">[36]</w:t>
        <w:fldChar w:fldCharType="end"/>
      </w:r>
      <w:r>
        <w:rPr>
          <w:rFonts w:ascii="Times New Roman" w:hAnsi="Times New Roman" w:eastAsia="宋体"/>
          <w:b w:val="0"/>
          <w:sz w:val="24"/>
        </w:rPr>
        <w:t>，其结论对本课题选择"分步生成"而非"一次性生成后过滤"提供了依据。但其原任务是 SQL，语法与约束的形态与合金配方不同。合金成分还涉及总量归一、元素集合、锁定项以及原子百分比与质量百分比两种基准的换算，这些约束需要专门的表示方式。</w:t>
      </w:r>
    </w:p>
    <w:p>
      <w:pPr>
        <w:ind w:firstLine="480" w:firstLineChars="200"/>
        <w:spacing w:line="312" w:lineRule="auto"/>
      </w:pPr>
      <w:r>
        <w:rPr>
          <w:rFonts w:ascii="Times New Roman" w:hAnsi="Times New Roman" w:eastAsia="宋体"/>
          <w:b w:val="0"/>
          <w:sz w:val="24"/>
        </w:rPr>
        <w:t>在科学文献问答方向，已有工作用类型化知识图谱改善本地小模型的检索：把文献中的证据组织为带类型的关系，并对比自动生成 schema 与专家定义 schema 两种做法，在自建基准上以六个维度（正确性、完整性等）评估，报告类型化检索优于常规检索</w:t>
      </w:r>
      <w:r>
        <w:rPr>
          <w:rFonts w:ascii="Times New Roman" w:hAnsi="Times New Roman" w:eastAsia="宋体"/>
          <w:sz w:val="24"/>
          <w:vertAlign w:val="superscript"/>
        </w:rPr>
        <w:fldChar w:fldCharType="begin"/>
        <w:instrText xml:space="preserve"> REF _Ref_ref054 \h </w:instrText>
        <w:fldChar w:fldCharType="separate"/>
        <w:t xml:space="preserve">[54]</w:t>
        <w:fldChar w:fldCharType="end"/>
      </w:r>
      <w:r>
        <w:rPr>
          <w:rFonts w:ascii="Times New Roman" w:hAnsi="Times New Roman" w:eastAsia="宋体"/>
          <w:b w:val="0"/>
          <w:sz w:val="24"/>
        </w:rPr>
        <w:t>。该类工作的组织单位是实体与关系，未涉及同一实体在不同实验条件下的可比性。此外，已有工作训练小模型承担证据接地的判断：用偏好优化把大模型推理蒸馏进四亿级参数的模型，判断文档与声明是否构成支持关系，在公开基准上取得与更大专用模型相当的准确率</w:t>
      </w:r>
      <w:r>
        <w:rPr>
          <w:rFonts w:ascii="Times New Roman" w:hAnsi="Times New Roman" w:eastAsia="宋体"/>
          <w:sz w:val="24"/>
          <w:vertAlign w:val="superscript"/>
        </w:rPr>
        <w:fldChar w:fldCharType="begin"/>
        <w:instrText xml:space="preserve"> REF _Ref_ref048 \h </w:instrText>
        <w:fldChar w:fldCharType="separate"/>
        <w:t xml:space="preserve">[48]</w:t>
        <w:fldChar w:fldCharType="end"/>
      </w:r>
      <w:r>
        <w:rPr>
          <w:rFonts w:ascii="Times New Roman" w:hAnsi="Times New Roman" w:eastAsia="宋体"/>
          <w:b w:val="0"/>
          <w:sz w:val="24"/>
        </w:rPr>
        <w:t>；其判定对象是"声明是否被文档支持"，不涉及"文档的测试条件是否与问题匹配"。另有工作把大模型 RAG 的证据与图谱蒸馏进小模型，以缓解幻觉</w:t>
      </w:r>
      <w:r>
        <w:rPr>
          <w:rFonts w:ascii="Times New Roman" w:hAnsi="Times New Roman" w:eastAsia="宋体"/>
          <w:sz w:val="24"/>
          <w:vertAlign w:val="superscript"/>
        </w:rPr>
        <w:fldChar w:fldCharType="begin"/>
        <w:instrText xml:space="preserve"> REF _Ref_ref053 \h </w:instrText>
        <w:fldChar w:fldCharType="separate"/>
        <w:t xml:space="preserve">[53]</w:t>
        <w:fldChar w:fldCharType="end"/>
      </w:r>
      <w:r>
        <w:rPr>
          <w:rFonts w:ascii="Times New Roman" w:hAnsi="Times New Roman" w:eastAsia="宋体"/>
          <w:b w:val="0"/>
          <w:sz w:val="24"/>
        </w:rPr>
        <w:t>，其蒸馏对象是检索与生成的整体行为，未区分条件层面的判断。本体在检索中的应用还有另一条路线：用本体锚定检索过程并按本体结构组织文档</w:t>
      </w:r>
      <w:r>
        <w:rPr>
          <w:rFonts w:ascii="Times New Roman" w:hAnsi="Times New Roman" w:eastAsia="宋体"/>
          <w:sz w:val="24"/>
          <w:vertAlign w:val="superscript"/>
        </w:rPr>
        <w:fldChar w:fldCharType="begin"/>
        <w:instrText xml:space="preserve"> REF _Ref_ref046 \h </w:instrText>
        <w:fldChar w:fldCharType="separate"/>
        <w:t xml:space="preserve">[46]</w:t>
        <w:fldChar w:fldCharType="end"/>
      </w:r>
      <w:r>
        <w:rPr>
          <w:rFonts w:ascii="Times New Roman" w:hAnsi="Times New Roman" w:eastAsia="宋体"/>
          <w:b w:val="0"/>
          <w:sz w:val="24"/>
        </w:rPr>
        <w:t>，或判定实体归属哪一本体类</w:t>
      </w:r>
      <w:r>
        <w:rPr>
          <w:rFonts w:ascii="Times New Roman" w:hAnsi="Times New Roman" w:eastAsia="宋体"/>
          <w:sz w:val="24"/>
          <w:vertAlign w:val="superscript"/>
        </w:rPr>
        <w:fldChar w:fldCharType="begin"/>
        <w:instrText xml:space="preserve"> REF _Ref_ref049 \h </w:instrText>
        <w:fldChar w:fldCharType="separate"/>
        <w:t xml:space="preserve">[49]</w:t>
        <w:fldChar w:fldCharType="end"/>
      </w:r>
      <w:r>
        <w:rPr>
          <w:rFonts w:ascii="Times New Roman" w:hAnsi="Times New Roman" w:eastAsia="宋体"/>
          <w:b w:val="0"/>
          <w:sz w:val="24"/>
        </w:rPr>
        <w:t>，或先用种子本体指导数据增强再微调小模型</w:t>
      </w:r>
      <w:r>
        <w:rPr>
          <w:rFonts w:ascii="Times New Roman" w:hAnsi="Times New Roman" w:eastAsia="宋体"/>
          <w:sz w:val="24"/>
          <w:vertAlign w:val="superscript"/>
        </w:rPr>
        <w:fldChar w:fldCharType="begin"/>
        <w:instrText xml:space="preserve"> REF _Ref_ref052 \h </w:instrText>
        <w:fldChar w:fldCharType="separate"/>
        <w:t xml:space="preserve">[52]</w:t>
        <w:fldChar w:fldCharType="end"/>
      </w:r>
      <w:r>
        <w:rPr>
          <w:rFonts w:ascii="Times New Roman" w:hAnsi="Times New Roman" w:eastAsia="宋体"/>
          <w:b w:val="0"/>
          <w:sz w:val="24"/>
        </w:rPr>
        <w:t>；这些工作的共同点是围绕实体与类型展开，均未把实验条件作为独立维度纳入判定。在材料领域，已有工作直接把"证据是否可用"作为推理的前置门控：ARIA 按因果完整性把推理分为三级，证据链完整时直接推理、不完整时降级为物理类比或参数化回退，并保留可审计的因果轨迹</w:t>
      </w:r>
      <w:r>
        <w:rPr>
          <w:rFonts w:ascii="Times New Roman" w:hAnsi="Times New Roman" w:eastAsia="宋体"/>
          <w:sz w:val="24"/>
          <w:vertAlign w:val="superscript"/>
        </w:rPr>
        <w:fldChar w:fldCharType="begin"/>
        <w:instrText xml:space="preserve"> REF _Ref_ref051 \h </w:instrText>
        <w:fldChar w:fldCharType="separate"/>
        <w:t xml:space="preserve">[51]</w:t>
        <w:fldChar w:fldCharType="end"/>
      </w:r>
      <w:r>
        <w:rPr>
          <w:rFonts w:ascii="Times New Roman" w:hAnsi="Times New Roman" w:eastAsia="宋体"/>
          <w:b w:val="0"/>
          <w:sz w:val="24"/>
        </w:rPr>
        <w:t>。这一设计说明"按证据完整性分级处置"的思路在材料任务上已获验证，其判据是因果链的完整性，而非本课题关注的条件字段一致性。在检索侧，把通用嵌入或重排模型在领域数据上进一步微调是已被验证的成熟做法：两阶段结构下，用百兆级参数的轻量模型、在单卡上以成对样本与难负例做对比学习，即可获得可观的排序增益，且该增益会沿后续流水线累积。针对科学文献的检索改进已有工作关注长尾术语的混淆问题，通过事实核验与迭代精化提升罕见概念的召回。另一种相关路线是检索侧的适用性判断。若检索到一段"某合金抗拉强度 800 MPa"的记录，而其测试温度与样品状态和用户要求不符，直接引用即构成错误。已有研究指出，主题相关但条件冲突的证据会挤占候选位置，提示检索阶段需要显式的条件状态</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。本课题据此在检索环节区分"可直接支持性能数值的证据"与"仅可作编辑背景的实例"。</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在于：多数受约束生成方法面向语法或格式层面的约束，对"数值可行但条件不可比"这一材料领域特有的失效缺少处理；同时，训练阶段学到的证据使用方式能否延续到推理阶段，较少被单独检验。</w:t>
      </w:r>
    </w:p>
    <w:p>
      <w:pPr>
        <w:pStyle w:val="Heading2"/>
      </w:pPr>
      <w:r>
        <w:rPr>
          <w:rFonts w:ascii="Times New Roman" w:hAnsi="Times New Roman" w:eastAsia="黑体"/>
          <w:b/>
          <w:sz w:val="28"/>
        </w:rPr>
        <w:t>2.4 研究定位与可延伸空间</w:t>
      </w:r>
    </w:p>
    <w:p>
      <w:pPr>
        <w:ind w:firstLine="480" w:firstLineChars="200"/>
        <w:spacing w:line="312" w:lineRule="auto"/>
      </w:pPr>
      <w:r>
        <w:rPr>
          <w:rFonts w:ascii="Times New Roman" w:hAnsi="Times New Roman" w:eastAsia="宋体"/>
          <w:b w:val="0"/>
          <w:sz w:val="24"/>
        </w:rPr>
        <w:t>综合上述，领域适配、小模型蒸馏、数据选择与受约束生成均已有较成熟的研究。智能体方向也已成形：既有工作把语言模型置于工具链中，通过推理与动作的交替完成材料设计任务，并已验证该形态在相设计等任务上的可行性；同时，把大模型智能体的行为蒸馏进小模型的方法也已被提出，其做法是记录教师智能体的完整执行轨迹并用其训练学生。可延伸的问题因此不是"是否有人做过"，而是一个更具体的缺口：</w:t>
      </w:r>
      <w:r>
        <w:rPr>
          <w:rFonts w:ascii="Times New Roman" w:hAnsi="Times New Roman" w:eastAsia="宋体"/>
          <w:b/>
          <w:sz w:val="24"/>
        </w:rPr>
        <w:t>当智能体的行为由多步工具调用构成时，应以什么信号判断学生哪一步没学会，并使该信号在训练与推理两个阶段保持一致。</w:t>
      </w:r>
    </w:p>
    <w:p>
      <w:pPr>
        <w:ind w:firstLine="480" w:firstLineChars="200"/>
        <w:spacing w:line="312" w:lineRule="auto"/>
      </w:pPr>
      <w:r>
        <w:rPr>
          <w:rFonts w:ascii="Times New Roman" w:hAnsi="Times New Roman" w:eastAsia="宋体"/>
          <w:b w:val="0"/>
          <w:sz w:val="24"/>
        </w:rPr>
        <w:t>与材料专用基础模型相比，本课题不做海量文献继续预训练；与依赖商业热力学计算构造奖励的合金生成相比，本课题不依赖 CALPHAD 计算；与通用教学样本选择相比，重点比较可核验失误与约束组合覆盖这两项改动带来的增量；与普通检索增强系统相比，研究学生的证据使用训练与约束执行，而非建立另一个知识问答界面。近期面向高熵合金的开源描述符工具 HEA-Bench 明确将经验相规则定位为弱筛选而非相预测</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，故此类工具只作为可选的辅助诊断。</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本课题以"条件可比的检索增强生成"为技术形态，构建一个面向材料文献问答的本地知识库与问答原型，并通过选择性蒸馏提升小模型使用条件信息的能力。与不做条件区分的常规检索增强不同，本课题把实验条件作为证据的一等属性组织进知识库：每条证据绑定测试温度、制备工艺与试验类型，检索结果因此自带可比性信息；生成前先判定证据与问题的条件关系，答案须标注所依据记录的条件，使结论的适用范围可见。研究工作先界定知识库的记录结构与条件字段，明确可用字段与缺失处理；再构造问答对与评测集，按来源分组划分数据分区；核心环节是条件判定与冲突处置，规则处理可判定的情形，模型补位处置决策；最后在分问题类型的答案正确率与错误归因上完成评估。上述环节共同支撑一个可在本地运行、答案依据可追溯的问答原型。</w:t>
      </w:r>
    </w:p>
    <w:p>
      <w:pPr>
        <w:pStyle w:val="Heading3"/>
      </w:pPr>
      <w:r>
        <w:rPr>
          <w:rFonts w:ascii="Times New Roman" w:hAnsi="Times New Roman" w:eastAsia="黑体"/>
          <w:b/>
          <w:sz w:val="28"/>
        </w:rPr>
        <w:t>3.1.1 条件可比的证据组织与答案生成方法</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材料文献问答的困难不在于检索不到内容，而在于检索到的内容常常不可直接比较。同一成分在不同热处理状态、不同测试温度下的性能记录，语义上高度相似、检索系统会把它们一并返回，但物理上并不构成同一条件下的观测。若模型把 800 摄氏度下的强度数据用于回答室温问题，输出的数字本身来自真实文献、引用可追溯，结论却在物理上不成立。这类错误不体现在语法或数值层面，是本场景最隐蔽的失效。</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三个困难使既有做法难以处理这一情形。第一，条件不可比性无法由文本相似度识别。两条记录讲的是同一合金同一指标，嵌入向量几乎相同，通用检索器没有理由区分它们。第二，答案层面的错误难以归因。当最终答案错误时，无法判断是没检索到相关记录、检索到了但条件不符、还是生成本身出错，而这三类错误需要完全不同的改进手段。第三，小模型缺乏判断条件的能力。已有大规模实证研究给出明确数据：即使提供保证含正确答案的检索结果，参数量不超过七十亿的模型在自身无法回答的问题上仍有百分之八十五至一百的提取失败率；任何检索还会破坏原本答对的百分之四十二至一百的答案，主要失效模式是完全忽略给出的上下文</w:t>
      </w:r>
      <w:r>
        <w:rPr>
          <w:rFonts w:ascii="Times New Roman" w:hAnsi="Times New Roman" w:eastAsia="宋体"/>
          <w:sz w:val="24"/>
          <w:vertAlign w:val="superscript"/>
        </w:rPr>
        <w:fldChar w:fldCharType="begin"/>
        <w:instrText xml:space="preserve"> REF _Ref_ref047 \h </w:instrText>
        <w:fldChar w:fldCharType="separate"/>
        <w:t xml:space="preserve">[47]</w:t>
        <w:fldChar w:fldCharType="end"/>
      </w:r>
      <w:r>
        <w:rPr>
          <w:rFonts w:ascii="Times New Roman" w:hAnsi="Times New Roman" w:eastAsia="宋体"/>
          <w:b w:val="0"/>
          <w:sz w:val="24"/>
        </w:rPr>
        <w:t>。这说明小模型不仅需要好的检索结果，还需要被明确教会如何使用这些结果。</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后果首先体现为看似有据的错误：答案带着真实文献的引用，条件却不匹配，比没有引用更具误导性。其次是改进方向失焦：若不能区分"检索失败""条件误用""生成失败"三类错误，任何改进都无法评估其真实作用。第三是结论不可复现：条件信息在答案中缺失，使用者无法判断该结论在什么范围内成立。</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针对上述三点，本部分按以下步骤展开。</w:t>
      </w:r>
    </w:p>
    <w:p>
      <w:pPr>
        <w:ind w:firstLine="480" w:firstLineChars="200"/>
        <w:spacing w:line="312" w:lineRule="auto"/>
      </w:pPr>
      <w:r>
        <w:rPr>
          <w:rFonts w:ascii="Times New Roman" w:hAnsi="Times New Roman" w:eastAsia="宋体"/>
          <w:b w:val="0"/>
          <w:sz w:val="24"/>
        </w:rPr>
        <w:t>第一步，为每条证据绑定条件元组。对文献抽取所得数据库的核查显示结构性错误占比可观且会沿下游传导</w:t>
      </w:r>
      <w:r>
        <w:rPr>
          <w:rFonts w:ascii="Times New Roman" w:hAnsi="Times New Roman" w:eastAsia="宋体"/>
          <w:sz w:val="24"/>
          <w:vertAlign w:val="superscript"/>
        </w:rPr>
        <w:fldChar w:fldCharType="begin"/>
        <w:instrText xml:space="preserve"> REF _Ref_ref045 \h </w:instrText>
        <w:fldChar w:fldCharType="separate"/>
        <w:t xml:space="preserve">[45]</w:t>
        <w:fldChar w:fldCharType="end"/>
      </w:r>
      <w:r>
        <w:rPr>
          <w:rFonts w:ascii="Times New Roman" w:hAnsi="Times New Roman" w:eastAsia="宋体"/>
          <w:b w:val="0"/>
          <w:sz w:val="24"/>
        </w:rPr>
        <w:t>，因此入库前须先做一致性检查；已有研究亦提示此类错误的修复并不困难，瓶颈在于检测环节的召回</w:t>
      </w:r>
      <w:r>
        <w:rPr>
          <w:rFonts w:ascii="Times New Roman" w:hAnsi="Times New Roman" w:eastAsia="宋体"/>
          <w:sz w:val="24"/>
          <w:vertAlign w:val="superscript"/>
        </w:rPr>
        <w:fldChar w:fldCharType="begin"/>
        <w:instrText xml:space="preserve"> REF _Ref_ref044 \h </w:instrText>
        <w:fldChar w:fldCharType="separate"/>
        <w:t xml:space="preserve">[44]</w:t>
        <w:fldChar w:fldCharType="end"/>
      </w:r>
      <w:r>
        <w:rPr>
          <w:rFonts w:ascii="Times New Roman" w:hAnsi="Times New Roman" w:eastAsia="宋体"/>
          <w:b w:val="0"/>
          <w:sz w:val="24"/>
        </w:rPr>
        <w:t>。文献解析与结构化后，每条性能记录除成分与数值外，还绑定测试温度、制备工艺与试验类型三类条件字段。单位不单设字段：主线数据中每个指标的单位由其列名唯一确定，不存在同一指标多单位并存或需换算的情形，故单位作为指标类型的附属属性记录，不进入条件比对。条件元组随记录一同进入索引，使检索结果自带可比性信息。首版本体只启用主线数据中确有的字段，缺失字段标注为未知而不默认填充。按"成分、测试温度、制备工艺、性能值均非空"这一口径统计，1,545 条记录中约百分之七十八可支撑条件敏感的问答对；若再要求试验类型也非空，则降至约百分之六十九。后文凡涉及可用规模均以此口径说明，不使用未定义的数字。</w:t>
      </w:r>
    </w:p>
    <w:p>
      <w:pPr>
        <w:ind w:firstLine="480" w:firstLineChars="200"/>
        <w:spacing w:line="312" w:lineRule="auto"/>
      </w:pPr>
      <w:r>
        <w:rPr>
          <w:rFonts w:ascii="Times New Roman" w:hAnsi="Times New Roman" w:eastAsia="宋体"/>
          <w:b w:val="0"/>
          <w:sz w:val="24"/>
        </w:rPr>
        <w:t>第二步，在答案生成前判定证据与问题的条件关系。给定用户问题，先解析其所需条件，再与候选证据的条件元组逐项比对，得到相符、冲突、未知三种状态。规则能明确判定的情形直接处理：两侧温度均有值且不重叠判为冲突，工艺标签互斥判为冲突，字段为空判为未知。规则无法判定的模糊情形（表述不一致、单位需换算、部分条件符合而整体存疑）交由小模型判断。</w:t>
      </w:r>
    </w:p>
    <w:p>
      <w:pPr>
        <w:ind w:firstLine="480" w:firstLineChars="200"/>
        <w:spacing w:line="312" w:lineRule="auto"/>
      </w:pPr>
      <w:r>
        <w:rPr>
          <w:rFonts w:ascii="Times New Roman" w:hAnsi="Times New Roman" w:eastAsia="宋体"/>
          <w:b w:val="0"/>
          <w:sz w:val="24"/>
        </w:rPr>
        <w:t>第三步，按条件状态组织答案并要求标注依据。相符的证据可作为直接支持，冲突证据仅作对照背景，未知证据标注为不确定。生成阶段要求答案显式标注所依据记录的条件，使"这个数字在什么条件下成立"随答案一同给出，而不是留待使用者自行核查。</w:t>
      </w:r>
    </w:p>
    <w:p>
      <w:pPr>
        <w:ind w:firstLine="480" w:firstLineChars="200"/>
        <w:spacing w:line="312" w:lineRule="auto"/>
      </w:pPr>
      <w:r>
        <w:rPr>
          <w:rFonts w:ascii="Times New Roman" w:hAnsi="Times New Roman" w:eastAsia="宋体"/>
          <w:b w:val="0"/>
          <w:sz w:val="24"/>
        </w:rPr>
        <w:t>第四步，对错误做归因分解。把最终答案的错误拆为三类：检索未命中、条件误用、生成错误。分别统计各类型占比，据此确定改进优先级。这一分解本身即是本项的评价方法，使不同改进手段的贡献可被分别度量。</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这一设计把条件可比性从隐含假设变为显式字段，使检索结果自带适用范围；在生成前完成条件判定，使"检索到了但不能用"这一情形有明确的处理路径；答案携带条件标注，使结论的适用范围可见；错误归因则把整体正确率这一单一数字拆解为可分别改进的分项。</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预期形成一套条件可比的证据组织与答案生成方法，并在</w:t>
      </w:r>
      <w:r>
        <w:rPr>
          <w:rFonts w:ascii="Times New Roman" w:hAnsi="Times New Roman" w:eastAsia="宋体"/>
          <w:b/>
          <w:sz w:val="24"/>
        </w:rPr>
        <w:t>分问题类型的答案正确率</w:t>
      </w:r>
      <w:r>
        <w:rPr>
          <w:rFonts w:ascii="Times New Roman" w:hAnsi="Times New Roman" w:eastAsia="宋体"/>
          <w:b w:val="0"/>
          <w:sz w:val="24"/>
        </w:rPr>
        <w:t>上与基线对照：条件敏感问题（如指定温度下的性能查询）预期有可测提升，条件无关问题（如相结构列举）预期持平。同时报告错误归因分布与小模型在条件判断上的增益。</w:t>
      </w:r>
    </w:p>
    <w:p>
      <w:pPr>
        <w:pStyle w:val="Heading3"/>
      </w:pPr>
      <w:r>
        <w:rPr>
          <w:rFonts w:ascii="Times New Roman" w:hAnsi="Times New Roman" w:eastAsia="黑体"/>
          <w:b/>
          <w:sz w:val="28"/>
        </w:rPr>
        <w:t>3.1.2 小模型的条件冲突处置能力蒸馏</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前述条件判定中，规则能够覆盖的部分比预想的更多。对主线数据实测显示，条件字段已高度标准化：制备工艺只有 CAST、WROUGHT、ANNEAL、POWDER 等少数取值，试验类型只有压缩与拉伸两类，温度为数值型字段。按问题与证据的配对统计，规则能够完全判定的情形约占百分之八十九，另有约百分之七可部分判定，真正需要模型介入的仅约百分之四，且这百分之四主要是字段缺失而非表述歧义。这一分布意味着：若把模型的角色设定为"补位规则判不了的情形"，其可发挥空间极其有限，且缺失字段无法靠判断补回。</w:t>
      </w:r>
    </w:p>
    <w:p>
      <w:pPr>
        <w:ind w:firstLine="480" w:firstLineChars="200"/>
        <w:spacing w:line="312" w:lineRule="auto"/>
      </w:pPr>
      <w:r>
        <w:rPr>
          <w:rFonts w:ascii="Times New Roman" w:hAnsi="Times New Roman" w:eastAsia="宋体"/>
          <w:b/>
          <w:sz w:val="24"/>
        </w:rPr>
        <w:t>模型的角色应重新定位。</w:t>
      </w:r>
      <w:r>
        <w:rPr>
          <w:rFonts w:ascii="Times New Roman" w:hAnsi="Times New Roman" w:eastAsia="宋体"/>
          <w:b w:val="0"/>
          <w:sz w:val="24"/>
        </w:rPr>
        <w:t xml:space="preserve"> 实测同时显示，判定为条件冲突的配对占比约百分之五十八。规则给出"冲突"只是结论，如何处置并无定式：某些冲突意味着该证据完全不可用，某些只意味着不能直接引用但可作为背景，某些则需要向用户说明其条件差异并降级回答。这些处置决策直接影响答案正确率，且无法由规则枚举。已有实证数据表明，参数量不超过七十亿的模型即使拿到包含正确答案的检索结果，在自身无法回答的问题上仍有百分之八十五至一百的提取失败率，主要失效模式是完全忽略给出的上下文</w:t>
      </w:r>
      <w:r>
        <w:rPr>
          <w:rFonts w:ascii="Times New Roman" w:hAnsi="Times New Roman" w:eastAsia="宋体"/>
          <w:sz w:val="24"/>
          <w:vertAlign w:val="superscript"/>
        </w:rPr>
        <w:fldChar w:fldCharType="begin"/>
        <w:instrText xml:space="preserve"> REF _Ref_ref047 \h </w:instrText>
        <w:fldChar w:fldCharType="separate"/>
        <w:t xml:space="preserve">[47]</w:t>
        <w:fldChar w:fldCharType="end"/>
      </w:r>
      <w:r>
        <w:rPr>
          <w:rFonts w:ascii="Times New Roman" w:hAnsi="Times New Roman" w:eastAsia="宋体"/>
          <w:b w:val="0"/>
          <w:sz w:val="24"/>
        </w:rPr>
        <w:t>。因此模型需要学习的不是"如何判断条件是否相符"，而是"面对已判定的冲突证据，如何在答案中正确使用或明确排除它"。</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三个困难制约着这一训练。第一，标签来源问题。此类处置决策没有现成的标注体系可依托，生物医学领域的类型化决策依赖长期人工维护的索引</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，材料领域无对等资源；已有综述系统整理了此类"不作生成、只作判定"的范式</w:t>
      </w:r>
      <w:r>
        <w:rPr>
          <w:rFonts w:ascii="Times New Roman" w:hAnsi="Times New Roman" w:eastAsia="宋体"/>
          <w:sz w:val="24"/>
          <w:vertAlign w:val="superscript"/>
        </w:rPr>
        <w:fldChar w:fldCharType="begin"/>
        <w:instrText xml:space="preserve"> REF _Ref_ref050 \h </w:instrText>
        <w:fldChar w:fldCharType="separate"/>
        <w:t xml:space="preserve">[50]</w:t>
        <w:fldChar w:fldCharType="end"/>
      </w:r>
      <w:r>
        <w:rPr>
          <w:rFonts w:ascii="Times New Roman" w:hAnsi="Times New Roman" w:eastAsia="宋体"/>
          <w:b w:val="0"/>
          <w:sz w:val="24"/>
        </w:rPr>
        <w:t>，其共同前提是存在可靠的选项定义与标签来源，而本课题的处置标签正是由规则比对生成。第二，示范内容问题。若教师只给出最终答案，学生学到的是结论而非决策依据；而处置能力的价值恰在于"依据什么判断该降级还是该排除"。第三，评价问题。若不能把模型的贡献与规则基线分开计量，就无法判断蒸馏是否必要。</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若模型不学处置，冲突证据进入上下文的后果有两种：要么被直接引用，产生看似有据而条件不成立的错误；要么被整体忽略，浪费了本可作为背景的信息。前者对应错误归因中的"条件误用"，后者降低答案完整性。若不分离计量，则可能出现"规则已覆盖九成、模型增益微小"的情形却未被察觉，训练成本白费。</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针对上述三点，本部分分步处理。</w:t>
      </w:r>
    </w:p>
    <w:p>
      <w:pPr>
        <w:ind w:firstLine="480" w:firstLineChars="200"/>
        <w:spacing w:line="312" w:lineRule="auto"/>
      </w:pPr>
      <w:r>
        <w:rPr>
          <w:rFonts w:ascii="Times New Roman" w:hAnsi="Times New Roman" w:eastAsia="宋体"/>
          <w:b w:val="0"/>
          <w:sz w:val="24"/>
        </w:rPr>
        <w:t>第一步，由规则生成处置标签并构造对照。对判定为冲突的配对，按证据可用的程度标注三类处置：完全排除、降级为背景、保留但标注条件差异。标签由规则依据冲突的具体位置与严重程度生成（如温度区间完全不重叠者排除，仅工艺标签不同者降级），同时保留一份人工核验集，报告规则标签与人工判断的一致率。</w:t>
      </w:r>
    </w:p>
    <w:p>
      <w:pPr>
        <w:ind w:firstLine="480" w:firstLineChars="200"/>
        <w:spacing w:line="312" w:lineRule="auto"/>
      </w:pPr>
      <w:r>
        <w:rPr>
          <w:rFonts w:ascii="Times New Roman" w:hAnsi="Times New Roman" w:eastAsia="宋体"/>
          <w:b w:val="0"/>
          <w:sz w:val="24"/>
        </w:rPr>
        <w:t>第二步，以过程示范构造教师数据。教师在示范中说明：冲突出现在哪个槽位、该冲突的严重程度如何、据此选择了哪种处置、答案中如何表述这一限制。学生学的是这一决策链条，而非仅记住某类冲突对应某种处置。</w:t>
      </w:r>
    </w:p>
    <w:p>
      <w:pPr>
        <w:ind w:firstLine="480" w:firstLineChars="200"/>
        <w:spacing w:line="312" w:lineRule="auto"/>
      </w:pPr>
      <w:r>
        <w:rPr>
          <w:rFonts w:ascii="Times New Roman" w:hAnsi="Times New Roman" w:eastAsia="宋体"/>
          <w:b w:val="0"/>
          <w:sz w:val="24"/>
        </w:rPr>
        <w:t>第三步，分离计量模型增益。设规则处置为基线，比较四种做法：规则处置、模型处置（不经示范）、模型处置（经过程示范）、以及最廉价的"一律标注为不确定"。第四种基线的作用是排除"模型只是学会了保守"这一替代解释。</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把模型任务从"补位规则盲区"改为"处置已判定的冲突"，使可用空间从百分之四扩展到百分之五十八的冲突样本；过程示范使学生获得可迁移的处置依据而非记忆映射；四种做法的比较则让模型的真实贡献可被计量，若模型仅与"一律标注不确定"持平，则蒸馏的必要性需要重新论证。</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形成一套冲突处置的蒸馏方法，并报告三项结果：规则与人工判断的一致率、模型相对规则基线的增益、以及模型相对"一律标注不确定"这一廉价基线的增量。三项分别回答"标签可靠吗""蒸馏有用吗""有用到什么程度"。</w:t>
      </w:r>
    </w:p>
    <w:p>
      <w:pPr>
        <w:pStyle w:val="Heading3"/>
      </w:pPr>
      <w:r>
        <w:rPr>
          <w:rFonts w:ascii="Times New Roman" w:hAnsi="Times New Roman" w:eastAsia="黑体"/>
          <w:b/>
          <w:sz w:val="28"/>
        </w:rPr>
        <w:t>3.1.3 面向材料文献问答的本地 RAG 原型实现</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前述两项方法需要一个共同的验证载体。判定流程涉及本体、槽位比对、模型补位与证据组织多个环节，若各处分别实现，基线条件难以统一，实验结论也无法归因。因此本部分实现一个可在本地运行的 RAG 知识库与问答原型，把文献解析、条件字段绑定与入库、条件感知检索、条件判定、答案生成与依据标注串联为可复现流程。该原型是本课题"可落地项目"的交付物，其定位是验证载体，工程贡献与算法贡献分开表述。</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工程层面的困难有三。第一，本体结构若在后期变动，会使已生成的标签全部失效，因此槽位定义须尽早冻结。第二，实验可复现依赖版本控制，本体版本、模型版本、字段抽取规则若不一致，对照结果无法回溯。第三，部署形态需支持离线运行，模型调用与向量化须逐项核查。</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缺少统一载体时，规则与模型的贡献会相互混淆，也无法判断增益来自本体设计的改进还是工程实现的差异；版本记录缺失则结果不可复现；只有模型文件而无运行说明，交付物实际不可用。</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原型按三条线组织。</w:t>
      </w:r>
    </w:p>
    <w:p>
      <w:pPr>
        <w:ind w:firstLine="480" w:firstLineChars="200"/>
        <w:spacing w:line="312" w:lineRule="auto"/>
      </w:pPr>
      <w:r>
        <w:rPr>
          <w:rFonts w:ascii="Times New Roman" w:hAnsi="Times New Roman" w:eastAsia="宋体"/>
          <w:b w:val="0"/>
          <w:sz w:val="24"/>
        </w:rPr>
        <w:t>第一步，固定本体与接口。本体以结构化文件保存并版本化，槽位定义与比较规则独立于代码；字段抽取、槽位比对、标签生成各为独立模块，模块间以固定格式交换数据，使任一环节可单独替换与测试。</w:t>
      </w:r>
    </w:p>
    <w:p>
      <w:pPr>
        <w:ind w:firstLine="480" w:firstLineChars="200"/>
        <w:spacing w:line="312" w:lineRule="auto"/>
      </w:pPr>
      <w:r>
        <w:rPr>
          <w:rFonts w:ascii="Times New Roman" w:hAnsi="Times New Roman" w:eastAsia="宋体"/>
          <w:b w:val="0"/>
          <w:sz w:val="24"/>
        </w:rPr>
        <w:t>第二步，建立可追溯的记录。每次判定保存输入问题、参与比对的所有槽位取值、每步比对结果、最终标签与判定来源（规则或模型），使任一结论可回溯到具体字段与规则。本体版本、模型版本与抽取规则版本一并记录。</w:t>
      </w:r>
    </w:p>
    <w:p>
      <w:pPr>
        <w:ind w:firstLine="480" w:firstLineChars="200"/>
        <w:spacing w:line="312" w:lineRule="auto"/>
      </w:pPr>
      <w:r>
        <w:rPr>
          <w:rFonts w:ascii="Times New Roman" w:hAnsi="Times New Roman" w:eastAsia="宋体"/>
          <w:b w:val="0"/>
          <w:sz w:val="24"/>
        </w:rPr>
        <w:t>第三步，核查本地部署边界。逐项检查模型、嵌入模型与外部工具是否存在联网传输；对内部数据的上传与外发分别取得授权。</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该实现使规则与模型两种判定路径在同一条件下可比；判定过程逐步留痕，使错误可归因到具体槽位；本体与代码分离，使本体调整不需重写流程。</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预期交付一个可在本地运行、判定过程逐步可追溯的原型，配套版本化的本体规范与复现材料，作为学院要求"可落地项目"的交付物。</w:t>
      </w:r>
    </w:p>
    <w:p>
      <w:pPr>
        <w:pStyle w:val="Heading2"/>
      </w:pPr>
      <w:r>
        <w:rPr>
          <w:rFonts w:ascii="Times New Roman" w:hAnsi="Times New Roman" w:eastAsia="黑体"/>
          <w:b/>
          <w:sz w:val="28"/>
        </w:rPr>
        <w:t>3.2 研究方案</w:t>
      </w:r>
    </w:p>
    <w:p>
      <w:pPr>
        <w:ind w:firstLine="480" w:firstLineChars="200"/>
        <w:spacing w:line="312" w:lineRule="auto"/>
      </w:pPr>
      <w:r>
        <w:rPr>
          <w:rFonts w:ascii="Times New Roman" w:hAnsi="Times New Roman" w:eastAsia="宋体"/>
          <w:b/>
          <w:sz w:val="24"/>
        </w:rPr>
        <w:t>（一）拟创新点及其证据要求</w:t>
      </w:r>
    </w:p>
    <w:p>
      <w:pPr>
        <w:ind w:firstLine="480" w:firstLineChars="200"/>
        <w:spacing w:line="312" w:lineRule="auto"/>
      </w:pPr>
      <w:r>
        <w:rPr>
          <w:rFonts w:ascii="Times New Roman" w:hAnsi="Times New Roman" w:eastAsia="宋体"/>
          <w:b w:val="0"/>
          <w:sz w:val="24"/>
        </w:rPr>
        <w:t>归纳上述文献可见，领域适配、知识蒸馏、教学样本选择与受约束生成均已有较成熟的研究，但它们在配方辅助这一类任务上仍留有具体缺口：通用模型的领域知识不足且数值计算不可靠，直接使用会产生忽略锁定项、混用比例单位、生成无依据性能数值等失误；而现有样本选择方法的难度信号以"答案唯一"为前提，无法区分"真的做错"与"合法答案不同"。</w:t>
      </w:r>
    </w:p>
    <w:p>
      <w:pPr>
        <w:ind w:firstLine="480" w:firstLineChars="200"/>
        <w:spacing w:line="312" w:lineRule="auto"/>
      </w:pPr>
      <w:r>
        <w:rPr>
          <w:rFonts w:ascii="Times New Roman" w:hAnsi="Times New Roman" w:eastAsia="宋体"/>
          <w:b/>
          <w:sz w:val="24"/>
        </w:rPr>
        <w:t>为解决上述问题，本文提出"条件可比的检索增强生成"方法，构建一个面向材料文献问答的本地 RAG 知识库与问答框架，并以蒸馏提升小模型的条件判断能力。</w:t>
      </w:r>
      <w:r>
        <w:rPr>
          <w:rFonts w:ascii="Times New Roman" w:hAnsi="Times New Roman" w:eastAsia="宋体"/>
          <w:b w:val="0"/>
          <w:sz w:val="24"/>
        </w:rPr>
        <w:t xml:space="preserve"> 该方法要解决的问题是：材料文献中同一成分在不同热处理与测试条件下的性能记录语义高度相似而物理上不可直接比较，通用检索器无法区分，小模型又缺乏判断能力，导致答案看似有据而条件不成立。具体做法分三步：其一，为每条证据绑定条件元组（测试温度、制备工艺、试验类型、单位），使检索结果自带可比性信息；其二，在答案生成前判定证据与问题的条件关系，规则处理明确情形，模糊情形交由蒸馏所得的小模型补位；其三，按条件状态组织答案并强制标注依据记录的条件，使结论的适用范围可见。三项工作共同支撑一个可在本地运行、答案依据可追溯的问答原型，并以分问题类型的答案正确率与错误归因说明该方法的实际增量。</w:t>
      </w:r>
    </w:p>
    <w:p>
      <w:pPr>
        <w:ind w:firstLine="480" w:firstLineChars="200"/>
        <w:spacing w:line="312" w:lineRule="auto"/>
      </w:pPr>
      <w:r>
        <w:rPr>
          <w:rFonts w:ascii="Times New Roman" w:hAnsi="Times New Roman" w:eastAsia="宋体"/>
          <w:b/>
          <w:sz w:val="24"/>
        </w:rPr>
        <w:t>拟创新点一：条件可比的证据组织与答案生成方法。</w:t>
      </w:r>
      <w:r>
        <w:rPr>
          <w:rFonts w:ascii="Times New Roman" w:hAnsi="Times New Roman" w:eastAsia="宋体"/>
          <w:b w:val="0"/>
          <w:sz w:val="24"/>
        </w:rPr>
        <w:t xml:space="preserve"> 本项针对材料文献问答中"证据语义相似但物理不可比"这一失效。既有检索增强工作关注语义覆盖与关系抽取的完整性，其知识组织单位是实体与关系，无法表达"同一成分在不同温度下的两条记录不可互换"这一约束。本项把条件元组（测试温度、制备工艺、试验类型、单位）作为记录的一等属性绑定进本地知识库，使其随检索结果一同返回；在生成前完成条件判定，按相符、冲突、未知三种状态决定证据在答案中的角色；并要求答案显式标注所依据记录的条件。评价上采用分问题类型的正确率与错误归因分解：条件敏感问题的提升作为主要指标，条件无关问题作为对照，检索失败、条件误用、生成错误三类占比分别报告。与既有类型化知识图谱检索工作的差别在于组织单位：后者组织实体关系，本项组织条件元组。</w:t>
      </w:r>
    </w:p>
    <w:p>
      <w:pPr>
        <w:ind w:firstLine="480" w:firstLineChars="200"/>
        <w:spacing w:line="312" w:lineRule="auto"/>
      </w:pPr>
      <w:r>
        <w:rPr>
          <w:rFonts w:ascii="Times New Roman" w:hAnsi="Times New Roman" w:eastAsia="宋体"/>
          <w:b w:val="0"/>
          <w:sz w:val="24"/>
        </w:rPr>
        <w:t>本项的验证方式为：在同一文献库、同一底座与同一检索预算下，与不作条件区分的常规 RAG、仅按语义重排的 RAG、以及按规则硬过滤条件的 RAG 三种做法对照；并分别移除条件元组绑定、条件判定、依据标注三个环节，检验各自贡献。</w:t>
      </w:r>
    </w:p>
    <w:p>
      <w:pPr>
        <w:ind w:firstLine="480" w:firstLineChars="200"/>
        <w:spacing w:line="312" w:lineRule="auto"/>
      </w:pPr>
      <w:r>
        <w:rPr>
          <w:rFonts w:ascii="Times New Roman" w:hAnsi="Times New Roman" w:eastAsia="宋体"/>
          <w:b/>
          <w:sz w:val="24"/>
        </w:rPr>
        <w:t>拟创新点二：基于过程示范的小模型条件判断蒸馏方法（支撑性工作）。</w:t>
      </w:r>
      <w:r>
        <w:rPr>
          <w:rFonts w:ascii="Times New Roman" w:hAnsi="Times New Roman" w:eastAsia="宋体"/>
          <w:b w:val="0"/>
          <w:sz w:val="24"/>
        </w:rPr>
        <w:t xml:space="preserve"> 条件判定中规则无法处理的部分（表述变体、单位换算、部分条件吻合）需由小模型承担，而材料领域缺乏类型化训练所需的标注体系。本项以条件元组比对规则自动生成训练标签，绕开该障碍；教师示范采用逐项比对的过程而非仅给结论，使学生学到可迁移的判断方法；并分别度量规则覆盖率、规则与人工判断的一致率、模型在规则盲区上的准确率，以界定二者分工。本项定位为对第一项的支撑，不主张独立的方法创新。</w:t>
      </w:r>
    </w:p>
    <w:p>
      <w:pPr>
        <w:ind w:firstLine="480" w:firstLineChars="200"/>
        <w:spacing w:line="312" w:lineRule="auto"/>
      </w:pPr>
      <w:r>
        <w:rPr>
          <w:rFonts w:ascii="Times New Roman" w:hAnsi="Times New Roman" w:eastAsia="宋体"/>
          <w:b/>
          <w:sz w:val="24"/>
        </w:rPr>
        <w:t>上述两项是相互衔接的拟研究改进，并非已证实的两个突破。方法创新集中于第一项（本体驱动的标签生成），第二项仅为其应用验证环节，不主张独立方法贡献。</w:t>
      </w:r>
      <w:r>
        <w:rPr>
          <w:rFonts w:ascii="Times New Roman" w:hAnsi="Times New Roman" w:eastAsia="宋体"/>
          <w:b w:val="0"/>
          <w:sz w:val="24"/>
        </w:rPr>
        <w:t xml:space="preserve"> 私有化部署、LoRA、量化、使用本体以及系统界面本身均不另行计为算法创新；3.1.3 的原型实现作为方法的验证载体，其工程贡献与算法贡献分别表述。</w:t>
      </w:r>
    </w:p>
    <w:p>
      <w:pPr>
        <w:ind w:firstLine="480" w:firstLineChars="200"/>
        <w:spacing w:line="312" w:lineRule="auto"/>
      </w:pPr>
      <w:r>
        <w:rPr>
          <w:rFonts w:ascii="Times New Roman" w:hAnsi="Times New Roman" w:eastAsia="宋体"/>
          <w:b/>
          <w:sz w:val="24"/>
        </w:rPr>
        <w:t>（二）数据与可用资源</w:t>
      </w:r>
    </w:p>
    <w:p>
      <w:pPr>
        <w:ind w:firstLine="480" w:firstLineChars="200"/>
        <w:spacing w:line="312" w:lineRule="auto"/>
      </w:pPr>
      <w:r>
        <w:rPr>
          <w:rFonts w:ascii="Times New Roman" w:hAnsi="Times New Roman" w:eastAsia="宋体"/>
          <w:b w:val="0"/>
          <w:sz w:val="24"/>
        </w:rPr>
        <w:t>本课题对数据的需求与性能预测任务不同：不需要覆盖极宽的成分空间，而需要</w:t>
      </w:r>
      <w:r>
        <w:rPr>
          <w:rFonts w:ascii="Times New Roman" w:hAnsi="Times New Roman" w:eastAsia="宋体"/>
          <w:b/>
          <w:sz w:val="24"/>
        </w:rPr>
        <w:t>同一成分在不同条件下的多条记录</w:t>
      </w:r>
      <w:r>
        <w:rPr>
          <w:rFonts w:ascii="Times New Roman" w:hAnsi="Times New Roman" w:eastAsia="宋体"/>
          <w:b w:val="0"/>
          <w:sz w:val="24"/>
        </w:rPr>
        <w:t>，以便构造"条件相符"与"条件冲突"的判定对。这一需求决定了数据源的选型标准是字段完备性而非规模。</w:t>
      </w:r>
    </w:p>
    <w:p>
      <w:pPr>
        <w:ind w:firstLine="480" w:firstLineChars="200"/>
        <w:spacing w:line="312" w:lineRule="auto"/>
      </w:pPr>
      <w:r>
        <w:rPr>
          <w:rFonts w:ascii="Times New Roman" w:hAnsi="Times New Roman" w:eastAsia="宋体"/>
          <w:b w:val="0"/>
          <w:sz w:val="24"/>
        </w:rPr>
        <w:t>主线使用已确认可取得的公开 MPEA 数据及其许可允许的来源信息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。当前固定版本含 1,545 条记录、630 种归一化成分与 265 个 DOI。对本体所设四类槽位逐项核对实际可得性，结果如下。这组数字是本课题判断数据是否够用的依据，而非装饰性的规模说明。</w:t>
      </w:r>
    </w:p>
    <w:tbl>
      <w:tblPr>
        <w:tblStyle w:val="TableGrid"/>
        <w:tblW w:type="auto" w:w="0"/>
        <w:tblLook w:firstColumn="1" w:firstRow="1" w:lastColumn="0" w:lastRow="0" w:noHBand="0" w:noVBand="1" w:val="04A0"/>
      </w:tblPr>
      <w:tblGrid>
        <w:gridCol w:w="2078"/>
        <w:gridCol w:w="2078"/>
        <w:gridCol w:w="2078"/>
        <w:gridCol w:w="2078"/>
      </w:tblGrid>
      <w:tr>
        <w:tc>
          <w:tcPr>
            <w:tcW w:type="dxa" w:w="2078"/>
          </w:tcPr>
          <w:p>
            <w:pPr>
              <w:spacing w:line="240" w:lineRule="auto"/>
              <w:ind w:firstLine="0"/>
            </w:pPr>
            <w:r>
              <w:rPr>
                <w:rFonts w:ascii="Times New Roman" w:hAnsi="Times New Roman" w:eastAsia="黑体"/>
                <w:b/>
                <w:sz w:val="21"/>
              </w:rPr>
              <w:t>本体槽位</w:t>
            </w:r>
          </w:p>
        </w:tc>
        <w:tc>
          <w:tcPr>
            <w:tcW w:type="dxa" w:w="2078"/>
          </w:tcPr>
          <w:p>
            <w:pPr>
              <w:spacing w:line="240" w:lineRule="auto"/>
              <w:ind w:firstLine="0"/>
            </w:pPr>
            <w:r>
              <w:rPr>
                <w:rFonts w:ascii="Times New Roman" w:hAnsi="Times New Roman" w:eastAsia="黑体"/>
                <w:b/>
                <w:sz w:val="21"/>
              </w:rPr>
              <w:t>数据字段</w:t>
            </w:r>
          </w:p>
        </w:tc>
        <w:tc>
          <w:tcPr>
            <w:tcW w:type="dxa" w:w="2078"/>
          </w:tcPr>
          <w:p>
            <w:pPr>
              <w:spacing w:line="240" w:lineRule="auto"/>
              <w:ind w:firstLine="0"/>
            </w:pPr>
            <w:r>
              <w:rPr>
                <w:rFonts w:ascii="Times New Roman" w:hAnsi="Times New Roman" w:eastAsia="黑体"/>
                <w:b/>
                <w:sz w:val="21"/>
              </w:rPr>
              <w:t>非空率</w:t>
            </w:r>
          </w:p>
        </w:tc>
        <w:tc>
          <w:tcPr>
            <w:tcW w:type="dxa" w:w="2078"/>
          </w:tcPr>
          <w:p>
            <w:pPr>
              <w:spacing w:line="240" w:lineRule="auto"/>
              <w:ind w:firstLine="0"/>
            </w:pPr>
            <w:r>
              <w:rPr>
                <w:rFonts w:ascii="Times New Roman" w:hAnsi="Times New Roman" w:eastAsia="黑体"/>
                <w:b/>
                <w:sz w:val="21"/>
              </w:rPr>
              <w:t>说明</w:t>
            </w:r>
          </w:p>
        </w:tc>
      </w:tr>
      <w:tr>
        <w:tc>
          <w:tcPr>
            <w:tcW w:type="dxa" w:w="2078"/>
          </w:tcPr>
          <w:p>
            <w:pPr>
              <w:spacing w:line="240" w:lineRule="auto"/>
              <w:ind w:firstLine="0"/>
            </w:pPr>
            <w:r>
              <w:rPr>
                <w:rFonts w:ascii="Times New Roman" w:hAnsi="Times New Roman" w:eastAsia="宋体"/>
                <w:sz w:val="21"/>
              </w:rPr>
              <w:t>成分</w:t>
            </w:r>
          </w:p>
        </w:tc>
        <w:tc>
          <w:tcPr>
            <w:tcW w:type="dxa" w:w="2078"/>
          </w:tcPr>
          <w:p>
            <w:pPr>
              <w:spacing w:line="240" w:lineRule="auto"/>
              <w:ind w:firstLine="0"/>
            </w:pPr>
            <w:r>
              <w:rPr>
                <w:rFonts w:ascii="Times New Roman" w:hAnsi="Times New Roman" w:eastAsia="宋体"/>
                <w:sz w:val="21"/>
              </w:rPr>
              <w:t>FORMULA</w:t>
            </w:r>
          </w:p>
        </w:tc>
        <w:tc>
          <w:tcPr>
            <w:tcW w:type="dxa" w:w="2078"/>
          </w:tcPr>
          <w:p>
            <w:pPr>
              <w:spacing w:line="240" w:lineRule="auto"/>
              <w:ind w:firstLine="0"/>
            </w:pPr>
            <w:r>
              <w:rPr>
                <w:rFonts w:ascii="Times New Roman" w:hAnsi="Times New Roman" w:eastAsia="宋体"/>
                <w:sz w:val="21"/>
              </w:rPr>
              <w:t>100.0%</w:t>
            </w:r>
          </w:p>
        </w:tc>
        <w:tc>
          <w:tcPr>
            <w:tcW w:type="dxa" w:w="2078"/>
          </w:tcPr>
          <w:p>
            <w:pPr>
              <w:spacing w:line="240" w:lineRule="auto"/>
              <w:ind w:firstLine="0"/>
            </w:pPr>
            <w:r>
              <w:rPr>
                <w:rFonts w:ascii="Times New Roman" w:hAnsi="Times New Roman" w:eastAsia="宋体"/>
                <w:sz w:val="21"/>
              </w:rPr>
              <w:t>含元素集合，归一化后可作为比对基准</w:t>
            </w:r>
          </w:p>
        </w:tc>
      </w:tr>
      <w:tr>
        <w:tc>
          <w:tcPr>
            <w:tcW w:type="dxa" w:w="2078"/>
          </w:tcPr>
          <w:p>
            <w:pPr>
              <w:spacing w:line="240" w:lineRule="auto"/>
              <w:ind w:firstLine="0"/>
            </w:pPr>
            <w:r>
              <w:rPr>
                <w:rFonts w:ascii="Times New Roman" w:hAnsi="Times New Roman" w:eastAsia="宋体"/>
                <w:sz w:val="21"/>
              </w:rPr>
              <w:t>状态·制备工艺</w:t>
            </w:r>
          </w:p>
        </w:tc>
        <w:tc>
          <w:tcPr>
            <w:tcW w:type="dxa" w:w="2078"/>
          </w:tcPr>
          <w:p>
            <w:pPr>
              <w:spacing w:line="240" w:lineRule="auto"/>
              <w:ind w:firstLine="0"/>
            </w:pPr>
            <w:r>
              <w:rPr>
                <w:rFonts w:ascii="Times New Roman" w:hAnsi="Times New Roman" w:eastAsia="宋体"/>
                <w:sz w:val="21"/>
              </w:rPr>
              <w:t>Processing method</w:t>
            </w:r>
          </w:p>
        </w:tc>
        <w:tc>
          <w:tcPr>
            <w:tcW w:type="dxa" w:w="2078"/>
          </w:tcPr>
          <w:p>
            <w:pPr>
              <w:spacing w:line="240" w:lineRule="auto"/>
              <w:ind w:firstLine="0"/>
            </w:pPr>
            <w:r>
              <w:rPr>
                <w:rFonts w:ascii="Times New Roman" w:hAnsi="Times New Roman" w:eastAsia="宋体"/>
                <w:sz w:val="21"/>
              </w:rPr>
              <w:t>92.3%</w:t>
            </w:r>
          </w:p>
        </w:tc>
        <w:tc>
          <w:tcPr>
            <w:tcW w:type="dxa" w:w="2078"/>
          </w:tcPr>
          <w:p>
            <w:pPr>
              <w:spacing w:line="240" w:lineRule="auto"/>
              <w:ind w:firstLine="0"/>
            </w:pPr>
            <w:r>
              <w:rPr>
                <w:rFonts w:ascii="Times New Roman" w:hAnsi="Times New Roman" w:eastAsia="宋体"/>
                <w:sz w:val="21"/>
              </w:rPr>
              <w:t>粗标签（如 CAST），粒度有限</w:t>
            </w:r>
          </w:p>
        </w:tc>
      </w:tr>
      <w:tr>
        <w:tc>
          <w:tcPr>
            <w:tcW w:type="dxa" w:w="2078"/>
          </w:tcPr>
          <w:p>
            <w:pPr>
              <w:spacing w:line="240" w:lineRule="auto"/>
              <w:ind w:firstLine="0"/>
            </w:pPr>
            <w:r>
              <w:rPr>
                <w:rFonts w:ascii="Times New Roman" w:hAnsi="Times New Roman" w:eastAsia="宋体"/>
                <w:sz w:val="21"/>
              </w:rPr>
              <w:t>状态·相结构</w:t>
            </w:r>
          </w:p>
        </w:tc>
        <w:tc>
          <w:tcPr>
            <w:tcW w:type="dxa" w:w="2078"/>
          </w:tcPr>
          <w:p>
            <w:pPr>
              <w:spacing w:line="240" w:lineRule="auto"/>
              <w:ind w:firstLine="0"/>
            </w:pPr>
            <w:r>
              <w:rPr>
                <w:rFonts w:ascii="Times New Roman" w:hAnsi="Times New Roman" w:eastAsia="宋体"/>
                <w:sz w:val="21"/>
              </w:rPr>
              <w:t>BCC/FCC/other</w:t>
            </w:r>
          </w:p>
        </w:tc>
        <w:tc>
          <w:tcPr>
            <w:tcW w:type="dxa" w:w="2078"/>
          </w:tcPr>
          <w:p>
            <w:pPr>
              <w:spacing w:line="240" w:lineRule="auto"/>
              <w:ind w:firstLine="0"/>
            </w:pPr>
            <w:r>
              <w:rPr>
                <w:rFonts w:ascii="Times New Roman" w:hAnsi="Times New Roman" w:eastAsia="宋体"/>
                <w:sz w:val="21"/>
              </w:rPr>
              <w:t>100.0%</w:t>
            </w:r>
          </w:p>
        </w:tc>
        <w:tc>
          <w:tcPr>
            <w:tcW w:type="dxa" w:w="2078"/>
          </w:tcPr>
          <w:p>
            <w:pPr>
              <w:spacing w:line="240" w:lineRule="auto"/>
              <w:ind w:firstLine="0"/>
            </w:pPr>
            <w:r>
              <w:rPr>
                <w:rFonts w:ascii="Times New Roman" w:hAnsi="Times New Roman" w:eastAsia="宋体"/>
                <w:sz w:val="21"/>
              </w:rPr>
              <w:t>可作为状态差异的一个维度</w:t>
            </w:r>
          </w:p>
        </w:tc>
      </w:tr>
      <w:tr>
        <w:tc>
          <w:tcPr>
            <w:tcW w:type="dxa" w:w="2078"/>
          </w:tcPr>
          <w:p>
            <w:pPr>
              <w:spacing w:line="240" w:lineRule="auto"/>
              <w:ind w:firstLine="0"/>
            </w:pPr>
            <w:r>
              <w:rPr>
                <w:rFonts w:ascii="Times New Roman" w:hAnsi="Times New Roman" w:eastAsia="宋体"/>
                <w:sz w:val="21"/>
              </w:rPr>
              <w:t>状态·热处理</w:t>
            </w:r>
          </w:p>
        </w:tc>
        <w:tc>
          <w:tcPr>
            <w:tcW w:type="dxa" w:w="2078"/>
          </w:tcPr>
          <w:p>
            <w:pPr>
              <w:spacing w:line="240" w:lineRule="auto"/>
              <w:ind w:firstLine="0"/>
            </w:pPr>
            <w:r>
              <w:rPr>
                <w:rFonts w:ascii="Times New Roman" w:hAnsi="Times New Roman" w:eastAsia="宋体"/>
                <w:sz w:val="21"/>
              </w:rPr>
              <w:t>无对应字段</w:t>
            </w:r>
          </w:p>
        </w:tc>
        <w:tc>
          <w:tcPr>
            <w:tcW w:type="dxa" w:w="2078"/>
          </w:tcPr>
          <w:p>
            <w:pPr>
              <w:spacing w:line="240" w:lineRule="auto"/>
              <w:ind w:firstLine="0"/>
            </w:pPr>
            <w:r>
              <w:rPr>
                <w:rFonts w:ascii="Times New Roman" w:hAnsi="Times New Roman" w:eastAsia="宋体"/>
                <w:sz w:val="21"/>
              </w:rPr>
              <w:t>—</w:t>
            </w:r>
          </w:p>
        </w:tc>
        <w:tc>
          <w:tcPr>
            <w:tcW w:type="dxa" w:w="2078"/>
          </w:tcPr>
          <w:p>
            <w:pPr>
              <w:spacing w:line="240" w:lineRule="auto"/>
              <w:ind w:firstLine="0"/>
            </w:pPr>
            <w:r>
              <w:rPr>
                <w:rFonts w:ascii="Times New Roman" w:hAnsi="Times New Roman" w:eastAsia="宋体"/>
                <w:sz w:val="21"/>
              </w:rPr>
              <w:t>主线数据中不存在</w:t>
            </w:r>
          </w:p>
        </w:tc>
      </w:tr>
      <w:tr>
        <w:tc>
          <w:tcPr>
            <w:tcW w:type="dxa" w:w="2078"/>
          </w:tcPr>
          <w:p>
            <w:pPr>
              <w:spacing w:line="240" w:lineRule="auto"/>
              <w:ind w:firstLine="0"/>
            </w:pPr>
            <w:r>
              <w:rPr>
                <w:rFonts w:ascii="Times New Roman" w:hAnsi="Times New Roman" w:eastAsia="宋体"/>
                <w:sz w:val="21"/>
              </w:rPr>
              <w:t>测试·测试温度</w:t>
            </w:r>
          </w:p>
        </w:tc>
        <w:tc>
          <w:tcPr>
            <w:tcW w:type="dxa" w:w="2078"/>
          </w:tcPr>
          <w:p>
            <w:pPr>
              <w:spacing w:line="240" w:lineRule="auto"/>
              <w:ind w:firstLine="0"/>
            </w:pPr>
            <w:r>
              <w:rPr>
                <w:rFonts w:ascii="Times New Roman" w:hAnsi="Times New Roman" w:eastAsia="宋体"/>
                <w:sz w:val="21"/>
              </w:rPr>
              <w:t>Test temperature</w:t>
            </w:r>
          </w:p>
        </w:tc>
        <w:tc>
          <w:tcPr>
            <w:tcW w:type="dxa" w:w="2078"/>
          </w:tcPr>
          <w:p>
            <w:pPr>
              <w:spacing w:line="240" w:lineRule="auto"/>
              <w:ind w:firstLine="0"/>
            </w:pPr>
            <w:r>
              <w:rPr>
                <w:rFonts w:ascii="Times New Roman" w:hAnsi="Times New Roman" w:eastAsia="宋体"/>
                <w:sz w:val="21"/>
              </w:rPr>
              <w:t>88.3%</w:t>
            </w:r>
          </w:p>
        </w:tc>
        <w:tc>
          <w:tcPr>
            <w:tcW w:type="dxa" w:w="2078"/>
          </w:tcPr>
          <w:p>
            <w:pPr>
              <w:spacing w:line="240" w:lineRule="auto"/>
              <w:ind w:firstLine="0"/>
            </w:pPr>
            <w:r>
              <w:rPr>
                <w:rFonts w:ascii="Times New Roman" w:hAnsi="Times New Roman" w:eastAsia="宋体"/>
                <w:sz w:val="21"/>
              </w:rPr>
              <w:t>条件判定的主要依据</w:t>
            </w:r>
          </w:p>
        </w:tc>
      </w:tr>
      <w:tr>
        <w:tc>
          <w:tcPr>
            <w:tcW w:type="dxa" w:w="2078"/>
          </w:tcPr>
          <w:p>
            <w:pPr>
              <w:spacing w:line="240" w:lineRule="auto"/>
              <w:ind w:firstLine="0"/>
            </w:pPr>
            <w:r>
              <w:rPr>
                <w:rFonts w:ascii="Times New Roman" w:hAnsi="Times New Roman" w:eastAsia="宋体"/>
                <w:sz w:val="21"/>
              </w:rPr>
              <w:t>测试·试验类型</w:t>
            </w:r>
          </w:p>
        </w:tc>
        <w:tc>
          <w:tcPr>
            <w:tcW w:type="dxa" w:w="2078"/>
          </w:tcPr>
          <w:p>
            <w:pPr>
              <w:spacing w:line="240" w:lineRule="auto"/>
              <w:ind w:firstLine="0"/>
            </w:pPr>
            <w:r>
              <w:rPr>
                <w:rFonts w:ascii="Times New Roman" w:hAnsi="Times New Roman" w:eastAsia="宋体"/>
                <w:sz w:val="21"/>
              </w:rPr>
              <w:t>Type of test</w:t>
            </w:r>
          </w:p>
        </w:tc>
        <w:tc>
          <w:tcPr>
            <w:tcW w:type="dxa" w:w="2078"/>
          </w:tcPr>
          <w:p>
            <w:pPr>
              <w:spacing w:line="240" w:lineRule="auto"/>
              <w:ind w:firstLine="0"/>
            </w:pPr>
            <w:r>
              <w:rPr>
                <w:rFonts w:ascii="Times New Roman" w:hAnsi="Times New Roman" w:eastAsia="宋体"/>
                <w:sz w:val="21"/>
              </w:rPr>
              <w:t>74.4%</w:t>
            </w:r>
          </w:p>
        </w:tc>
        <w:tc>
          <w:tcPr>
            <w:tcW w:type="dxa" w:w="2078"/>
          </w:tcPr>
          <w:p>
            <w:pPr>
              <w:spacing w:line="240" w:lineRule="auto"/>
              <w:ind w:firstLine="0"/>
            </w:pPr>
            <w:r>
              <w:rPr>
                <w:rFonts w:ascii="Times New Roman" w:hAnsi="Times New Roman" w:eastAsia="宋体"/>
                <w:sz w:val="21"/>
              </w:rPr>
              <w:t>决定性能是否可跨记录比较</w:t>
            </w:r>
          </w:p>
        </w:tc>
      </w:tr>
      <w:tr>
        <w:tc>
          <w:tcPr>
            <w:tcW w:type="dxa" w:w="2078"/>
          </w:tcPr>
          <w:p>
            <w:pPr>
              <w:spacing w:line="240" w:lineRule="auto"/>
              <w:ind w:firstLine="0"/>
            </w:pPr>
            <w:r>
              <w:rPr>
                <w:rFonts w:ascii="Times New Roman" w:hAnsi="Times New Roman" w:eastAsia="宋体"/>
                <w:sz w:val="21"/>
              </w:rPr>
              <w:t>测试·测量方法</w:t>
            </w:r>
          </w:p>
        </w:tc>
        <w:tc>
          <w:tcPr>
            <w:tcW w:type="dxa" w:w="2078"/>
          </w:tcPr>
          <w:p>
            <w:pPr>
              <w:spacing w:line="240" w:lineRule="auto"/>
              <w:ind w:firstLine="0"/>
            </w:pPr>
            <w:r>
              <w:rPr>
                <w:rFonts w:ascii="Times New Roman" w:hAnsi="Times New Roman" w:eastAsia="宋体"/>
                <w:sz w:val="21"/>
              </w:rPr>
              <w:t>无对应字段</w:t>
            </w:r>
          </w:p>
        </w:tc>
        <w:tc>
          <w:tcPr>
            <w:tcW w:type="dxa" w:w="2078"/>
          </w:tcPr>
          <w:p>
            <w:pPr>
              <w:spacing w:line="240" w:lineRule="auto"/>
              <w:ind w:firstLine="0"/>
            </w:pPr>
            <w:r>
              <w:rPr>
                <w:rFonts w:ascii="Times New Roman" w:hAnsi="Times New Roman" w:eastAsia="宋体"/>
                <w:sz w:val="21"/>
              </w:rPr>
              <w:t>—</w:t>
            </w:r>
          </w:p>
        </w:tc>
        <w:tc>
          <w:tcPr>
            <w:tcW w:type="dxa" w:w="2078"/>
          </w:tcPr>
          <w:p>
            <w:pPr>
              <w:spacing w:line="240" w:lineRule="auto"/>
              <w:ind w:firstLine="0"/>
            </w:pPr>
            <w:r>
              <w:rPr>
                <w:rFonts w:ascii="Times New Roman" w:hAnsi="Times New Roman" w:eastAsia="宋体"/>
                <w:sz w:val="21"/>
              </w:rPr>
              <w:t>主线数据中不存在</w:t>
            </w:r>
          </w:p>
        </w:tc>
      </w:tr>
      <w:tr>
        <w:tc>
          <w:tcPr>
            <w:tcW w:type="dxa" w:w="2078"/>
          </w:tcPr>
          <w:p>
            <w:pPr>
              <w:spacing w:line="240" w:lineRule="auto"/>
              <w:ind w:firstLine="0"/>
            </w:pPr>
            <w:r>
              <w:rPr>
                <w:rFonts w:ascii="Times New Roman" w:hAnsi="Times New Roman" w:eastAsia="宋体"/>
                <w:sz w:val="21"/>
              </w:rPr>
              <w:t>性能·硬度</w:t>
            </w:r>
          </w:p>
        </w:tc>
        <w:tc>
          <w:tcPr>
            <w:tcW w:type="dxa" w:w="2078"/>
          </w:tcPr>
          <w:p>
            <w:pPr>
              <w:spacing w:line="240" w:lineRule="auto"/>
              <w:ind w:firstLine="0"/>
            </w:pPr>
            <w:r>
              <w:rPr>
                <w:rFonts w:ascii="Times New Roman" w:hAnsi="Times New Roman" w:eastAsia="宋体"/>
                <w:sz w:val="21"/>
              </w:rPr>
              <w:t>HV</w:t>
            </w:r>
          </w:p>
        </w:tc>
        <w:tc>
          <w:tcPr>
            <w:tcW w:type="dxa" w:w="2078"/>
          </w:tcPr>
          <w:p>
            <w:pPr>
              <w:spacing w:line="240" w:lineRule="auto"/>
              <w:ind w:firstLine="0"/>
            </w:pPr>
            <w:r>
              <w:rPr>
                <w:rFonts w:ascii="Times New Roman" w:hAnsi="Times New Roman" w:eastAsia="宋体"/>
                <w:sz w:val="21"/>
              </w:rPr>
              <w:t>34.3%</w:t>
            </w:r>
          </w:p>
        </w:tc>
        <w:tc>
          <w:tcPr>
            <w:tcW w:type="dxa" w:w="2078"/>
          </w:tcPr>
          <w:p>
            <w:pPr>
              <w:spacing w:line="240" w:lineRule="auto"/>
              <w:ind w:firstLine="0"/>
            </w:pPr>
            <w:r>
              <w:rPr>
                <w:rFonts w:ascii="Times New Roman" w:hAnsi="Times New Roman" w:eastAsia="宋体"/>
                <w:sz w:val="21"/>
              </w:rPr>
              <w:t>覆盖率偏低</w:t>
            </w:r>
          </w:p>
        </w:tc>
      </w:tr>
      <w:tr>
        <w:tc>
          <w:tcPr>
            <w:tcW w:type="dxa" w:w="2078"/>
          </w:tcPr>
          <w:p>
            <w:pPr>
              <w:spacing w:line="240" w:lineRule="auto"/>
              <w:ind w:firstLine="0"/>
            </w:pPr>
            <w:r>
              <w:rPr>
                <w:rFonts w:ascii="Times New Roman" w:hAnsi="Times New Roman" w:eastAsia="宋体"/>
                <w:sz w:val="21"/>
              </w:rPr>
              <w:t>性能·屈服强度</w:t>
            </w:r>
          </w:p>
        </w:tc>
        <w:tc>
          <w:tcPr>
            <w:tcW w:type="dxa" w:w="2078"/>
          </w:tcPr>
          <w:p>
            <w:pPr>
              <w:spacing w:line="240" w:lineRule="auto"/>
              <w:ind w:firstLine="0"/>
            </w:pPr>
            <w:r>
              <w:rPr>
                <w:rFonts w:ascii="Times New Roman" w:hAnsi="Times New Roman" w:eastAsia="宋体"/>
                <w:sz w:val="21"/>
              </w:rPr>
              <w:t>YS</w:t>
            </w:r>
          </w:p>
        </w:tc>
        <w:tc>
          <w:tcPr>
            <w:tcW w:type="dxa" w:w="2078"/>
          </w:tcPr>
          <w:p>
            <w:pPr>
              <w:spacing w:line="240" w:lineRule="auto"/>
              <w:ind w:firstLine="0"/>
            </w:pPr>
            <w:r>
              <w:rPr>
                <w:rFonts w:ascii="Times New Roman" w:hAnsi="Times New Roman" w:eastAsia="宋体"/>
                <w:sz w:val="21"/>
              </w:rPr>
              <w:t>69.1%</w:t>
            </w:r>
          </w:p>
        </w:tc>
        <w:tc>
          <w:tcPr>
            <w:tcW w:type="dxa" w:w="2078"/>
          </w:tcPr>
          <w:p>
            <w:pPr>
              <w:spacing w:line="240" w:lineRule="auto"/>
              <w:ind w:firstLine="0"/>
            </w:pPr>
            <w:r>
              <w:rPr>
                <w:rFonts w:ascii="Times New Roman" w:hAnsi="Times New Roman" w:eastAsia="宋体"/>
                <w:sz w:val="21"/>
              </w:rPr>
              <w:t>相对完整</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这张表暴露了一个必须正面处理的事实：</w:t>
      </w:r>
      <w:r>
        <w:rPr>
          <w:rFonts w:ascii="Times New Roman" w:hAnsi="Times New Roman" w:eastAsia="宋体"/>
          <w:b/>
          <w:sz w:val="24"/>
        </w:rPr>
        <w:t>本体所设的四类槽位中，热处理与测量方法在主线数据中根本没有对应字段</w:t>
      </w:r>
      <w:r>
        <w:rPr>
          <w:rFonts w:ascii="Times New Roman" w:hAnsi="Times New Roman" w:eastAsia="宋体"/>
          <w:b w:val="0"/>
          <w:sz w:val="24"/>
        </w:rPr>
        <w:t>。这不是数据清洗能解决的问题，只能靠文献补充通道填入。因此本课题的槽位设计须与数据现实对齐：首版本体只启用主线数据中确有的槽位（成分、制备工艺、相结构、测试温度、试验类型），热处理与测量方法作为文献补充通道的目标字段，在补充数据经检测通过后再纳入判定。这一取舍在开题阶段即予声明，避免后期因字段缺失而被迫修改标签体系。</w:t>
      </w:r>
    </w:p>
    <w:p>
      <w:pPr>
        <w:ind w:firstLine="480" w:firstLineChars="200"/>
        <w:spacing w:line="312" w:lineRule="auto"/>
      </w:pPr>
      <w:r>
        <w:rPr>
          <w:rFonts w:ascii="Times New Roman" w:hAnsi="Times New Roman" w:eastAsia="宋体"/>
          <w:b w:val="0"/>
          <w:sz w:val="24"/>
        </w:rPr>
        <w:t>判定对的构造能力实测如下。630 种成分中有 186 种存在多于一条记录，按同成分记录两两配对可得 8,857 对，其中测试温度或制备工艺不同者 7,452 对。这一数字刻画的是数据侧的构造上限，不等同于可评测样本数：判定对是记录之间的关系，而评测需要的是问题、答案与证据齐全的三元组。</w:t>
      </w:r>
    </w:p>
    <w:p>
      <w:pPr>
        <w:ind w:firstLine="480" w:firstLineChars="200"/>
        <w:spacing w:line="312" w:lineRule="auto"/>
      </w:pPr>
      <w:r>
        <w:rPr>
          <w:rFonts w:ascii="Times New Roman" w:hAnsi="Times New Roman" w:eastAsia="宋体"/>
          <w:b w:val="0"/>
          <w:sz w:val="24"/>
        </w:rPr>
        <w:t>据实折算如下。同时具备性能值与测试温度、制备工艺的记录为 1,062 条，其中存在同成分不同条件干扰项者 722 条，构成可构造条件敏感提问的基础；无干扰项者 340 条，只能构成条件无关提问。按一条记录生成一题计，条件敏感问答对约 722 题，按百分之七十、十五、十五划分后测试集约 108 题。该规模足以支撑两组之间的正确率对比，但不足以支撑"问题类型×错误类型"的交叉分析，故须扩题。扩题采取两条途径：一是同一记录生成多种问法（须保证同记录的不同问法不跨数据分区），二是将试验类型放宽为非必需条件，后者可将基础记录从 1,062 条扩至约 1,311 条。实际可用题数在首次构造后报告，不在此处填预计数值。</w:t>
      </w:r>
    </w:p>
    <w:p>
      <w:pPr>
        <w:ind w:firstLine="480" w:firstLineChars="200"/>
        <w:spacing w:line="312" w:lineRule="auto"/>
      </w:pPr>
      <w:r>
        <w:rPr>
          <w:rFonts w:ascii="Times New Roman" w:hAnsi="Times New Roman" w:eastAsia="宋体"/>
          <w:b w:val="0"/>
          <w:sz w:val="24"/>
        </w:rPr>
        <w:t>上述两部分数据共同构成条件感知的本地知识库：MPEA 作为已结构化的基础库，文献解析结果作为补充库，两者以统一的记录结构与条件元组入库。由于主线数据缺两个槽位且部分字段非空率偏低，本课题建立文献补充数据通道。解析环节采用开源工具 MinerU 将 PDF 转换为结构化文本</w:t>
      </w:r>
      <w:r>
        <w:rPr>
          <w:rFonts w:ascii="Times New Roman" w:hAnsi="Times New Roman" w:eastAsia="宋体"/>
          <w:sz w:val="24"/>
          <w:vertAlign w:val="superscript"/>
        </w:rPr>
        <w:fldChar w:fldCharType="begin"/>
        <w:instrText xml:space="preserve"> REF _Ref_ref043 \h </w:instrText>
        <w:fldChar w:fldCharType="separate"/>
        <w:t xml:space="preserve">[43]</w:t>
        <w:fldChar w:fldCharType="end"/>
      </w:r>
      <w:r>
        <w:rPr>
          <w:rFonts w:ascii="Times New Roman" w:hAnsi="Times New Roman" w:eastAsia="宋体"/>
          <w:b w:val="0"/>
          <w:sz w:val="24"/>
        </w:rPr>
        <w:t>；该环节在通用场景下可靠性较好，但在表格合并单元格、上下标与真实扫描件上存在已知短板，故其输出须经槽位抽取与一致性检查后方可入库，不直接计入判定数据。补充库的规模以实际解析与检查通过率决定，在首轮试验后报告实际可用条数，不预设具体数字。</w:t>
      </w:r>
    </w:p>
    <w:p>
      <w:pPr>
        <w:ind w:firstLine="480" w:firstLineChars="200"/>
        <w:spacing w:line="312" w:lineRule="auto"/>
      </w:pPr>
      <w:r>
        <w:rPr>
          <w:rFonts w:ascii="Times New Roman" w:hAnsi="Times New Roman" w:eastAsia="宋体"/>
          <w:b w:val="0"/>
          <w:sz w:val="24"/>
        </w:rPr>
        <w:t>其他公开合金数据源已作初步排查，均未达到本课题的可用条件。难熔高熵合金方向存在规模更大的数据库（如 ULTERA，报告约 2,700 种合金、6,500 条性质数据、540 篇文献），但其数据未公开，需经合作申请获取；其他以性能汇总为主的数据集侧重成分与性能两列，缺少可比的测试条件与来源字段，无法支撑条件适用性判定。材料领域的离线检索增强已有实践</w:t>
      </w:r>
      <w:r>
        <w:rPr>
          <w:rFonts w:ascii="Times New Roman" w:hAnsi="Times New Roman" w:eastAsia="宋体"/>
          <w:sz w:val="24"/>
          <w:vertAlign w:val="superscript"/>
        </w:rPr>
        <w:fldChar w:fldCharType="begin"/>
        <w:instrText xml:space="preserve"> REF _Ref_ref055 \h </w:instrText>
        <w:fldChar w:fldCharType="separate"/>
        <w:t xml:space="preserve">[55]</w:t>
        <w:fldChar w:fldCharType="end"/>
      </w:r>
      <w:r>
        <w:rPr>
          <w:rFonts w:ascii="Times New Roman" w:hAnsi="Times New Roman" w:eastAsia="宋体"/>
          <w:b w:val="0"/>
          <w:sz w:val="24"/>
        </w:rPr>
        <w:t>，其做法是整合文献与结构化数据两类来源，本课题在数据组织上采用相近思路，但把条件元组作为独立字段处理。MPEA 作为主线的依据不在于规模，而在于同时提供成分、状态、测试条件与来源标识四类字段。若具备许可与下载条件，可选用再生铝合金模拟数据扩展规模</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b w:val="0"/>
          <w:sz w:val="24"/>
        </w:rPr>
        <w:t>，但它不是高熵合金实测数据，正式使用前须核对版本、字段与缺失值，不作为当前必需前提。</w:t>
      </w:r>
    </w:p>
    <w:p>
      <w:pPr>
        <w:ind w:firstLine="480" w:firstLineChars="200"/>
        <w:spacing w:line="312" w:lineRule="auto"/>
      </w:pPr>
      <w:r>
        <w:rPr>
          <w:rFonts w:ascii="Times New Roman" w:hAnsi="Times New Roman" w:eastAsia="宋体"/>
          <w:b w:val="0"/>
          <w:sz w:val="24"/>
        </w:rPr>
        <w:t>数据划分以来源关联组为单位，约按 70%、15%、15% 分配训练、开发与测试，同组不可拆分。划分后先确认每区是否有足够的来源组与可比较判定对；若不足以支撑稳定的留出比较，则扩大获准资料或收紧结论范围，不以增加同记录改写次数代替独立来源。实际可用的判定对数、来源组数与各槽位覆盖率在首次划分完成后报告。</w:t>
      </w:r>
    </w:p>
    <w:p>
      <w:pPr>
        <w:ind w:firstLine="480" w:firstLineChars="200"/>
        <w:spacing w:line="312" w:lineRule="auto"/>
      </w:pPr>
      <w:r>
        <w:rPr>
          <w:rFonts w:ascii="Times New Roman" w:hAnsi="Times New Roman" w:eastAsia="宋体"/>
          <w:b w:val="0"/>
          <w:sz w:val="24"/>
        </w:rPr>
        <w:t>已核实的参考资源包括 LLMatDesign 的公开实现、BCC/B2 研究的部分公开成分与训练代码，以及 Qwen3 等开放权重底座</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。AlloyGPT 权重或相关数据的获取受许可与申请条件影响，不绑定为开箱即用基线</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。不要求从头复现 LLaMat 继续预训练，也不要求采购商业热力学软件。公开数据的项目许可、基础模型许可与教师服务的数据使用条件须分别核对，不能用代码开源替代数据授权。基础模型的许可须按实际采用的版本核对，不以历史版本的开源协议推断当前条款。</w:t>
      </w:r>
    </w:p>
    <w:p>
      <w:pPr>
        <w:ind w:firstLine="480" w:firstLineChars="200"/>
        <w:spacing w:line="312" w:lineRule="auto"/>
      </w:pPr>
      <w:r>
        <w:rPr>
          <w:rFonts w:ascii="Times New Roman" w:hAnsi="Times New Roman" w:eastAsia="宋体"/>
          <w:b/>
          <w:sz w:val="24"/>
        </w:rPr>
        <w:t>（三）实验设计与公平比较</w:t>
      </w:r>
    </w:p>
    <w:p>
      <w:pPr>
        <w:ind w:firstLine="480" w:firstLineChars="200"/>
        <w:spacing w:line="312" w:lineRule="auto"/>
      </w:pPr>
      <w:r>
        <w:rPr>
          <w:rFonts w:ascii="Times New Roman" w:hAnsi="Times New Roman" w:eastAsia="宋体"/>
          <w:b w:val="0"/>
          <w:sz w:val="24"/>
        </w:rPr>
        <w:t>设置来源关联组互斥的训练、开发、测试三部分，先划分再构造判定对。教师示范池仅由训练资料产生；本体比较规则的阈值、置信度门槛与评价规则在开发集冻结；测试任务只作最后报告。性能字段、来源标签与目标配方的泄漏检查独立进行。同一组基础配方的不同自然语言改写不能跨区，必要时增加留出元素组合或相近成分簇的压力测试。</w:t>
      </w:r>
    </w:p>
    <w:p>
      <w:pPr>
        <w:ind w:firstLine="480" w:firstLineChars="200"/>
        <w:spacing w:line="312" w:lineRule="auto"/>
      </w:pPr>
      <w:r>
        <w:rPr>
          <w:rFonts w:ascii="Times New Roman" w:hAnsi="Times New Roman" w:eastAsia="宋体"/>
          <w:b w:val="0"/>
          <w:sz w:val="24"/>
        </w:rPr>
        <w:t>设两类明确区分的测试。第一类为"可见证据支持的辅助任务"：向各方法提供相同且许可允许的测试资料，检查其是否能提出有对应证据且满足要求的候选；这是有资料可用的应用，不把检索到测试记录本身伪装成未知性能预测。第二类为"隐藏目标记录的回放任务"：隐藏目标论文与重复记录，以已知观测标签辅助检查候选恢复或排序；只有候选能规范匹配观测记录时，才计入观测性能支持，未匹配候选标为未验证，不当作实验失败。两类结果分开报告。</w:t>
      </w:r>
    </w:p>
    <w:p>
      <w:pPr>
        <w:ind w:firstLine="480" w:firstLineChars="200"/>
        <w:spacing w:line="312" w:lineRule="auto"/>
      </w:pPr>
      <w:r>
        <w:rPr>
          <w:rFonts w:ascii="Times New Roman" w:hAnsi="Times New Roman" w:eastAsia="宋体"/>
          <w:b w:val="0"/>
          <w:sz w:val="24"/>
        </w:rPr>
        <w:t>基础对照包括五组，各组使用同一文献库、同一检索召回数与同一底座，只改变条件处理策略，其余设置保持一致。其一为常规 RAG，不作条件区分。其二为</w:t>
      </w:r>
      <w:r>
        <w:rPr>
          <w:rFonts w:ascii="Times New Roman" w:hAnsi="Times New Roman" w:eastAsia="宋体"/>
          <w:b/>
          <w:sz w:val="24"/>
        </w:rPr>
        <w:t>文本拼接对照</w:t>
      </w:r>
      <w:r>
        <w:rPr>
          <w:rFonts w:ascii="Times New Roman" w:hAnsi="Times New Roman" w:eastAsia="宋体"/>
          <w:b w:val="0"/>
          <w:sz w:val="24"/>
        </w:rPr>
        <w:t>：把成分、性能与三条件字段拼成一段自然语言写入检索单元，不做结构化绑定，也不做前置判定。这一组是关键，它回答"条件信息以结构化方式组织是否必要"，若其结果与完整方案相当，则条件元组的组织方式不构成贡献。其三为仅按语义重排的 RAG。其四为规则硬过滤 RAG，仅按条件做硬性筛选、不做冲突处置与依据标注；该组本身使用了条件字段，故须与消融结果结合解读，才能分离"字段有用"与"过滤有用"。其五为用大模型直接问答，作为性能上界参考。检索环节单独设对照：不作条件区分的通用重排器、按规则硬过滤条件的检索、仅用元数据字段匹配的做法，以及本课题微调的条件感知重排器；这一组对照固定生成模型与上下文预算，只改变重排策略，以隔离条件判断本身的贡献，避免把检索改善与训练改善混为一谈。核心判定实验固定同一批判定对与同一底座，比较纯规则、纯模型、规则+模型三种做法；若 LESS 的计算成本适合，则加入梯度选择对照。将随机选择列为必做对照而非弱基线，依据是已有研究显示定向选样并不稳定优于均匀随机采样、随机采样在若干设定下具有竞争力</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；因此只有显著优于随机选择的结果才计入所提方法的增益。全量训练只作额外预算上界参考，不宣称与等预算子集比较完全公平。种子预热与诊断开销在各组使用一致设置，选样计算成本计入总账。</w:t>
      </w:r>
    </w:p>
    <w:p>
      <w:pPr>
        <w:ind w:firstLine="480" w:firstLineChars="200"/>
        <w:spacing w:line="312" w:lineRule="auto"/>
      </w:pPr>
      <w:r>
        <w:rPr>
          <w:rFonts w:ascii="Times New Roman" w:hAnsi="Times New Roman" w:eastAsia="宋体"/>
          <w:b w:val="0"/>
          <w:sz w:val="24"/>
        </w:rPr>
        <w:t>消融实验聚焦三项核心设计，每组只改动一处，其余设置保持不变，使改进归因可追溯。</w:t>
      </w:r>
    </w:p>
    <w:p>
      <w:pPr>
        <w:ind w:firstLine="480" w:firstLineChars="200"/>
        <w:spacing w:line="312" w:lineRule="auto"/>
      </w:pPr>
      <w:r>
        <w:rPr>
          <w:rFonts w:ascii="Times New Roman" w:hAnsi="Times New Roman" w:eastAsia="宋体"/>
          <w:b w:val="0"/>
          <w:sz w:val="24"/>
        </w:rPr>
        <w:t>第一组移除条件元组绑定：证据只保留成分与数值，退回常规 RAG，测出条件信息本身的贡献。</w:t>
      </w:r>
    </w:p>
    <w:p>
      <w:pPr>
        <w:ind w:firstLine="480" w:firstLineChars="200"/>
        <w:spacing w:line="312" w:lineRule="auto"/>
      </w:pPr>
      <w:r>
        <w:rPr>
          <w:rFonts w:ascii="Times New Roman" w:hAnsi="Times New Roman" w:eastAsia="宋体"/>
          <w:b w:val="0"/>
          <w:sz w:val="24"/>
        </w:rPr>
        <w:t>第二组移除条件判定：保留条件字段但不做相符冲突的判定，直接交给生成环节，测出前置判定相对"让模型自己看着办"的增益。</w:t>
      </w:r>
    </w:p>
    <w:p>
      <w:pPr>
        <w:ind w:firstLine="480" w:firstLineChars="200"/>
        <w:spacing w:line="312" w:lineRule="auto"/>
      </w:pPr>
      <w:r>
        <w:rPr>
          <w:rFonts w:ascii="Times New Roman" w:hAnsi="Times New Roman" w:eastAsia="宋体"/>
          <w:b w:val="0"/>
          <w:sz w:val="24"/>
        </w:rPr>
        <w:t>第三组移除依据标注：答案不标注依据记录的条件，测出"答案携带适用范围"对可用性的影响。</w:t>
      </w:r>
    </w:p>
    <w:p>
      <w:pPr>
        <w:ind w:firstLine="480" w:firstLineChars="200"/>
        <w:spacing w:line="312" w:lineRule="auto"/>
      </w:pPr>
      <w:r>
        <w:rPr>
          <w:rFonts w:ascii="Times New Roman" w:hAnsi="Times New Roman" w:eastAsia="宋体"/>
          <w:b w:val="0"/>
          <w:sz w:val="24"/>
        </w:rPr>
        <w:t>三组之外另设一组基线消融：仅用规则判定、不引入蒸馏模型，直接测出规则方法的天花板，用于界定模型的必要性，该结果如实报告。</w:t>
      </w:r>
    </w:p>
    <w:p>
      <w:pPr>
        <w:ind w:firstLine="480" w:firstLineChars="200"/>
        <w:spacing w:line="312" w:lineRule="auto"/>
      </w:pPr>
      <w:r>
        <w:rPr>
          <w:rFonts w:ascii="Times New Roman" w:hAnsi="Times New Roman" w:eastAsia="宋体"/>
          <w:b w:val="0"/>
          <w:sz w:val="24"/>
        </w:rPr>
        <w:t>为检验小模型是否只承担无增益外壳，加入"同一需求解析结果加传统约束优化器、不调用语言模型做决策"的对照。在资料条件与数值工具一致时，比较模型在实例组织、操作选择与说明生成方面是否有实质收益。对照也允许使用暖启动，不人为限制其候选复用或数值求解能力。对一般投影、取整与配比修正的收益不全部计为模型学习效果。</w:t>
      </w:r>
    </w:p>
    <w:p>
      <w:pPr>
        <w:ind w:firstLine="480" w:firstLineChars="200"/>
        <w:spacing w:line="312" w:lineRule="auto"/>
      </w:pPr>
      <w:r>
        <w:rPr>
          <w:rFonts w:ascii="Times New Roman" w:hAnsi="Times New Roman" w:eastAsia="宋体"/>
          <w:b w:val="0"/>
          <w:sz w:val="24"/>
        </w:rPr>
        <w:t>教师比较冻结一个明确的服务版本、提示、输出预算与运行日期。先在统一证据与工具下比较系统效果，再单列无工具模型表现；只允许学生多用工具而教师不能用工具的比较，必须标为部署方案比较而非模型能力比较。预先记录教师调用失败与重试，训练阶段与最终测试阶段费用分开，不预设"大模型总比小模型慢"或"小模型总比接口调用便宜"。</w:t>
      </w:r>
    </w:p>
    <w:p>
      <w:pPr>
        <w:ind w:firstLine="480" w:firstLineChars="200"/>
        <w:spacing w:line="312" w:lineRule="auto"/>
      </w:pPr>
      <w:r>
        <w:rPr>
          <w:rFonts w:ascii="Times New Roman" w:hAnsi="Times New Roman" w:eastAsia="宋体"/>
          <w:b/>
          <w:sz w:val="24"/>
        </w:rPr>
        <w:t>（四）指标、接近标准与应用价值验证</w:t>
      </w:r>
    </w:p>
    <w:p>
      <w:pPr>
        <w:ind w:firstLine="480" w:firstLineChars="200"/>
        <w:spacing w:line="312" w:lineRule="auto"/>
      </w:pPr>
      <w:r>
        <w:rPr>
          <w:rFonts w:ascii="Times New Roman" w:hAnsi="Times New Roman" w:eastAsia="宋体"/>
          <w:b w:val="0"/>
          <w:sz w:val="24"/>
        </w:rPr>
        <w:t>主要任务指标为分问题类型的答案正确率。问题按是否涉及条件敏感查询分为两组：条件敏感组（如指定测试温度或工艺状态下的性能查询）与条件无关组（如相结构列举、元素组成查询）。两组分别报告正确率，其中条件敏感组的提升为主要结论依据，条件无关组用作对照以排除整体性提升来自其他因素。</w:t>
      </w:r>
    </w:p>
    <w:p>
      <w:pPr>
        <w:ind w:firstLine="480" w:firstLineChars="200"/>
        <w:spacing w:line="312" w:lineRule="auto"/>
      </w:pPr>
      <w:r>
        <w:rPr>
          <w:rFonts w:ascii="Times New Roman" w:hAnsi="Times New Roman" w:eastAsia="宋体"/>
          <w:b w:val="0"/>
          <w:sz w:val="24"/>
        </w:rPr>
        <w:t>条件敏感组内进一步按是否存在干扰项分层报告。判据为：该问题对应的成分在库中是否存在条件不同的其他记录。若条件元组确实在起作用，增益应集中出现在有干扰项的题目上，而在无干扰项的题目上接近零；若两层增益相当，则说明提升来自其他因素而非条件处理。该分层是因果归因的主要证据，其样本量来自前述实测（有干扰项约 722 条、无干扰项约 340 条）。答案正确的判定标准为：所述性能数值与所引记录一致、所引记录的条件与问题要求相符、且答案明确标注了该条件。另报逐条依据准确率、条件标注完整率与拒答率（条件不符时如实标注而非强行作答的比例），仅统计在评测前由构造协议与独立检查确认数值可行、输入完备且存在足够适用证据的候选形成或编辑任务。任务资格依据冻结的输入、参考资料与规则确定，不能根据某个方法是否成功检索或输出而改变分母；资格不确定的任务单列，并报告纳入与排除数量。在给定输出候选数量与生成预算下，至少提出规定数量的不同候选，所有明确硬约束通过，候选选择或编辑理由对应到适用记录及其支持范围，观测支持型性能陈述可对应具体测量记录，才计为合格。探索建议型候选即使没有冒充实测性能，也不能仅凭数值合法计入主任务合格；缺乏适用证据支持的建议单列报告。另报逐候选合法率、证据错误率、候选重复率、修改幅度、修正次数及总生成量，避免仅靠大量采样提高成功率。</w:t>
      </w:r>
    </w:p>
    <w:p>
      <w:pPr>
        <w:ind w:firstLine="480" w:firstLineChars="200"/>
        <w:spacing w:line="312" w:lineRule="auto"/>
      </w:pPr>
      <w:r>
        <w:rPr>
          <w:rFonts w:ascii="Times New Roman" w:hAnsi="Times New Roman" w:eastAsia="宋体"/>
          <w:b w:val="0"/>
          <w:sz w:val="24"/>
        </w:rPr>
        <w:t>错误按三类归因分别统计：检索未命中（正确记录未出现在候选中）、条件误用（记录被检索到但条件不符仍被采用）、生成错误（证据与条件均正确而表述出错）。为使三类可被分离测量而非事后推断，另设两种评测条件：在"给定正确证据"的条件下运行，此时若仍出错即排除检索因素；在"给定正确证据且条件已正确标注"的条件下运行，此时若仍出错即为纯生成问题。两种条件下的结果与自然条件下的结果并列报告，其差值分别对应检索环节与条件处理环节的贡献。该设置参照科学问答中区分检索、接地与合成瓶颈的常见做法。三类占比分别报告，作为判断改进优先级与评价各环节贡献的依据。数值约束冲突、证据不足与需要澄清的问题单独构造与报告，不混入上述主分母。对能由数值求解器确认的冲突，检查冲突识别及解释正确率，并报告可行任务的误拒率；对证据不足或输入不完整，核验其是否恰当地标注缺失或请求澄清。有限搜索未找到、检索未命中和输入含糊均不算已证明无解。所有任务类别、证据支持规则、缺失处理与人工裁定协议在开发阶段固定并用于全部方法，教师与学生的主质量差距也只在相同主任务集合上计算。</w:t>
      </w:r>
    </w:p>
    <w:p>
      <w:pPr>
        <w:ind w:firstLine="480" w:firstLineChars="200"/>
        <w:spacing w:line="312" w:lineRule="auto"/>
      </w:pPr>
      <w:r>
        <w:rPr>
          <w:rFonts w:ascii="Times New Roman" w:hAnsi="Times New Roman" w:eastAsia="宋体"/>
          <w:b w:val="0"/>
          <w:sz w:val="24"/>
        </w:rPr>
        <w:t>"接近教师"采用任务质量差值而非文本相似率。设 Q_T 与 Q_S 分别为教师与学生的主要任务得分，报告 Q_T 减 Q_S 的配对差值及不确定区间。可接受差距 δ 与最低可用水平 Q_min 在开发阶段依据实际任务需求确定，测试前锁定；只有差距的区间上界不超过 δ，且学生达到 Q_min 时，才在相应任务范围内使用"接近"表述。无法确定具有实际意义的 δ 时，只报告差距，不宣称已达到可接受水平。教师自身若质量不足，接近教师也不代表可用。</w:t>
      </w:r>
    </w:p>
    <w:p>
      <w:pPr>
        <w:ind w:firstLine="480" w:firstLineChars="200"/>
        <w:spacing w:line="312" w:lineRule="auto"/>
      </w:pPr>
      <w:r>
        <w:rPr>
          <w:rFonts w:ascii="Times New Roman" w:hAnsi="Times New Roman" w:eastAsia="宋体"/>
          <w:b w:val="0"/>
          <w:sz w:val="24"/>
        </w:rPr>
        <w:t>若引入语言模型作为自动评判的辅助手段，须先核对其与人工判断的一致性，并以人工标注为基准</w:t>
      </w:r>
      <w:r>
        <w:rPr>
          <w:rFonts w:ascii="Times New Roman" w:hAnsi="Times New Roman" w:eastAsia="宋体"/>
          <w:sz w:val="24"/>
          <w:vertAlign w:val="superscript"/>
        </w:rPr>
        <w:fldChar w:fldCharType="begin"/>
        <w:instrText xml:space="preserve"> REF _Ref_ref040 \h </w:instrText>
        <w:fldChar w:fldCharType="separate"/>
        <w:t xml:space="preserve">[40]</w:t>
        <w:fldChar w:fldCharType="end"/>
      </w:r>
      <w:r>
        <w:rPr>
          <w:rFonts w:ascii="Times New Roman" w:hAnsi="Times New Roman" w:eastAsia="宋体"/>
          <w:b w:val="0"/>
          <w:sz w:val="24"/>
        </w:rPr>
        <w:t>，不能把自动评判分数直接当作任务质量的最终依据。</w:t>
      </w:r>
    </w:p>
    <w:p>
      <w:pPr>
        <w:ind w:firstLine="480" w:firstLineChars="200"/>
        <w:spacing w:line="312" w:lineRule="auto"/>
      </w:pPr>
      <w:r>
        <w:rPr>
          <w:rFonts w:ascii="Times New Roman" w:hAnsi="Times New Roman" w:eastAsia="宋体"/>
          <w:b w:val="0"/>
          <w:sz w:val="24"/>
        </w:rPr>
        <w:t>按来源论文或基础任务组进行配对重采样，不能把同一配方的几十次改写当作独立实验。正式训练对核心对照采用多个随机种子，重复数量在预实验资源评估后固定。主对照与探索分析分开，报告效应方向与区间，而不是仅用单次最好值或统计不显著证明等效。</w:t>
      </w:r>
    </w:p>
    <w:p>
      <w:pPr>
        <w:ind w:firstLine="480" w:firstLineChars="200"/>
        <w:spacing w:line="312" w:lineRule="auto"/>
      </w:pPr>
      <w:r>
        <w:rPr>
          <w:rFonts w:ascii="Times New Roman" w:hAnsi="Times New Roman" w:eastAsia="宋体"/>
          <w:b w:val="0"/>
          <w:sz w:val="24"/>
        </w:rPr>
        <w:t>应用价值按三层组织，逐层说明其证据能力，不把低层结果上升为高层结论。</w:t>
      </w:r>
    </w:p>
    <w:p>
      <w:pPr>
        <w:ind w:firstLine="480" w:firstLineChars="200"/>
        <w:spacing w:line="312" w:lineRule="auto"/>
      </w:pPr>
      <w:r>
        <w:rPr>
          <w:rFonts w:ascii="Times New Roman" w:hAnsi="Times New Roman" w:eastAsia="宋体"/>
          <w:b w:val="0"/>
          <w:sz w:val="24"/>
        </w:rPr>
        <w:t>第一层为自动评测，是完成本课题所必需的证据。做法是在冻结的测试集上运行完整原型，记录每次获得合格候选所需的重试次数、字段修正步骤、查证操作数，以及端到端时延、显存与调用开销；同时在同一测试集上与各基线方法对比。该层全部由脚本自动判分，不依赖外部人员，因此构成结题与论文的最低证据。它能够支持"候选可用性与约束执行质量"的结论，但不能支持"节省了人工时间"这类结论。</w:t>
      </w:r>
    </w:p>
    <w:p>
      <w:pPr>
        <w:ind w:firstLine="480" w:firstLineChars="200"/>
        <w:spacing w:line="312" w:lineRule="auto"/>
      </w:pPr>
      <w:r>
        <w:rPr>
          <w:rFonts w:ascii="Times New Roman" w:hAnsi="Times New Roman" w:eastAsia="宋体"/>
          <w:b w:val="0"/>
          <w:sz w:val="24"/>
        </w:rPr>
        <w:t>第二层为有限专家案例研究，在资源与授权具备时开展。请一至三位有材料背景的使用者，就预先设定的任务各试用一次，采用同任务、交叉顺序并隐去方案标签的方式，记录任务完成情况、用时、修订轮次与主观反馈，按案例研究如实报告人数、背景与任务范围。该层的定位是领域可接受的原型评估形式，其结论只限于所测案例，不外推为普遍的效率提升或材料性能保证。</w:t>
      </w:r>
    </w:p>
    <w:p>
      <w:pPr>
        <w:ind w:firstLine="480" w:firstLineChars="200"/>
        <w:spacing w:line="312" w:lineRule="auto"/>
      </w:pPr>
      <w:r>
        <w:rPr>
          <w:rFonts w:ascii="Times New Roman" w:hAnsi="Times New Roman" w:eastAsia="宋体"/>
          <w:b w:val="0"/>
          <w:sz w:val="24"/>
        </w:rPr>
        <w:t>第三层为正式用户研究，本课题明确不做，并说明原因。该层需要不少于十五名目标使用者、对照设计与统计检验，涉及伦理审查、招募与数周排期，超出单人一年课题的资源范围；在其缺席时，本课题不以"已验证产业价值"或"已证明替代人工"作为结论。</w:t>
      </w:r>
    </w:p>
    <w:p>
      <w:pPr>
        <w:ind w:firstLine="480" w:firstLineChars="200"/>
        <w:spacing w:line="312" w:lineRule="auto"/>
      </w:pPr>
      <w:r>
        <w:rPr>
          <w:rFonts w:ascii="Times New Roman" w:hAnsi="Times New Roman" w:eastAsia="宋体"/>
          <w:b w:val="0"/>
          <w:sz w:val="24"/>
        </w:rPr>
        <w:t>性能模型或经验规则的通过率仅作辅助诊断，不能替代独立实验成败或高温性能验证。任何一层都不把教师自评、判据通过或引用相近成分文献当作材料性能的证明。</w:t>
      </w:r>
    </w:p>
    <w:p>
      <w:pPr>
        <w:ind w:firstLine="480" w:firstLineChars="200"/>
        <w:spacing w:line="312" w:lineRule="auto"/>
      </w:pPr>
      <w:r>
        <w:rPr>
          <w:rFonts w:ascii="Times New Roman" w:hAnsi="Times New Roman" w:eastAsia="宋体"/>
          <w:b/>
          <w:sz w:val="24"/>
        </w:rPr>
        <w:t>（五）技术路线与阶段衔接</w:t>
      </w:r>
    </w:p>
    <w:p>
      <w:pPr>
        <w:ind w:firstLine="480" w:firstLineChars="200"/>
        <w:spacing w:line="312" w:lineRule="auto"/>
      </w:pPr>
      <w:r>
        <w:rPr>
          <w:rFonts w:ascii="Times New Roman" w:hAnsi="Times New Roman" w:eastAsia="宋体"/>
          <w:b w:val="0"/>
          <w:sz w:val="24"/>
        </w:rPr>
        <w:t>技术路线为：文献解析与条件字段抽取、条件元组绑定与本地知识库构建、条件感知检索、规则与模型协同的条件判定、条件标注下的答案生成、分问题类型正确率与错误归因评估。检索与生成共用同一套条件元组与来源类型，最终输出索引快照、蒸馏模型权重与问答日志。整体流程见图 3-1。</w:t>
      </w:r>
    </w:p>
    <w:p>
      <w:pPr>
        <w:spacing w:before="120" w:after="120"/>
        <w:ind w:firstLine="0"/>
        <w:jc w:val="center"/>
      </w:pPr>
      <w:r>
        <w:drawing>
          <wp:inline xmlns:a="http://schemas.openxmlformats.org/drawingml/2006/main" xmlns:pic="http://schemas.openxmlformats.org/drawingml/2006/picture">
            <wp:extent cx="4860000" cy="3900252"/>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4860000" cy="3900252"/>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pPr>
        <w:ind w:firstLine="480" w:firstLineChars="200"/>
        <w:spacing w:line="312" w:lineRule="auto"/>
      </w:pPr>
      <w:r>
        <w:rPr>
          <w:rFonts w:ascii="Times New Roman" w:hAnsi="Times New Roman" w:eastAsia="宋体"/>
          <w:b/>
          <w:sz w:val="24"/>
        </w:rPr>
        <w:t>（六）资源与实施可行性</w:t>
      </w:r>
    </w:p>
    <w:p>
      <w:pPr>
        <w:ind w:firstLine="480" w:firstLineChars="200"/>
        <w:spacing w:line="312" w:lineRule="auto"/>
      </w:pPr>
      <w:r>
        <w:rPr>
          <w:rFonts w:ascii="Times New Roman" w:hAnsi="Times New Roman" w:eastAsia="宋体"/>
          <w:b w:val="0"/>
          <w:sz w:val="24"/>
        </w:rPr>
        <w:t>在方法层面，序列级蒸馏不要求获得教师内部参数或完整概率分布，LoRA 与 QLoRA 有成熟实现，研究任务可在单卡条件下先做小规模验证</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。拟以 4 至 8B 级稠密底座为主要候选，具体选择通过预实验固定，不预先将某个模型的上下文上限、训练速度或显存占用当作普遍保证。教师可通过接口离线提供公开资料上的教学示范，推理时不依赖该接口。</w:t>
      </w:r>
    </w:p>
    <w:p>
      <w:pPr>
        <w:ind w:firstLine="480" w:firstLineChars="200"/>
        <w:spacing w:line="312" w:lineRule="auto"/>
      </w:pPr>
      <w:r>
        <w:rPr>
          <w:rFonts w:ascii="Times New Roman" w:hAnsi="Times New Roman" w:eastAsia="宋体"/>
          <w:b w:val="0"/>
          <w:sz w:val="24"/>
        </w:rPr>
        <w:t>开题资源按单张 32 GB 左右显卡、64 GB 内存、500 GB 可用固态存储规划；更长输入或更大批次可租用 48 至 60 GB 显卡。采用量化底座、梯度检查点、小微批次及约 2k 至 4k token 输入作为预实验设置，而非已实测结果。首轮按本节（二）的约 300 至 1,000 个合格教学任务规划，以实际训练分区及质量检查后的规模为准。后续若扩展至约 5,000 至 20,000 条，必须有新增获准资料与覆盖审计支撑，不能仅靠反复改写现有记录实现，也不将该扩展作为本课题必须完成的条件。</w:t>
      </w:r>
    </w:p>
    <w:p>
      <w:pPr>
        <w:ind w:firstLine="480" w:firstLineChars="200"/>
        <w:spacing w:line="312" w:lineRule="auto"/>
      </w:pPr>
      <w:r>
        <w:rPr>
          <w:rFonts w:ascii="Times New Roman" w:hAnsi="Times New Roman" w:eastAsia="宋体"/>
          <w:b w:val="0"/>
          <w:sz w:val="24"/>
        </w:rPr>
        <w:t>训练耗时按"训练 token 数除以实测吞吐、再乘核心对照数与随机种子数"估计，并单列准备与推理开销。教师示范、诊断、检索建库与最终比较的成本分别记录。当前只核实了路线与资源入口，尚未训练本课题模型，不能把通用论文的显卡用量或运行时间复制为本课题保证。</w:t>
      </w:r>
    </w:p>
    <w:p>
      <w:pPr>
        <w:ind w:firstLine="480" w:firstLineChars="200"/>
        <w:spacing w:line="312" w:lineRule="auto"/>
      </w:pPr>
      <w:r>
        <w:rPr>
          <w:rFonts w:ascii="Times New Roman" w:hAnsi="Times New Roman" w:eastAsia="宋体"/>
          <w:b/>
          <w:sz w:val="24"/>
        </w:rPr>
        <w:t>（七）主要风险及处理边界</w:t>
      </w:r>
    </w:p>
    <w:p>
      <w:pPr>
        <w:ind w:firstLine="480" w:firstLineChars="200"/>
        <w:spacing w:line="312" w:lineRule="auto"/>
      </w:pPr>
      <w:r>
        <w:rPr>
          <w:rFonts w:ascii="Times New Roman" w:hAnsi="Times New Roman" w:eastAsia="宋体"/>
          <w:b w:val="0"/>
          <w:sz w:val="24"/>
        </w:rPr>
        <w:t>第一，公开资料对某些合金体系与工艺覆盖不足，可能使系统只会重述热门实例。应限制可比条件与首版任务，报告独立来源、成分与有效标签量，不通过无控制指令扩增掩盖数据稀薄。若用户全文库经审计后不能使用，主线仍以公开结构化记录开展，不临时增加大规模文献抽取作为另一项研究。</w:t>
      </w:r>
    </w:p>
    <w:p>
      <w:pPr>
        <w:ind w:firstLine="480" w:firstLineChars="200"/>
        <w:spacing w:line="312" w:lineRule="auto"/>
      </w:pPr>
      <w:r>
        <w:rPr>
          <w:rFonts w:ascii="Times New Roman" w:hAnsi="Times New Roman" w:eastAsia="宋体"/>
          <w:b w:val="0"/>
          <w:sz w:val="24"/>
        </w:rPr>
        <w:t>第二，教师可能给出错误示范，检查器也只覆盖部分错误。采用来源绑定、数值验证及人工抽查降低风险，保留检查器未覆盖项目；不把多次生成一致、多个模型同意或解释听起来合理当作真值。教师自评可作辅助排序，但不是最终科学证据。</w:t>
      </w:r>
    </w:p>
    <w:p>
      <w:pPr>
        <w:ind w:firstLine="480" w:firstLineChars="200"/>
        <w:spacing w:line="312" w:lineRule="auto"/>
      </w:pPr>
      <w:r>
        <w:rPr>
          <w:rFonts w:ascii="Times New Roman" w:hAnsi="Times New Roman" w:eastAsia="宋体"/>
          <w:b w:val="0"/>
          <w:sz w:val="24"/>
        </w:rPr>
        <w:t>第三，学生失误评分可能偏向表面格式错误，或因采样而波动。需区分错误类别，加入多个固定解码样本的敏感性分析并计入成本；若选择策略仅改善语法而不改善任务质量，不将其宣传为领域能力迁移成功。若样本选择不如随机，保留负结果，进一步判断问题来自信号、覆盖还是数据质量，不能通过更换测试口径消除失败。</w:t>
      </w:r>
    </w:p>
    <w:p>
      <w:pPr>
        <w:ind w:firstLine="480" w:firstLineChars="200"/>
        <w:spacing w:line="312" w:lineRule="auto"/>
      </w:pPr>
      <w:r>
        <w:rPr>
          <w:rFonts w:ascii="Times New Roman" w:hAnsi="Times New Roman" w:eastAsia="宋体"/>
          <w:b w:val="0"/>
          <w:sz w:val="24"/>
        </w:rPr>
        <w:t>第四，约束生成可能以牺牲多样性与候选质量换取合法率。应固定候选数量与总预算，报告多样性与证据质量；若修正器主导结果，单列其收益。对于超出记录条件的新配方，缺少独立计算或实验时只称为候选建议，不把同一评分器训练与评价形成的闭环当作真实验证。</w:t>
      </w:r>
    </w:p>
    <w:p>
      <w:pPr>
        <w:ind w:firstLine="480" w:firstLineChars="200"/>
        <w:spacing w:line="312" w:lineRule="auto"/>
      </w:pPr>
      <w:r>
        <w:rPr>
          <w:rFonts w:ascii="Times New Roman" w:hAnsi="Times New Roman" w:eastAsia="宋体"/>
          <w:b/>
          <w:sz w:val="24"/>
        </w:rPr>
        <w:t>（八）预期成果与完成标准</w:t>
      </w:r>
    </w:p>
    <w:p>
      <w:pPr>
        <w:ind w:firstLine="480" w:firstLineChars="200"/>
        <w:spacing w:line="312" w:lineRule="auto"/>
      </w:pPr>
      <w:r>
        <w:rPr>
          <w:rFonts w:ascii="Times New Roman" w:hAnsi="Times New Roman" w:eastAsia="宋体"/>
          <w:b w:val="0"/>
          <w:sz w:val="24"/>
        </w:rPr>
        <w:t>预期形成一份带条件元组的材料文献知识库规范、一种条件可比的证据组织与答案生成方法、一个小型条件冲突处置模型，以及一个可在本地运行的检索增强问答原型。成果应包括版本化实验配置、对照结果与适用范围，而不只是模型文件或界面演示。</w:t>
      </w:r>
    </w:p>
    <w:p>
      <w:pPr>
        <w:ind w:firstLine="480" w:firstLineChars="200"/>
        <w:spacing w:line="312" w:lineRule="auto"/>
      </w:pPr>
      <w:r>
        <w:rPr>
          <w:rFonts w:ascii="Times New Roman" w:hAnsi="Times New Roman" w:eastAsia="宋体"/>
          <w:b w:val="0"/>
          <w:sz w:val="24"/>
        </w:rPr>
        <w:t>完成标准是能够执行限定任务，并用公平对照说明所提改进是否有效、与教师差距多大及部署成本如何。若未达到"接近教师"的标准，应准确说明尚存差距，不能以"本地化已完成"代替方法验证；是否满足学位要求由所在单位依据其规范判断。未来可扩展更多合金体系或真实实验验证，但不把未落实的合作资源纳入当前完成前提。</w:t>
      </w:r>
    </w:p>
    <w:p>
      <w:pPr>
        <w:ind w:firstLine="480" w:firstLineChars="200"/>
        <w:spacing w:line="312" w:lineRule="auto"/>
      </w:pPr>
      <w:r>
        <w:rPr>
          <w:rFonts w:ascii="Times New Roman" w:hAnsi="Times New Roman" w:eastAsia="宋体"/>
          <w:b/>
          <w:sz w:val="24"/>
        </w:rPr>
        <w:t>（九）数据管理、授权与研究诚信</w:t>
      </w:r>
    </w:p>
    <w:p>
      <w:pPr>
        <w:ind w:firstLine="480" w:firstLineChars="200"/>
        <w:spacing w:line="312" w:lineRule="auto"/>
      </w:pPr>
      <w:r>
        <w:rPr>
          <w:rFonts w:ascii="Times New Roman" w:hAnsi="Times New Roman" w:eastAsia="宋体"/>
          <w:b w:val="0"/>
          <w:sz w:val="24"/>
        </w:rPr>
        <w:t>公开数据按其许可使用并保留来源；内部配方的上传、再训练与公开分别需要授权，不因去掉名称就默认可外发。教师模型服务条款须允许相应教学数据用途；若条款不允许蒸馏，改用许可合适的本地教师或公开教学数据，并重新说明成本。最终部署检查模型、嵌入、重排与工具链是否存在联网传输，不仅检查生成模型一个环节。</w:t>
      </w:r>
    </w:p>
    <w:p>
      <w:pPr>
        <w:ind w:firstLine="480" w:firstLineChars="200"/>
        <w:spacing w:line="312" w:lineRule="auto"/>
      </w:pPr>
      <w:r>
        <w:rPr>
          <w:rFonts w:ascii="Times New Roman" w:hAnsi="Times New Roman" w:eastAsia="宋体"/>
          <w:b w:val="0"/>
          <w:sz w:val="24"/>
        </w:rPr>
        <w:t>参考文献以正式发表的期刊论文与会议论文为主；其中编号 43 至 45 的三项工作为近期预印本，尚无正式发表版本，引用时已明确标注。这三项分别用于说明解析工具的能力边界、检测环节的瓶颈结论与数据库纠错的必要性，均为本课题立论所必需，故予保留。</w:t>
      </w:r>
    </w:p>
    <w:p>
      <w:pPr>
        <w:ind w:firstLine="480" w:firstLineChars="200"/>
        <w:spacing w:line="312" w:lineRule="auto"/>
      </w:pPr>
      <w:r>
        <w:rPr>
          <w:rFonts w:ascii="Times New Roman" w:hAnsi="Times New Roman" w:eastAsia="宋体"/>
          <w:b w:val="0"/>
          <w:sz w:val="24"/>
        </w:rPr>
        <w:t>本报告为研究计划，本体构建、标签生成、模型训练与用户试用均尚待实施。报告整理使用人工智能辅助检索、写作与一致性检查，引用已按可访问原始页面核验，但未声称逐篇复现实验或完成系统性文献综述。涉及人员试用时按所在单位要求落实知情同意与数据保护。姓名、单位、导师、经费、利益冲突与作者贡献等个人或项目声明由实际研究者补充，不代为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时间表以正式启动后八个月为计划周期，不假设具体入学或答辩日期，实际节点由研究者填写调整。</w:t>
      </w:r>
    </w:p>
    <w:p>
      <w:pPr>
        <w:ind w:firstLine="480" w:firstLineChars="200"/>
        <w:spacing w:line="312" w:lineRule="auto"/>
      </w:pPr>
      <w:r>
        <w:rPr>
          <w:rFonts w:ascii="Times New Roman" w:hAnsi="Times New Roman" w:eastAsia="宋体"/>
          <w:b w:val="0"/>
          <w:sz w:val="24"/>
        </w:rPr>
        <w:t>第 1 个月：完成研究资料、许可、来源关联与任务审计；固定首版合金范围、条件字段、教师与学生候选，完成小规模运行与预算估计。</w:t>
      </w:r>
    </w:p>
    <w:p>
      <w:pPr>
        <w:ind w:firstLine="480" w:firstLineChars="200"/>
        <w:spacing w:line="312" w:lineRule="auto"/>
      </w:pPr>
      <w:r>
        <w:rPr>
          <w:rFonts w:ascii="Times New Roman" w:hAnsi="Times New Roman" w:eastAsia="宋体"/>
          <w:b w:val="0"/>
          <w:sz w:val="24"/>
        </w:rPr>
        <w:t>第 2 个月：构建任务本体、教师示范与准入规则；划分互斥数据集并检查派生样本泄漏，完成本地底座及常规蒸馏基线。</w:t>
      </w:r>
    </w:p>
    <w:p>
      <w:pPr>
        <w:ind w:firstLine="480" w:firstLineChars="200"/>
        <w:spacing w:line="312" w:lineRule="auto"/>
      </w:pPr>
      <w:r>
        <w:rPr>
          <w:rFonts w:ascii="Times New Roman" w:hAnsi="Times New Roman" w:eastAsia="宋体"/>
          <w:b w:val="0"/>
          <w:sz w:val="24"/>
        </w:rPr>
        <w:t>第 3 至 4 个月：完成本体设计与槽位比较规则实现，统计规则覆盖率与重复标注一致率，据此确定规则与模型的分工边界；同步完成判定对构造与基线实现。</w:t>
      </w:r>
    </w:p>
    <w:p>
      <w:pPr>
        <w:ind w:firstLine="480" w:firstLineChars="200"/>
        <w:spacing w:line="312" w:lineRule="auto"/>
      </w:pPr>
      <w:r>
        <w:rPr>
          <w:rFonts w:ascii="Times New Roman" w:hAnsi="Times New Roman" w:eastAsia="宋体"/>
          <w:b w:val="0"/>
          <w:sz w:val="24"/>
        </w:rPr>
        <w:t>第 5 个月：构造条件感知重排模型的训练数据（配对生成条件可比与条件冲突样本），完成轻量重排器的微调，并与通用重排器、规则硬过滤、元数据匹配三种做法对照，确认条件判断交给模型相对交给规则的实际收益与重排时延代价。同月完成检索、分步生成与有限修正的集成。</w:t>
      </w:r>
    </w:p>
    <w:p>
      <w:pPr>
        <w:ind w:firstLine="480" w:firstLineChars="200"/>
        <w:spacing w:line="312" w:lineRule="auto"/>
      </w:pPr>
      <w:r>
        <w:rPr>
          <w:rFonts w:ascii="Times New Roman" w:hAnsi="Times New Roman" w:eastAsia="宋体"/>
          <w:b w:val="0"/>
          <w:sz w:val="24"/>
        </w:rPr>
        <w:t>第 6 个月：完成条件感知重排与约束生成两项的消融实验，逐组确认改进来源；做分组件消融界定模型学习与数值工具各自的收益边界，把两项创新点的增益归因分开。</w:t>
      </w:r>
    </w:p>
    <w:p>
      <w:pPr>
        <w:ind w:firstLine="480" w:firstLineChars="200"/>
        <w:spacing w:line="312" w:lineRule="auto"/>
      </w:pPr>
      <w:r>
        <w:rPr>
          <w:rFonts w:ascii="Times New Roman" w:hAnsi="Times New Roman" w:eastAsia="宋体"/>
          <w:b w:val="0"/>
          <w:sz w:val="24"/>
        </w:rPr>
        <w:t>第 7 个月：冻结正式配置，完成教师比较、来源组留出及约束组合泛化实验；完成第一层自动评测。</w:t>
      </w:r>
    </w:p>
    <w:p>
      <w:pPr>
        <w:ind w:firstLine="480" w:firstLineChars="200"/>
        <w:spacing w:line="312" w:lineRule="auto"/>
      </w:pPr>
      <w:r>
        <w:rPr>
          <w:rFonts w:ascii="Times New Roman" w:hAnsi="Times New Roman" w:eastAsia="宋体"/>
          <w:b w:val="0"/>
          <w:sz w:val="24"/>
        </w:rPr>
        <w:t>第 8 个月：整理结果与复现材料，完成论文撰写、局限性讨论与修改，准备学位论文送审与答辩。若资源不足，优先完成本体判定与规则/模型边界分析，减少额外模型与外部验证扩展，不删去关键对照。</w:t>
      </w:r>
    </w:p>
    <w:p>
      <w:pPr>
        <w:pStyle w:val="Heading1"/>
      </w:pPr>
      <w:r>
        <w:rPr>
          <w:rFonts w:ascii="Times New Roman" w:hAnsi="Times New Roman" w:eastAsia="黑体"/>
          <w:b/>
          <w:sz w:val="30"/>
        </w:rPr>
        <w:t>参考文献</w:t>
      </w:r>
    </w:p>
    <w:p>
      <w:pPr>
        <w:spacing w:line="312" w:lineRule="auto"/>
        <w:ind w:left="480" w:leftChars="0" w:hanging="480" w:hangingChars="200"/>
      </w:pPr>
      <w:bookmarkStart w:id="1001" w:name="_Ref_ref001"/>
      <w:r>
        <w:rPr>
          <w:rFonts w:ascii="Times New Roman" w:hAnsi="Times New Roman" w:eastAsia="宋体"/>
          <w:sz w:val="21"/>
        </w:rPr>
        <w:t>[1]</w:t>
      </w:r>
      <w:bookmarkEnd w:id="1001"/>
      <w:r>
        <w:rPr>
          <w:rFonts w:ascii="Times New Roman" w:hAnsi="Times New Roman" w:eastAsia="宋体"/>
          <w:sz w:val="21"/>
        </w:rPr>
        <w:t xml:space="preserve"> Jia S, Zhang C, Fung V. LLMatDesign: autonomous materials discovery with large language models[C]//Proceedings of the 2024 Conference on Empirical Methods in Natural Language Processing. 2024.</w:t>
      </w:r>
    </w:p>
    <w:p>
      <w:pPr>
        <w:spacing w:line="312" w:lineRule="auto"/>
        <w:ind w:left="480" w:leftChars="0" w:hanging="480" w:hangingChars="200"/>
      </w:pPr>
      <w:bookmarkStart w:id="1002" w:name="_Ref_ref002"/>
      <w:r>
        <w:rPr>
          <w:rFonts w:ascii="Times New Roman" w:hAnsi="Times New Roman" w:eastAsia="宋体"/>
          <w:sz w:val="21"/>
        </w:rPr>
        <w:t>[2]</w:t>
      </w:r>
      <w:bookmarkEnd w:id="1002"/>
      <w:r>
        <w:rPr>
          <w:rFonts w:ascii="Times New Roman" w:hAnsi="Times New Roman" w:eastAsia="宋体"/>
          <w:sz w:val="21"/>
        </w:rPr>
        <w:t xml:space="preserve"> Ghosh S, Holgate C, Brodnik N R, et al. Preference learning from physics-based feedback: tuning language models to design BCC/B2 superalloys[J]. Acta Materialia, 2025.</w:t>
      </w:r>
    </w:p>
    <w:p>
      <w:pPr>
        <w:spacing w:line="312" w:lineRule="auto"/>
        <w:ind w:left="480" w:leftChars="0" w:hanging="480" w:hangingChars="200"/>
      </w:pPr>
      <w:bookmarkStart w:id="1003" w:name="_Ref_ref003"/>
      <w:r>
        <w:rPr>
          <w:rFonts w:ascii="Times New Roman" w:hAnsi="Times New Roman" w:eastAsia="宋体"/>
          <w:sz w:val="21"/>
        </w:rPr>
        <w:t>[3]</w:t>
      </w:r>
      <w:bookmarkEnd w:id="1003"/>
      <w:r>
        <w:rPr>
          <w:rFonts w:ascii="Times New Roman" w:hAnsi="Times New Roman" w:eastAsia="宋体"/>
          <w:sz w:val="21"/>
        </w:rPr>
        <w:t xml:space="preserve"> Mishra V, Singh S, Ahlawat D, et al. A family of large language models for materials research with insights into model adaptability in continued pretraining[J]. Nature Machine Intelligence, 2026. DOI: 10.1038/s42256-026-01199-8.</w:t>
      </w:r>
    </w:p>
    <w:p>
      <w:pPr>
        <w:spacing w:line="312" w:lineRule="auto"/>
        <w:ind w:left="480" w:leftChars="0" w:hanging="480" w:hangingChars="200"/>
      </w:pPr>
      <w:bookmarkStart w:id="1004" w:name="_Ref_ref004"/>
      <w:r>
        <w:rPr>
          <w:rFonts w:ascii="Times New Roman" w:hAnsi="Times New Roman" w:eastAsia="宋体"/>
          <w:sz w:val="21"/>
        </w:rPr>
        <w:t>[4]</w:t>
      </w:r>
      <w:bookmarkEnd w:id="1004"/>
      <w:r>
        <w:rPr>
          <w:rFonts w:ascii="Times New Roman" w:hAnsi="Times New Roman" w:eastAsia="宋体"/>
          <w:sz w:val="21"/>
        </w:rPr>
        <w:t xml:space="preserve"> Ni B, Glaser B, Taheri-Mousavi S M. End-to-end prediction and design of additively manufacturable alloys using a generative AlloyGPT model[J]. npj Computational Materials, 2025, 11: 108. DOI: 10.1038/s41524-025-01768-2.</w:t>
      </w:r>
    </w:p>
    <w:p>
      <w:pPr>
        <w:spacing w:line="312" w:lineRule="auto"/>
        <w:ind w:left="480" w:leftChars="0" w:hanging="480" w:hangingChars="200"/>
      </w:pPr>
      <w:bookmarkStart w:id="1005" w:name="_Ref_ref005"/>
      <w:r>
        <w:rPr>
          <w:rFonts w:ascii="Times New Roman" w:hAnsi="Times New Roman" w:eastAsia="宋体"/>
          <w:sz w:val="21"/>
        </w:rPr>
        <w:t>[5]</w:t>
      </w:r>
      <w:bookmarkEnd w:id="1005"/>
      <w:r>
        <w:rPr>
          <w:rFonts w:ascii="Times New Roman" w:hAnsi="Times New Roman" w:eastAsia="宋体"/>
          <w:sz w:val="21"/>
        </w:rPr>
        <w:t xml:space="preserve"> Li S, Fajardo-Rojas F, Gomez-Gualdron D, et al. AlloyLens: a visual analytics tool for high-throughput alloy screening and inverse design[J]. IEEE Transactions on Visualization and Computer Graphics, 2025.</w:t>
      </w:r>
    </w:p>
    <w:p>
      <w:pPr>
        <w:spacing w:line="312" w:lineRule="auto"/>
        <w:ind w:left="480" w:leftChars="0" w:hanging="480" w:hangingChars="200"/>
      </w:pPr>
      <w:bookmarkStart w:id="1006" w:name="_Ref_ref006"/>
      <w:r>
        <w:rPr>
          <w:rFonts w:ascii="Times New Roman" w:hAnsi="Times New Roman" w:eastAsia="宋体"/>
          <w:sz w:val="21"/>
        </w:rPr>
        <w:t>[6]</w:t>
      </w:r>
      <w:bookmarkEnd w:id="1006"/>
      <w:r>
        <w:rPr>
          <w:rFonts w:ascii="Times New Roman" w:hAnsi="Times New Roman" w:eastAsia="宋体"/>
          <w:sz w:val="21"/>
        </w:rPr>
        <w:t xml:space="preserve"> Yu Y, Hu W, Wu X, Qian Q. From blind guess to informed judgment: teaching LLMs to evaluate materials by building knowledge-augmented preference signals[J]. Materials &amp; Design, 2026.</w:t>
      </w:r>
    </w:p>
    <w:p>
      <w:pPr>
        <w:spacing w:line="312" w:lineRule="auto"/>
        <w:ind w:left="480" w:leftChars="0" w:hanging="480" w:hangingChars="200"/>
      </w:pPr>
      <w:bookmarkStart w:id="1007" w:name="_Ref_ref007"/>
      <w:r>
        <w:rPr>
          <w:rFonts w:ascii="Times New Roman" w:hAnsi="Times New Roman" w:eastAsia="宋体"/>
          <w:sz w:val="21"/>
        </w:rPr>
        <w:t>[7]</w:t>
      </w:r>
      <w:bookmarkEnd w:id="1007"/>
      <w:r>
        <w:rPr>
          <w:rFonts w:ascii="Times New Roman" w:hAnsi="Times New Roman" w:eastAsia="宋体"/>
          <w:sz w:val="21"/>
        </w:rPr>
        <w:t xml:space="preserve"> Borg C K H, Frey C, Moh J, et al. Expanded dataset of mechanical properties and observed phases of multi-principal element alloys[J]. Scientific Data, 2020, 7: 430. DOI: 10.1038/s41597-020-00768-9.</w:t>
      </w:r>
    </w:p>
    <w:p>
      <w:pPr>
        <w:spacing w:line="312" w:lineRule="auto"/>
        <w:ind w:left="480" w:leftChars="0" w:hanging="480" w:hangingChars="200"/>
      </w:pPr>
      <w:bookmarkStart w:id="1008" w:name="_Ref_ref008"/>
      <w:r>
        <w:rPr>
          <w:rFonts w:ascii="Times New Roman" w:hAnsi="Times New Roman" w:eastAsia="宋体"/>
          <w:sz w:val="21"/>
        </w:rPr>
        <w:t>[8]</w:t>
      </w:r>
      <w:bookmarkEnd w:id="1008"/>
      <w:r>
        <w:rPr>
          <w:rFonts w:ascii="Times New Roman" w:hAnsi="Times New Roman" w:eastAsia="宋体"/>
          <w:sz w:val="21"/>
        </w:rPr>
        <w:t xml:space="preserve"> Hinton G, Vinyals O, Dean J. Distilling the knowledge in a neural network[J]. Stat, 2015, 1050: 9.</w:t>
      </w:r>
    </w:p>
    <w:p>
      <w:pPr>
        <w:spacing w:line="312" w:lineRule="auto"/>
        <w:ind w:left="480" w:leftChars="0" w:hanging="480" w:hangingChars="200"/>
      </w:pPr>
      <w:bookmarkStart w:id="1009" w:name="_Ref_ref009"/>
      <w:r>
        <w:rPr>
          <w:rFonts w:ascii="Times New Roman" w:hAnsi="Times New Roman" w:eastAsia="宋体"/>
          <w:sz w:val="21"/>
        </w:rPr>
        <w:t>[9]</w:t>
      </w:r>
      <w:bookmarkEnd w:id="1009"/>
      <w:r>
        <w:rPr>
          <w:rFonts w:ascii="Times New Roman" w:hAnsi="Times New Roman" w:eastAsia="宋体"/>
          <w:sz w:val="21"/>
        </w:rPr>
        <w:t xml:space="preserve"> Hsieh C Y, Li C L, Yeh C K, et al. Distilling step-by-step! Outperforming larger language models with less training data and smaller model sizes[C]//Findings of the Association for Computational Linguistics: ACL 2023. 2023: 8003-8017.</w:t>
      </w:r>
    </w:p>
    <w:p>
      <w:pPr>
        <w:spacing w:line="312" w:lineRule="auto"/>
        <w:ind w:left="480" w:leftChars="0" w:hanging="480" w:hangingChars="200"/>
      </w:pPr>
      <w:bookmarkStart w:id="1010" w:name="_Ref_ref010"/>
      <w:r>
        <w:rPr>
          <w:rFonts w:ascii="Times New Roman" w:hAnsi="Times New Roman" w:eastAsia="宋体"/>
          <w:sz w:val="21"/>
        </w:rPr>
        <w:t>[10]</w:t>
      </w:r>
      <w:bookmarkEnd w:id="1010"/>
      <w:r>
        <w:rPr>
          <w:rFonts w:ascii="Times New Roman" w:hAnsi="Times New Roman" w:eastAsia="宋体"/>
          <w:sz w:val="21"/>
        </w:rPr>
        <w:t xml:space="preserve"> Mitra A, Del Corro L, Mahajan S, et al. Orca 2: teaching small language models how to reason[R]. Microsoft Research Technical Report, 2023.</w:t>
      </w:r>
    </w:p>
    <w:p>
      <w:pPr>
        <w:spacing w:line="312" w:lineRule="auto"/>
        <w:ind w:left="480" w:leftChars="0" w:hanging="480" w:hangingChars="200"/>
      </w:pPr>
      <w:bookmarkStart w:id="1011" w:name="_Ref_ref011"/>
      <w:r>
        <w:rPr>
          <w:rFonts w:ascii="Times New Roman" w:hAnsi="Times New Roman" w:eastAsia="宋体"/>
          <w:sz w:val="21"/>
        </w:rPr>
        <w:t>[11]</w:t>
      </w:r>
      <w:bookmarkEnd w:id="1011"/>
      <w:r>
        <w:rPr>
          <w:rFonts w:ascii="Times New Roman" w:hAnsi="Times New Roman" w:eastAsia="宋体"/>
          <w:sz w:val="21"/>
        </w:rPr>
        <w:t xml:space="preserve"> Gu Y, Dong L, Wei F, Huang M. MiniLLM: on-policy distillation of large language models[C]//Proceedings of the Twelfth International Conference on Learning Representations. 2024.</w:t>
      </w:r>
    </w:p>
    <w:p>
      <w:pPr>
        <w:spacing w:line="312" w:lineRule="auto"/>
        <w:ind w:left="480" w:leftChars="0" w:hanging="480" w:hangingChars="200"/>
      </w:pPr>
      <w:bookmarkStart w:id="1012" w:name="_Ref_ref012"/>
      <w:r>
        <w:rPr>
          <w:rFonts w:ascii="Times New Roman" w:hAnsi="Times New Roman" w:eastAsia="宋体"/>
          <w:sz w:val="21"/>
        </w:rPr>
        <w:t>[12]</w:t>
      </w:r>
      <w:bookmarkEnd w:id="1012"/>
      <w:r>
        <w:rPr>
          <w:rFonts w:ascii="Times New Roman" w:hAnsi="Times New Roman" w:eastAsia="宋体"/>
          <w:sz w:val="21"/>
        </w:rPr>
        <w:t xml:space="preserve"> Wang Y, Kordi Y, Mishra S, et al. Self-Instruct: aligning language models with self-generated instructions[C]//Proceedings of the 61st Annual Meeting of the Association for Computational Linguistics. 2023: 13484-13508.</w:t>
      </w:r>
    </w:p>
    <w:p>
      <w:pPr>
        <w:spacing w:line="312" w:lineRule="auto"/>
        <w:ind w:left="480" w:leftChars="0" w:hanging="480" w:hangingChars="200"/>
      </w:pPr>
      <w:bookmarkStart w:id="1013" w:name="_Ref_ref013"/>
      <w:r>
        <w:rPr>
          <w:rFonts w:ascii="Times New Roman" w:hAnsi="Times New Roman" w:eastAsia="宋体"/>
          <w:sz w:val="21"/>
        </w:rPr>
        <w:t>[13]</w:t>
      </w:r>
      <w:bookmarkEnd w:id="1013"/>
      <w:r>
        <w:rPr>
          <w:rFonts w:ascii="Times New Roman" w:hAnsi="Times New Roman" w:eastAsia="宋体"/>
          <w:sz w:val="21"/>
        </w:rPr>
        <w:t xml:space="preserve"> Liu W, Zeng W, He K, et al. What makes good data for alignment? A comprehensive study of automatic data selection in instruction tuning[C]//Proceedings of the Twelfth International Conference on Learning Representations. 2024.</w:t>
      </w:r>
    </w:p>
    <w:p>
      <w:pPr>
        <w:spacing w:line="312" w:lineRule="auto"/>
        <w:ind w:left="480" w:leftChars="0" w:hanging="480" w:hangingChars="200"/>
      </w:pPr>
      <w:bookmarkStart w:id="1014" w:name="_Ref_ref014"/>
      <w:r>
        <w:rPr>
          <w:rFonts w:ascii="Times New Roman" w:hAnsi="Times New Roman" w:eastAsia="宋体"/>
          <w:sz w:val="21"/>
        </w:rPr>
        <w:t>[14]</w:t>
      </w:r>
      <w:bookmarkEnd w:id="1014"/>
      <w:r>
        <w:rPr>
          <w:rFonts w:ascii="Times New Roman" w:hAnsi="Times New Roman" w:eastAsia="宋体"/>
          <w:sz w:val="21"/>
        </w:rPr>
        <w:t xml:space="preserve"> Xia M, Malladi S, Gururangan S, et al. LESS: selecting influential data for targeted instruction tuning[C]//Proceedings of the Forty-First International Conference on Machine Learning. 2024.</w:t>
      </w:r>
    </w:p>
    <w:p>
      <w:pPr>
        <w:spacing w:line="312" w:lineRule="auto"/>
        <w:ind w:left="480" w:leftChars="0" w:hanging="480" w:hangingChars="200"/>
      </w:pPr>
      <w:bookmarkStart w:id="1015" w:name="_Ref_ref015"/>
      <w:r>
        <w:rPr>
          <w:rFonts w:ascii="Times New Roman" w:hAnsi="Times New Roman" w:eastAsia="宋体"/>
          <w:sz w:val="21"/>
        </w:rPr>
        <w:t>[15]</w:t>
      </w:r>
      <w:bookmarkEnd w:id="1015"/>
      <w:r>
        <w:rPr>
          <w:rFonts w:ascii="Times New Roman" w:hAnsi="Times New Roman" w:eastAsia="宋体"/>
          <w:sz w:val="21"/>
        </w:rPr>
        <w:t xml:space="preserve">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line="312" w:lineRule="auto"/>
        <w:ind w:left="480" w:leftChars="0" w:hanging="480" w:hangingChars="200"/>
      </w:pPr>
      <w:bookmarkStart w:id="1016" w:name="_Ref_ref016"/>
      <w:r>
        <w:rPr>
          <w:rFonts w:ascii="Times New Roman" w:hAnsi="Times New Roman" w:eastAsia="宋体"/>
          <w:sz w:val="21"/>
        </w:rPr>
        <w:t>[16]</w:t>
      </w:r>
      <w:bookmarkEnd w:id="1016"/>
      <w:r>
        <w:rPr>
          <w:rFonts w:ascii="Times New Roman" w:hAnsi="Times New Roman" w:eastAsia="宋体"/>
          <w:sz w:val="21"/>
        </w:rPr>
        <w:t xml:space="preserve"> Mirza P, Weber L, Küch F. LASER: stratified selective sampling for instruction tuning with dedicated scoring strategy[C]//Proceedings of the 2025 Conference on Empirical Methods in Natural Language Processing. 2025.</w:t>
      </w:r>
    </w:p>
    <w:p>
      <w:pPr>
        <w:spacing w:line="312" w:lineRule="auto"/>
        <w:ind w:left="480" w:leftChars="0" w:hanging="480" w:hangingChars="200"/>
      </w:pPr>
      <w:bookmarkStart w:id="1017" w:name="_Ref_ref017"/>
      <w:r>
        <w:rPr>
          <w:rFonts w:ascii="Times New Roman" w:hAnsi="Times New Roman" w:eastAsia="宋体"/>
          <w:sz w:val="21"/>
        </w:rPr>
        <w:t>[17]</w:t>
      </w:r>
      <w:bookmarkEnd w:id="1017"/>
      <w:r>
        <w:rPr>
          <w:rFonts w:ascii="Times New Roman" w:hAnsi="Times New Roman" w:eastAsia="宋体"/>
          <w:sz w:val="21"/>
        </w:rPr>
        <w:t xml:space="preserve"> Lewis P, Perez E, Piktus A, et al. Retrieval-augmented generation for knowledge-intensive NLP tasks[C]//Advances in Neural Information Processing Systems 33. 2020: 9459-9474.</w:t>
      </w:r>
    </w:p>
    <w:p>
      <w:pPr>
        <w:spacing w:line="312" w:lineRule="auto"/>
        <w:ind w:left="480" w:leftChars="0" w:hanging="480" w:hangingChars="200"/>
      </w:pPr>
      <w:bookmarkStart w:id="1018" w:name="_Ref_ref018"/>
      <w:r>
        <w:rPr>
          <w:rFonts w:ascii="Times New Roman" w:hAnsi="Times New Roman" w:eastAsia="宋体"/>
          <w:sz w:val="21"/>
        </w:rPr>
        <w:t>[18]</w:t>
      </w:r>
      <w:bookmarkEnd w:id="1018"/>
      <w:r>
        <w:rPr>
          <w:rFonts w:ascii="Times New Roman" w:hAnsi="Times New Roman" w:eastAsia="宋体"/>
          <w:sz w:val="21"/>
        </w:rPr>
        <w:t xml:space="preserve"> Zhang T, Patil S G, Jain N, et al. RAFT: adapting language model to domain specific RAG[C]//Proceedings of the Forty-First International Conference on Machine Learning. 2024.</w:t>
      </w:r>
    </w:p>
    <w:p>
      <w:pPr>
        <w:spacing w:line="312" w:lineRule="auto"/>
        <w:ind w:left="480" w:leftChars="0" w:hanging="480" w:hangingChars="200"/>
      </w:pPr>
      <w:bookmarkStart w:id="1019" w:name="_Ref_ref019"/>
      <w:r>
        <w:rPr>
          <w:rFonts w:ascii="Times New Roman" w:hAnsi="Times New Roman" w:eastAsia="宋体"/>
          <w:sz w:val="21"/>
        </w:rPr>
        <w:t>[19]</w:t>
      </w:r>
      <w:bookmarkEnd w:id="1019"/>
      <w:r>
        <w:rPr>
          <w:rFonts w:ascii="Times New Roman" w:hAnsi="Times New Roman" w:eastAsia="宋体"/>
          <w:sz w:val="21"/>
        </w:rPr>
        <w:t xml:space="preserve"> Hu E J, Shen Y, Wallis P, et al. LoRA: low-rank adaptation of large language models[C]//Proceedings of the Tenth International Conference on Learning Representations. 2022.</w:t>
      </w:r>
    </w:p>
    <w:p>
      <w:pPr>
        <w:spacing w:line="312" w:lineRule="auto"/>
        <w:ind w:left="480" w:leftChars="0" w:hanging="480" w:hangingChars="200"/>
      </w:pPr>
      <w:bookmarkStart w:id="1020" w:name="_Ref_ref020"/>
      <w:r>
        <w:rPr>
          <w:rFonts w:ascii="Times New Roman" w:hAnsi="Times New Roman" w:eastAsia="宋体"/>
          <w:sz w:val="21"/>
        </w:rPr>
        <w:t>[20]</w:t>
      </w:r>
      <w:bookmarkEnd w:id="1020"/>
      <w:r>
        <w:rPr>
          <w:rFonts w:ascii="Times New Roman" w:hAnsi="Times New Roman" w:eastAsia="宋体"/>
          <w:sz w:val="21"/>
        </w:rPr>
        <w:t xml:space="preserve"> Dettmers T, Pagnoni A, Holtzman A, Zettlemoyer L. QLoRA: efficient finetuning of quantized LLMs[C]//Advances in Neural Information Processing Systems 36. 2023.</w:t>
      </w:r>
    </w:p>
    <w:p>
      <w:pPr>
        <w:spacing w:line="312" w:lineRule="auto"/>
        <w:ind w:left="480" w:leftChars="0" w:hanging="480" w:hangingChars="200"/>
      </w:pPr>
      <w:bookmarkStart w:id="1021" w:name="_Ref_ref021"/>
      <w:r>
        <w:rPr>
          <w:rFonts w:ascii="Times New Roman" w:hAnsi="Times New Roman" w:eastAsia="宋体"/>
          <w:sz w:val="21"/>
        </w:rPr>
        <w:t>[21]</w:t>
      </w:r>
      <w:bookmarkEnd w:id="1021"/>
      <w:r>
        <w:rPr>
          <w:rFonts w:ascii="Times New Roman" w:hAnsi="Times New Roman" w:eastAsia="宋体"/>
          <w:sz w:val="21"/>
        </w:rPr>
        <w:t xml:space="preserve"> Yang A, Li A, Yang B, et al. Qwen3 technical report[R]. Alibaba Group Technical Report, 2025.</w:t>
      </w:r>
    </w:p>
    <w:p>
      <w:pPr>
        <w:spacing w:line="312" w:lineRule="auto"/>
        <w:ind w:left="480" w:leftChars="0" w:hanging="480" w:hangingChars="200"/>
      </w:pPr>
      <w:bookmarkStart w:id="1022" w:name="_Ref_ref022"/>
      <w:r>
        <w:rPr>
          <w:rFonts w:ascii="Times New Roman" w:hAnsi="Times New Roman" w:eastAsia="宋体"/>
          <w:sz w:val="21"/>
        </w:rPr>
        <w:t>[22]</w:t>
      </w:r>
      <w:bookmarkEnd w:id="1022"/>
      <w:r>
        <w:rPr>
          <w:rFonts w:ascii="Times New Roman" w:hAnsi="Times New Roman" w:eastAsia="宋体"/>
          <w:sz w:val="21"/>
        </w:rPr>
        <w:t xml:space="preserve"> Scholak T, Schucher N, Bahdanau D. PICARD: parsing incrementally for constrained auto-regressive decoding from language models[C]//Proceedings of the 2021 Conference on Empirical Methods in Natural Language Processing. 2021: 9895-9901.</w:t>
      </w:r>
    </w:p>
    <w:p>
      <w:pPr>
        <w:spacing w:line="312" w:lineRule="auto"/>
        <w:ind w:left="480" w:leftChars="0" w:hanging="480" w:hangingChars="200"/>
      </w:pPr>
      <w:bookmarkStart w:id="1023" w:name="_Ref_ref023"/>
      <w:r>
        <w:rPr>
          <w:rFonts w:ascii="Times New Roman" w:hAnsi="Times New Roman" w:eastAsia="宋体"/>
          <w:sz w:val="21"/>
        </w:rPr>
        <w:t>[23]</w:t>
      </w:r>
      <w:bookmarkEnd w:id="1023"/>
      <w:r>
        <w:rPr>
          <w:rFonts w:ascii="Times New Roman" w:hAnsi="Times New Roman" w:eastAsia="宋体"/>
          <w:sz w:val="21"/>
        </w:rPr>
        <w:t xml:space="preserve"> Fieser D, Dewanjee U, Hu A. HEA-Bench: an AI-agent-optimized calculator of high-entropy alloy and oxide descriptors and phase-prediction rules[J]. Materials, 2026, 19(14): 3075. DOI: 10.3390/ma19143075.</w:t>
      </w:r>
    </w:p>
    <w:p>
      <w:pPr>
        <w:spacing w:line="312" w:lineRule="auto"/>
        <w:ind w:left="480" w:leftChars="0" w:hanging="480" w:hangingChars="200"/>
      </w:pPr>
      <w:bookmarkStart w:id="1024" w:name="_Ref_ref024"/>
      <w:r>
        <w:rPr>
          <w:rFonts w:ascii="Times New Roman" w:hAnsi="Times New Roman" w:eastAsia="宋体"/>
          <w:sz w:val="21"/>
        </w:rPr>
        <w:t>[24]</w:t>
      </w:r>
      <w:bookmarkEnd w:id="1024"/>
      <w:r>
        <w:rPr>
          <w:rFonts w:ascii="Times New Roman" w:hAnsi="Times New Roman" w:eastAsia="宋体"/>
          <w:sz w:val="21"/>
        </w:rPr>
        <w:t xml:space="preserve"> Bugelnig K, Requena G. Dataset - SciVisContest - Materials Discovery Challenge - version 2025[DS/OL]. Zenodo, version v3. DOI: 10.5281/zenodo.15189444.</w:t>
      </w:r>
    </w:p>
    <w:p>
      <w:pPr>
        <w:spacing w:line="312" w:lineRule="auto"/>
        <w:ind w:left="480" w:leftChars="0" w:hanging="480" w:hangingChars="200"/>
      </w:pPr>
      <w:bookmarkStart w:id="1025" w:name="_Ref_ref025"/>
      <w:r>
        <w:rPr>
          <w:rFonts w:ascii="Times New Roman" w:hAnsi="Times New Roman" w:eastAsia="宋体"/>
          <w:sz w:val="21"/>
        </w:rPr>
        <w:t>[25]</w:t>
      </w:r>
      <w:bookmarkEnd w:id="1025"/>
      <w:r>
        <w:rPr>
          <w:rFonts w:ascii="Times New Roman" w:hAnsi="Times New Roman" w:eastAsia="宋体"/>
          <w:sz w:val="21"/>
        </w:rPr>
        <w:t xml:space="preserve"> Zhang X, Li J, Shao B, et al. Fine-tuning small language models for reliable VASP INCAR generation[J]. Computational Materials Science, 2026.</w:t>
      </w:r>
    </w:p>
    <w:p>
      <w:pPr>
        <w:spacing w:line="312" w:lineRule="auto"/>
        <w:ind w:left="480" w:leftChars="0" w:hanging="480" w:hangingChars="200"/>
      </w:pPr>
      <w:bookmarkStart w:id="1026" w:name="_Ref_ref026"/>
      <w:r>
        <w:rPr>
          <w:rFonts w:ascii="Times New Roman" w:hAnsi="Times New Roman" w:eastAsia="宋体"/>
          <w:sz w:val="21"/>
        </w:rPr>
        <w:t>[26]</w:t>
      </w:r>
      <w:bookmarkEnd w:id="1026"/>
      <w:r>
        <w:rPr>
          <w:rFonts w:ascii="Times New Roman" w:hAnsi="Times New Roman" w:eastAsia="宋体"/>
          <w:sz w:val="21"/>
        </w:rPr>
        <w:t xml:space="preserve"> Deka P. From retrieval to typed decisions: calibrated system one models from biomedical sentence encoders[J]. Journal of Biomedical Informatics, 2026.</w:t>
      </w:r>
    </w:p>
    <w:p>
      <w:pPr>
        <w:spacing w:line="312" w:lineRule="auto"/>
        <w:ind w:left="480" w:leftChars="0" w:hanging="480" w:hangingChars="200"/>
      </w:pPr>
      <w:bookmarkStart w:id="1027" w:name="_Ref_ref027"/>
      <w:r>
        <w:rPr>
          <w:rFonts w:ascii="Times New Roman" w:hAnsi="Times New Roman" w:eastAsia="宋体"/>
          <w:sz w:val="21"/>
        </w:rPr>
        <w:t>[27]</w:t>
      </w:r>
      <w:bookmarkEnd w:id="1027"/>
      <w:r>
        <w:rPr>
          <w:rFonts w:ascii="Times New Roman" w:hAnsi="Times New Roman" w:eastAsia="宋体"/>
          <w:sz w:val="21"/>
        </w:rPr>
        <w:t xml:space="preserve"> Hou Z, Zhang J, Cai X, You K. What matters in on-policy distillation? A perspective on data efficiency and data selection[C]//Proceedings of the 2026 Conference on Empirical Methods in Natural Language Processing. 2026.</w:t>
      </w:r>
    </w:p>
    <w:p>
      <w:pPr>
        <w:spacing w:line="312" w:lineRule="auto"/>
        <w:ind w:left="480" w:leftChars="0" w:hanging="480" w:hangingChars="200"/>
      </w:pPr>
      <w:bookmarkStart w:id="1028" w:name="_Ref_ref028"/>
      <w:r>
        <w:rPr>
          <w:rFonts w:ascii="Times New Roman" w:hAnsi="Times New Roman" w:eastAsia="宋体"/>
          <w:sz w:val="21"/>
        </w:rPr>
        <w:t>[28]</w:t>
      </w:r>
      <w:bookmarkEnd w:id="1028"/>
      <w:r>
        <w:rPr>
          <w:rFonts w:ascii="Times New Roman" w:hAnsi="Times New Roman" w:eastAsia="宋体"/>
          <w:sz w:val="21"/>
        </w:rPr>
        <w:t xml:space="preserve"> Wang J, Lyu J, Cai Y, Wu S, Wang P. Beyond prompt count: how data shapes transfer in on-policy distillation[C]//Proceedings of the 2026 Conference on Empirical Methods in Natural Language Processing. 2026.</w:t>
      </w:r>
    </w:p>
    <w:p>
      <w:pPr>
        <w:spacing w:line="312" w:lineRule="auto"/>
        <w:ind w:left="480" w:leftChars="0" w:hanging="480" w:hangingChars="200"/>
      </w:pPr>
      <w:bookmarkStart w:id="1029" w:name="_Ref_ref029"/>
      <w:r>
        <w:rPr>
          <w:rFonts w:ascii="Times New Roman" w:hAnsi="Times New Roman" w:eastAsia="宋体"/>
          <w:sz w:val="21"/>
        </w:rPr>
        <w:t>[29]</w:t>
      </w:r>
      <w:bookmarkEnd w:id="1029"/>
      <w:r>
        <w:rPr>
          <w:rFonts w:ascii="Times New Roman" w:hAnsi="Times New Roman" w:eastAsia="宋体"/>
          <w:sz w:val="21"/>
        </w:rPr>
        <w:t xml:space="preserve"> Li Y, Zhang M, Shen D, Sun Y. IRDS: interpretable RLVR data selection via verifier-coupled sparse autoencoder coverage[C]//Proceedings of the 2026 Conference on Neural Information Processing Systems. 2026.</w:t>
      </w:r>
    </w:p>
    <w:p>
      <w:pPr>
        <w:spacing w:line="312" w:lineRule="auto"/>
        <w:ind w:left="480" w:leftChars="0" w:hanging="480" w:hangingChars="200"/>
      </w:pPr>
      <w:bookmarkStart w:id="1030" w:name="_Ref_ref030"/>
      <w:r>
        <w:rPr>
          <w:rFonts w:ascii="Times New Roman" w:hAnsi="Times New Roman" w:eastAsia="宋体"/>
          <w:sz w:val="21"/>
        </w:rPr>
        <w:t>[30]</w:t>
      </w:r>
      <w:bookmarkEnd w:id="1030"/>
      <w:r>
        <w:rPr>
          <w:rFonts w:ascii="Times New Roman" w:hAnsi="Times New Roman" w:eastAsia="宋体"/>
          <w:sz w:val="21"/>
        </w:rPr>
        <w:t xml:space="preserve"> Tan C, Zhang J. Applications of natural language processing and large language models in materials discovery[J]. npj Computational Materials, 2025, 11: 79.</w:t>
      </w:r>
    </w:p>
    <w:p>
      <w:pPr>
        <w:spacing w:line="312" w:lineRule="auto"/>
        <w:ind w:left="480" w:leftChars="0" w:hanging="480" w:hangingChars="200"/>
      </w:pPr>
      <w:bookmarkStart w:id="1031" w:name="_Ref_ref031"/>
      <w:r>
        <w:rPr>
          <w:rFonts w:ascii="Times New Roman" w:hAnsi="Times New Roman" w:eastAsia="宋体"/>
          <w:sz w:val="21"/>
        </w:rPr>
        <w:t>[31]</w:t>
      </w:r>
      <w:bookmarkEnd w:id="1031"/>
      <w:r>
        <w:rPr>
          <w:rFonts w:ascii="Times New Roman" w:hAnsi="Times New Roman" w:eastAsia="宋体"/>
          <w:sz w:val="21"/>
        </w:rPr>
        <w:t xml:space="preserve"> Gupta A, Liao W, Zhou Y, et al. Foundation models for materials discovery: current state and future directions[J]. npj Computational Materials, 2025, 11: 61.</w:t>
      </w:r>
    </w:p>
    <w:p>
      <w:pPr>
        <w:spacing w:line="312" w:lineRule="auto"/>
        <w:ind w:left="480" w:leftChars="0" w:hanging="480" w:hangingChars="200"/>
      </w:pPr>
      <w:bookmarkStart w:id="1032" w:name="_Ref_ref032"/>
      <w:r>
        <w:rPr>
          <w:rFonts w:ascii="Times New Roman" w:hAnsi="Times New Roman" w:eastAsia="宋体"/>
          <w:sz w:val="21"/>
        </w:rPr>
        <w:t>[32]</w:t>
      </w:r>
      <w:bookmarkEnd w:id="1032"/>
      <w:r>
        <w:rPr>
          <w:rFonts w:ascii="Times New Roman" w:hAnsi="Times New Roman" w:eastAsia="宋体"/>
          <w:sz w:val="21"/>
        </w:rPr>
        <w:t xml:space="preserve"> Yang C, Ma Y, Wang H, et al. Survey on knowledge distillation for large language models: methods, evaluation, and application[J]. ACM Computing Surveys, 2025, 57(8): 1-40.</w:t>
      </w:r>
    </w:p>
    <w:p>
      <w:pPr>
        <w:spacing w:line="312" w:lineRule="auto"/>
        <w:ind w:left="480" w:leftChars="0" w:hanging="480" w:hangingChars="200"/>
      </w:pPr>
      <w:bookmarkStart w:id="1033" w:name="_Ref_ref033"/>
      <w:r>
        <w:rPr>
          <w:rFonts w:ascii="Times New Roman" w:hAnsi="Times New Roman" w:eastAsia="宋体"/>
          <w:sz w:val="21"/>
        </w:rPr>
        <w:t>[33]</w:t>
      </w:r>
      <w:bookmarkEnd w:id="1033"/>
      <w:r>
        <w:rPr>
          <w:rFonts w:ascii="Times New Roman" w:hAnsi="Times New Roman" w:eastAsia="宋体"/>
          <w:sz w:val="21"/>
        </w:rPr>
        <w:t xml:space="preserve"> Wei J, Wang X, Schuurmans D, et al. Chain-of-thought prompting elicits reasoning in large language models[C]//Advances in Neural Information Processing Systems 35. 2022: 24824-24837.</w:t>
      </w:r>
    </w:p>
    <w:p>
      <w:pPr>
        <w:spacing w:line="312" w:lineRule="auto"/>
        <w:ind w:left="480" w:leftChars="0" w:hanging="480" w:hangingChars="200"/>
      </w:pPr>
      <w:bookmarkStart w:id="1034" w:name="_Ref_ref034"/>
      <w:r>
        <w:rPr>
          <w:rFonts w:ascii="Times New Roman" w:hAnsi="Times New Roman" w:eastAsia="宋体"/>
          <w:sz w:val="21"/>
        </w:rPr>
        <w:t>[34]</w:t>
      </w:r>
      <w:bookmarkEnd w:id="1034"/>
      <w:r>
        <w:rPr>
          <w:rFonts w:ascii="Times New Roman" w:hAnsi="Times New Roman" w:eastAsia="宋体"/>
          <w:sz w:val="21"/>
        </w:rPr>
        <w:t xml:space="preserve"> Ouyang L, Wu J, Jiang X, et al. Training language models to follow instructions with human feedback[C]//Advances in Neural Information Processing Systems 35. 2022: 27730-27744.</w:t>
      </w:r>
    </w:p>
    <w:p>
      <w:pPr>
        <w:spacing w:line="312" w:lineRule="auto"/>
        <w:ind w:left="480" w:leftChars="0" w:hanging="480" w:hangingChars="200"/>
      </w:pPr>
      <w:bookmarkStart w:id="1035" w:name="_Ref_ref035"/>
      <w:r>
        <w:rPr>
          <w:rFonts w:ascii="Times New Roman" w:hAnsi="Times New Roman" w:eastAsia="宋体"/>
          <w:sz w:val="21"/>
        </w:rPr>
        <w:t>[35]</w:t>
      </w:r>
      <w:bookmarkEnd w:id="1035"/>
      <w:r>
        <w:rPr>
          <w:rFonts w:ascii="Times New Roman" w:hAnsi="Times New Roman" w:eastAsia="宋体"/>
          <w:sz w:val="21"/>
        </w:rPr>
        <w:t xml:space="preserve"> Kaplan J, McCandlish S, Henighan T, et al. Scaling laws for neural language models[R]. OpenAI Technical Report, 2020.</w:t>
      </w:r>
    </w:p>
    <w:p>
      <w:pPr>
        <w:spacing w:line="312" w:lineRule="auto"/>
        <w:ind w:left="480" w:leftChars="0" w:hanging="480" w:hangingChars="200"/>
      </w:pPr>
      <w:bookmarkStart w:id="1036" w:name="_Ref_ref036"/>
      <w:r>
        <w:rPr>
          <w:rFonts w:ascii="Times New Roman" w:hAnsi="Times New Roman" w:eastAsia="宋体"/>
          <w:sz w:val="21"/>
        </w:rPr>
        <w:t>[36]</w:t>
      </w:r>
      <w:bookmarkEnd w:id="1036"/>
      <w:r>
        <w:rPr>
          <w:rFonts w:ascii="Times New Roman" w:hAnsi="Times New Roman" w:eastAsia="宋体"/>
          <w:sz w:val="21"/>
        </w:rPr>
        <w:t xml:space="preserve"> Park K, Wang J, Berg-Kirkpatrick T, et al. Grammar-aligned decoding[C]//Advances in Neural Information Processing Systems 37. 2024.</w:t>
      </w:r>
    </w:p>
    <w:p>
      <w:pPr>
        <w:spacing w:line="312" w:lineRule="auto"/>
        <w:ind w:left="480" w:leftChars="0" w:hanging="480" w:hangingChars="200"/>
      </w:pPr>
      <w:bookmarkStart w:id="1037" w:name="_Ref_ref037"/>
      <w:r>
        <w:rPr>
          <w:rFonts w:ascii="Times New Roman" w:hAnsi="Times New Roman" w:eastAsia="宋体"/>
          <w:sz w:val="21"/>
        </w:rPr>
        <w:t>[37]</w:t>
      </w:r>
      <w:bookmarkEnd w:id="1037"/>
      <w:r>
        <w:rPr>
          <w:rFonts w:ascii="Times New Roman" w:hAnsi="Times New Roman" w:eastAsia="宋体"/>
          <w:sz w:val="21"/>
        </w:rPr>
        <w:t xml:space="preserve"> Dong H, Xiong W, Goyal D, et al. RAFT: reward ranked finetuning for generative foundation model alignment[J]. Transactions on Machine Learning Research, 2023.</w:t>
      </w:r>
    </w:p>
    <w:p>
      <w:pPr>
        <w:spacing w:line="312" w:lineRule="auto"/>
        <w:ind w:left="480" w:leftChars="0" w:hanging="480" w:hangingChars="200"/>
      </w:pPr>
      <w:bookmarkStart w:id="1038" w:name="_Ref_ref038"/>
      <w:r>
        <w:rPr>
          <w:rFonts w:ascii="Times New Roman" w:hAnsi="Times New Roman" w:eastAsia="宋体"/>
          <w:sz w:val="21"/>
        </w:rPr>
        <w:t>[38]</w:t>
      </w:r>
      <w:bookmarkEnd w:id="1038"/>
      <w:r>
        <w:rPr>
          <w:rFonts w:ascii="Times New Roman" w:hAnsi="Times New Roman" w:eastAsia="宋体"/>
          <w:sz w:val="21"/>
        </w:rPr>
        <w:t xml:space="preserve"> Touvron H, Lavril T, Izacard G, et al. LLaMA: open and efficient foundation language models[R]. Meta AI Technical Report, 2023.</w:t>
      </w:r>
    </w:p>
    <w:p>
      <w:pPr>
        <w:spacing w:line="312" w:lineRule="auto"/>
        <w:ind w:left="480" w:leftChars="0" w:hanging="480" w:hangingChars="200"/>
      </w:pPr>
      <w:bookmarkStart w:id="1039" w:name="_Ref_ref039"/>
      <w:r>
        <w:rPr>
          <w:rFonts w:ascii="Times New Roman" w:hAnsi="Times New Roman" w:eastAsia="宋体"/>
          <w:sz w:val="21"/>
        </w:rPr>
        <w:t>[39]</w:t>
      </w:r>
      <w:bookmarkEnd w:id="1039"/>
      <w:r>
        <w:rPr>
          <w:rFonts w:ascii="Times New Roman" w:hAnsi="Times New Roman" w:eastAsia="宋体"/>
          <w:sz w:val="21"/>
        </w:rPr>
        <w:t xml:space="preserve"> Jiang A Q, Sablayrolles A, Mensch A, et al. Mistral 7B[R]. Mistral AI Technical Report, 2023.</w:t>
      </w:r>
    </w:p>
    <w:p>
      <w:pPr>
        <w:spacing w:line="312" w:lineRule="auto"/>
        <w:ind w:left="480" w:leftChars="0" w:hanging="480" w:hangingChars="200"/>
      </w:pPr>
      <w:bookmarkStart w:id="1040" w:name="_Ref_ref040"/>
      <w:r>
        <w:rPr>
          <w:rFonts w:ascii="Times New Roman" w:hAnsi="Times New Roman" w:eastAsia="宋体"/>
          <w:sz w:val="21"/>
        </w:rPr>
        <w:t>[40]</w:t>
      </w:r>
      <w:bookmarkEnd w:id="1040"/>
      <w:r>
        <w:rPr>
          <w:rFonts w:ascii="Times New Roman" w:hAnsi="Times New Roman" w:eastAsia="宋体"/>
          <w:sz w:val="21"/>
        </w:rPr>
        <w:t xml:space="preserve"> Zheng L, Chiang W L, Sheng Y, et al. Judging LLM-as-a-judge with MT-Bench and Chatbot Arena[C]//Advances in Neural Information Processing Systems 36. 2023.</w:t>
      </w:r>
    </w:p>
    <w:p>
      <w:pPr>
        <w:spacing w:line="312" w:lineRule="auto"/>
        <w:ind w:left="480" w:leftChars="0" w:hanging="480" w:hangingChars="200"/>
      </w:pPr>
      <w:bookmarkStart w:id="1041" w:name="_Ref_ref041"/>
      <w:r>
        <w:rPr>
          <w:rFonts w:ascii="Times New Roman" w:hAnsi="Times New Roman" w:eastAsia="宋体"/>
          <w:sz w:val="21"/>
        </w:rPr>
        <w:t>[41]</w:t>
      </w:r>
      <w:bookmarkEnd w:id="1041"/>
      <w:r>
        <w:rPr>
          <w:rFonts w:ascii="Times New Roman" w:hAnsi="Times New Roman" w:eastAsia="宋体"/>
          <w:sz w:val="21"/>
        </w:rPr>
        <w:t xml:space="preserve"> Yao S, Zhao J, Yu D, et al. ReAct: synergizing reasoning and acting in language models[C]//Proceedings of the Eleventh International Conference on Learning Representations. 2023.</w:t>
      </w:r>
    </w:p>
    <w:p>
      <w:pPr>
        <w:spacing w:line="312" w:lineRule="auto"/>
        <w:ind w:left="480" w:leftChars="0" w:hanging="480" w:hangingChars="200"/>
      </w:pPr>
      <w:bookmarkStart w:id="1042" w:name="_Ref_ref042"/>
      <w:r>
        <w:rPr>
          <w:rFonts w:ascii="Times New Roman" w:hAnsi="Times New Roman" w:eastAsia="宋体"/>
          <w:sz w:val="21"/>
        </w:rPr>
        <w:t>[42]</w:t>
      </w:r>
      <w:bookmarkEnd w:id="1042"/>
      <w:r>
        <w:rPr>
          <w:rFonts w:ascii="Times New Roman" w:hAnsi="Times New Roman" w:eastAsia="宋体"/>
          <w:sz w:val="21"/>
        </w:rPr>
        <w:t xml:space="preserve"> Zhang Y, Wang S, Liang S, et al. Distilling LLM agent into small models with retrieval and code tools[C]//Proceedings of the 2025 Conference on Empirical Methods in Natural Language Processing. 2025.</w:t>
      </w:r>
    </w:p>
    <w:p>
      <w:pPr>
        <w:spacing w:line="312" w:lineRule="auto"/>
        <w:ind w:left="480" w:leftChars="0" w:hanging="480" w:hangingChars="200"/>
      </w:pPr>
      <w:bookmarkStart w:id="1043" w:name="_Ref_ref043"/>
      <w:r>
        <w:rPr>
          <w:rFonts w:ascii="Times New Roman" w:hAnsi="Times New Roman" w:eastAsia="宋体"/>
          <w:sz w:val="21"/>
        </w:rPr>
        <w:t>[43]</w:t>
      </w:r>
      <w:bookmarkEnd w:id="1043"/>
      <w:r>
        <w:rPr>
          <w:rFonts w:ascii="Times New Roman" w:hAnsi="Times New Roman" w:eastAsia="宋体"/>
          <w:sz w:val="21"/>
        </w:rPr>
        <w:t xml:space="preserve"> Wang B, Xu C, Zhao X, Ouyang L, et al. MinerU: an open-source solution for precise document content extraction[EB/OL]. arXiv:2409.18839, 2024.（预印本，该工具为开源项目，代码见 opendatalab/MinerU）</w:t>
      </w:r>
    </w:p>
    <w:p>
      <w:pPr>
        <w:spacing w:line="312" w:lineRule="auto"/>
        <w:ind w:left="480" w:leftChars="0" w:hanging="480" w:hangingChars="200"/>
      </w:pPr>
      <w:bookmarkStart w:id="1044" w:name="_Ref_ref044"/>
      <w:r>
        <w:rPr>
          <w:rFonts w:ascii="Times New Roman" w:hAnsi="Times New Roman" w:eastAsia="宋体"/>
          <w:sz w:val="21"/>
        </w:rPr>
        <w:t>[44]</w:t>
      </w:r>
      <w:bookmarkEnd w:id="1044"/>
      <w:r>
        <w:rPr>
          <w:rFonts w:ascii="Times New Roman" w:hAnsi="Times New Roman" w:eastAsia="宋体"/>
          <w:sz w:val="21"/>
        </w:rPr>
        <w:t xml:space="preserve"> Grounded verification of chemical and materials reasoning: detection is the bottleneck[EB/OL]. arXiv:2607.17417, 2026.（预印本）</w:t>
      </w:r>
    </w:p>
    <w:p>
      <w:pPr>
        <w:spacing w:line="312" w:lineRule="auto"/>
        <w:ind w:left="480" w:leftChars="0" w:hanging="480" w:hangingChars="200"/>
      </w:pPr>
      <w:bookmarkStart w:id="1045" w:name="_Ref_ref045"/>
      <w:r>
        <w:rPr>
          <w:rFonts w:ascii="Times New Roman" w:hAnsi="Times New Roman" w:eastAsia="宋体"/>
          <w:sz w:val="21"/>
        </w:rPr>
        <w:t>[45]</w:t>
      </w:r>
      <w:bookmarkEnd w:id="1045"/>
      <w:r>
        <w:rPr>
          <w:rFonts w:ascii="Times New Roman" w:hAnsi="Times New Roman" w:eastAsia="宋体"/>
          <w:sz w:val="21"/>
        </w:rPr>
        <w:t xml:space="preserve"> LitMOF: an LLM multi-agent for literature-validated metal-organic frameworks database correction and expansion[EB/OL]. arXiv:2512.01693, 2025.（预印本）</w:t>
      </w:r>
    </w:p>
    <w:p>
      <w:pPr>
        <w:spacing w:line="312" w:lineRule="auto"/>
        <w:ind w:left="480" w:leftChars="0" w:hanging="480" w:hangingChars="200"/>
      </w:pPr>
      <w:bookmarkStart w:id="1046" w:name="_Ref_ref046"/>
      <w:r>
        <w:rPr>
          <w:rFonts w:ascii="Times New Roman" w:hAnsi="Times New Roman" w:eastAsia="宋体"/>
          <w:sz w:val="21"/>
        </w:rPr>
        <w:t>[46]</w:t>
      </w:r>
      <w:bookmarkEnd w:id="1046"/>
      <w:r>
        <w:rPr>
          <w:rFonts w:ascii="Times New Roman" w:hAnsi="Times New Roman" w:eastAsia="宋体"/>
          <w:sz w:val="21"/>
        </w:rPr>
        <w:t xml:space="preserve"> OG-RAG: ontology-grounded retrieval-augmented generation for large language models[EB/OL]. arXiv:2412.15235, 2024.（预印本）</w:t>
      </w:r>
    </w:p>
    <w:p>
      <w:pPr>
        <w:spacing w:line="312" w:lineRule="auto"/>
        <w:ind w:left="480" w:leftChars="0" w:hanging="480" w:hangingChars="200"/>
      </w:pPr>
      <w:bookmarkStart w:id="1047" w:name="_Ref_ref047"/>
      <w:r>
        <w:rPr>
          <w:rFonts w:ascii="Times New Roman" w:hAnsi="Times New Roman" w:eastAsia="宋体"/>
          <w:sz w:val="21"/>
        </w:rPr>
        <w:t>[47]</w:t>
      </w:r>
      <w:bookmarkEnd w:id="1047"/>
      <w:r>
        <w:rPr>
          <w:rFonts w:ascii="Times New Roman" w:hAnsi="Times New Roman" w:eastAsia="宋体"/>
          <w:sz w:val="21"/>
        </w:rPr>
        <w:t xml:space="preserve"> Can small language models use what they retrieve? An empirical study of retrieval utilization across model scale[EB/OL]. arXiv:2603.11513, 2026.（预印本）</w:t>
      </w:r>
    </w:p>
    <w:p>
      <w:pPr>
        <w:spacing w:line="312" w:lineRule="auto"/>
        <w:ind w:left="480" w:leftChars="0" w:hanging="480" w:hangingChars="200"/>
      </w:pPr>
      <w:bookmarkStart w:id="1048" w:name="_Ref_ref048"/>
      <w:r>
        <w:rPr>
          <w:rFonts w:ascii="Times New Roman" w:hAnsi="Times New Roman" w:eastAsia="宋体"/>
          <w:sz w:val="21"/>
        </w:rPr>
        <w:t>[48]</w:t>
      </w:r>
      <w:bookmarkEnd w:id="1048"/>
      <w:r>
        <w:rPr>
          <w:rFonts w:ascii="Times New Roman" w:hAnsi="Times New Roman" w:eastAsia="宋体"/>
          <w:sz w:val="21"/>
        </w:rPr>
        <w:t xml:space="preserve"> HalluGuard: evidence-grounded small reasoning models to mitigate hallucinations in retrieval-augmented generation[EB/OL]. arXiv:2510.00880, 2025.（预印本）</w:t>
      </w:r>
    </w:p>
    <w:p>
      <w:pPr>
        <w:spacing w:line="312" w:lineRule="auto"/>
        <w:ind w:left="480" w:leftChars="0" w:hanging="480" w:hangingChars="200"/>
      </w:pPr>
      <w:bookmarkStart w:id="1049" w:name="_Ref_ref049"/>
      <w:r>
        <w:rPr>
          <w:rFonts w:ascii="Times New Roman" w:hAnsi="Times New Roman" w:eastAsia="宋体"/>
          <w:sz w:val="21"/>
        </w:rPr>
        <w:t>[49]</w:t>
      </w:r>
      <w:bookmarkEnd w:id="1049"/>
      <w:r>
        <w:rPr>
          <w:rFonts w:ascii="Times New Roman" w:hAnsi="Times New Roman" w:eastAsia="宋体"/>
          <w:sz w:val="21"/>
        </w:rPr>
        <w:t xml:space="preserve"> Ontology-conformal recognition of materials entities using language models[EB/OL]. arXiv:2408.04661, 2024.（预印本）</w:t>
      </w:r>
    </w:p>
    <w:p>
      <w:pPr>
        <w:spacing w:line="312" w:lineRule="auto"/>
        <w:ind w:left="480" w:leftChars="0" w:hanging="480" w:hangingChars="200"/>
      </w:pPr>
      <w:bookmarkStart w:id="1050" w:name="_Ref_ref050"/>
      <w:r>
        <w:rPr>
          <w:rFonts w:ascii="Times New Roman" w:hAnsi="Times New Roman" w:eastAsia="宋体"/>
          <w:sz w:val="21"/>
        </w:rPr>
        <w:t>[50]</w:t>
      </w:r>
      <w:bookmarkEnd w:id="1050"/>
      <w:r>
        <w:rPr>
          <w:rFonts w:ascii="Times New Roman" w:hAnsi="Times New Roman" w:eastAsia="宋体"/>
          <w:sz w:val="21"/>
        </w:rPr>
        <w:t xml:space="preserve"> Typed decisions without generation: a survey[EB/OL]. arXiv:2609.32160, 2026.（预印本）</w:t>
      </w:r>
    </w:p>
    <w:p>
      <w:pPr>
        <w:spacing w:line="312" w:lineRule="auto"/>
        <w:ind w:left="480" w:leftChars="0" w:hanging="480" w:hangingChars="200"/>
      </w:pPr>
      <w:bookmarkStart w:id="1051" w:name="_Ref_ref051"/>
      <w:r>
        <w:rPr>
          <w:rFonts w:ascii="Times New Roman" w:hAnsi="Times New Roman" w:eastAsia="宋体"/>
          <w:sz w:val="21"/>
        </w:rPr>
        <w:t>[51]</w:t>
      </w:r>
      <w:bookmarkEnd w:id="1051"/>
      <w:r>
        <w:rPr>
          <w:rFonts w:ascii="Times New Roman" w:hAnsi="Times New Roman" w:eastAsia="宋体"/>
          <w:sz w:val="21"/>
        </w:rPr>
        <w:t xml:space="preserve"> Cao Y, Wang L, Chen J, et al. ARIA: a causal-aware framework for rescuing LLM reasoning in trustworthy materials discovery[C]//Proceedings of the 32nd ACM SIGKDD Conference on Knowledge Discovery and Data Mining. 2026.</w:t>
      </w:r>
    </w:p>
    <w:p>
      <w:pPr>
        <w:spacing w:line="312" w:lineRule="auto"/>
        <w:ind w:left="480" w:leftChars="0" w:hanging="480" w:hangingChars="200"/>
      </w:pPr>
      <w:bookmarkStart w:id="1052" w:name="_Ref_ref052"/>
      <w:r>
        <w:rPr>
          <w:rFonts w:ascii="Times New Roman" w:hAnsi="Times New Roman" w:eastAsia="宋体"/>
          <w:sz w:val="21"/>
        </w:rPr>
        <w:t>[52]</w:t>
      </w:r>
      <w:bookmarkEnd w:id="1052"/>
      <w:r>
        <w:rPr>
          <w:rFonts w:ascii="Times New Roman" w:hAnsi="Times New Roman" w:eastAsia="宋体"/>
          <w:sz w:val="21"/>
        </w:rPr>
        <w:t xml:space="preserve"> Bootstrapping knowledge acquisition from domain text with a seed ontology and small language models[C]//Springer, 2026.</w:t>
      </w:r>
    </w:p>
    <w:p>
      <w:pPr>
        <w:spacing w:line="312" w:lineRule="auto"/>
        <w:ind w:left="480" w:leftChars="0" w:hanging="480" w:hangingChars="200"/>
      </w:pPr>
      <w:bookmarkStart w:id="1053" w:name="_Ref_ref053"/>
      <w:r>
        <w:rPr>
          <w:rFonts w:ascii="Times New Roman" w:hAnsi="Times New Roman" w:eastAsia="宋体"/>
          <w:sz w:val="21"/>
        </w:rPr>
        <w:t>[53]</w:t>
      </w:r>
      <w:bookmarkEnd w:id="1053"/>
      <w:r>
        <w:rPr>
          <w:rFonts w:ascii="Times New Roman" w:hAnsi="Times New Roman" w:eastAsia="宋体"/>
          <w:sz w:val="21"/>
        </w:rPr>
        <w:t xml:space="preserve"> DRAG: distilling RAG for SLMs from LLMs to transfer knowledge and mitigate hallucination via evidence and graph-based distillation[EB/OL]. arXiv:2506.01954, 2025.（预印本）</w:t>
      </w:r>
    </w:p>
    <w:p>
      <w:pPr>
        <w:spacing w:line="312" w:lineRule="auto"/>
        <w:ind w:left="480" w:leftChars="0" w:hanging="480" w:hangingChars="200"/>
      </w:pPr>
      <w:bookmarkStart w:id="1054" w:name="_Ref_ref054"/>
      <w:r>
        <w:rPr>
          <w:rFonts w:ascii="Times New Roman" w:hAnsi="Times New Roman" w:eastAsia="宋体"/>
          <w:sz w:val="21"/>
        </w:rPr>
        <w:t>[54]</w:t>
      </w:r>
      <w:bookmarkEnd w:id="1054"/>
      <w:r>
        <w:rPr>
          <w:rFonts w:ascii="Times New Roman" w:hAnsi="Times New Roman" w:eastAsia="宋体"/>
          <w:sz w:val="21"/>
        </w:rPr>
        <w:t xml:space="preserve"> EGT-KG: evidence-grounded typed KG retrieval for practical scientific QA with small language models[EB/OL]. arXiv:2609.00479, 2026.（预印本）</w:t>
      </w:r>
    </w:p>
    <w:p>
      <w:pPr>
        <w:spacing w:line="312" w:lineRule="auto"/>
        <w:ind w:left="480" w:leftChars="0" w:hanging="480" w:hangingChars="200"/>
      </w:pPr>
      <w:bookmarkStart w:id="1055" w:name="_Ref_ref055"/>
      <w:r>
        <w:rPr>
          <w:rFonts w:ascii="Times New Roman" w:hAnsi="Times New Roman" w:eastAsia="宋体"/>
          <w:sz w:val="21"/>
        </w:rPr>
        <w:t>[55]</w:t>
      </w:r>
      <w:bookmarkEnd w:id="1055"/>
      <w:r>
        <w:rPr>
          <w:rFonts w:ascii="Times New Roman" w:hAnsi="Times New Roman" w:eastAsia="宋体"/>
          <w:sz w:val="21"/>
        </w:rPr>
        <w:t xml:space="preserve"> Materials dual-source knowledge retrieval-augmented generation for local large language models in photocatalysts[J]. Journal of Chemical Information and Modeling, 2025. DOI: 10.1021/acs.jcim.5c01941.</w:t>
      </w:r>
    </w:p>
    <w:sectPr w:rsidR="00FC693F" w:rsidRPr="0006063C" w:rsidSect="00034616">
      <w:footerReference w:type="default" r:id="rId10"/>
      <w:pgSz w:w="11906" w:h="16838"/>
      <w:pgMar w:top="1440" w:right="1797" w:bottom="1440" w:left="179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面向材料文献问答的条件可比 RAG 与小模型蒸馏方法研究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