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eastAsia="黑体"/>
          <w:b/>
          <w:color w:val="1B3A52"/>
          <w:sz w:val="40"/>
        </w:rPr>
        <w:t>硕士学位论文开题报告</w:t>
      </w:r>
    </w:p>
    <w:p>
      <w:pPr>
        <w:spacing w:before="320" w:after="120"/>
      </w:pPr>
      <w:r>
        <w:rPr>
          <w:rFonts w:ascii="Times New Roman" w:hAnsi="Times New Roman" w:eastAsia="黑体"/>
          <w:b/>
          <w:color w:val="1B3A52"/>
          <w:sz w:val="30"/>
        </w:rPr>
        <w:t>材料知识冲突的识别与消解：面向可信材料推理的冲突感知方法</w:t>
      </w:r>
    </w:p>
    <w:p>
      <w:pPr>
        <w:spacing w:after="80"/>
        <w:ind w:firstLine="420"/>
      </w:pPr>
      <w:r>
        <w:rPr>
          <w:rFonts w:ascii="Times New Roman" w:hAnsi="Times New Roman" w:eastAsia="宋体"/>
          <w:b w:val="0"/>
          <w:color w:val="1A1A1A"/>
          <w:sz w:val="21"/>
        </w:rPr>
        <w:t>关键词：材料推理；知识冲突；跨数据库不一致；可信 AI；大语言模型</w:t>
      </w:r>
    </w:p>
    <w:p>
      <w:pPr>
        <w:jc w:val="center"/>
      </w:pPr>
      <w:r>
        <w:rPr>
          <w:rFonts w:ascii="Times New Roman" w:hAnsi="Times New Roman" w:eastAsia="宋体"/>
          <w:b w:val="0"/>
          <w:color w:val="1A1A1A"/>
          <w:sz w:val="21"/>
        </w:rPr>
        <w:t>学科专业：计算机科学与技术</w:t>
      </w:r>
    </w:p>
    <w:p>
      <w:pPr>
        <w:jc w:val="center"/>
      </w:pPr>
      <w:r>
        <w:rPr>
          <w:rFonts w:ascii="Times New Roman" w:hAnsi="Times New Roman" w:eastAsia="宋体"/>
          <w:b w:val="0"/>
          <w:color w:val="1A1A1A"/>
          <w:sz w:val="21"/>
        </w:rPr>
        <w:t>研究方向：大模型与材料智能设计</w:t>
      </w:r>
    </w:p>
    <w:p>
      <w:pPr>
        <w:jc w:val="center"/>
      </w:pPr>
      <w:r>
        <w:rPr>
          <w:rFonts w:ascii="Times New Roman" w:hAnsi="Times New Roman" w:eastAsia="宋体"/>
          <w:b w:val="0"/>
          <w:color w:val="1A1A1A"/>
          <w:sz w:val="21"/>
        </w:rPr>
        <w:t>报告日期：2026 年 10 月 18 日</w:t>
      </w:r>
    </w:p>
    <w:p>
      <w:pPr>
        <w:jc w:val="center"/>
      </w:pPr>
      <w:r>
        <w:rPr>
          <w:rFonts w:ascii="Times New Roman" w:hAnsi="Times New Roman" w:eastAsia="宋体"/>
          <w:b w:val="0"/>
          <w:color w:val="1A1A1A"/>
          <w:sz w:val="21"/>
        </w:rPr>
        <w:t>工作语言：中文</w:t>
      </w:r>
    </w:p>
    <w:p>
      <w:pPr>
        <w:spacing w:before="320" w:after="120"/>
      </w:pPr>
      <w:r>
        <w:rPr>
          <w:rFonts w:ascii="Times New Roman" w:hAnsi="Times New Roman" w:eastAsia="黑体"/>
          <w:b/>
          <w:color w:val="1B3A52"/>
          <w:sz w:val="30"/>
        </w:rPr>
        <w:t>摘要</w:t>
      </w:r>
    </w:p>
    <w:p>
      <w:pPr>
        <w:spacing w:after="80"/>
        <w:ind w:firstLine="420"/>
      </w:pPr>
      <w:r>
        <w:rPr>
          <w:rFonts w:ascii="Times New Roman" w:hAnsi="Times New Roman" w:eastAsia="宋体"/>
          <w:b w:val="0"/>
          <w:color w:val="1A1A1A"/>
          <w:sz w:val="21"/>
        </w:rPr>
        <w:t>材料知识从来不是单一来源。同一个化合物，Materials Project、OQMD、AFLOW 与 JARVIS-DFT 可能给出不同的形成能、不同的带隙，甚至不同的稳定性判定。已有对 62,803 个跨库共有成分的比对显示，约 17%—18% 的化合物在一个数据库中被判定在凸包上、在另一个中却在凸包之上；7%—9% 的化合物在两个数据库之间发生金属/半导体翻转 [1]。大语言模型正是在这些互相矛盾的数据上训练、并依赖它们做推理，但「模型遇到冲突时会怎么做」在材料领域从未被系统研究。</w:t>
      </w:r>
    </w:p>
    <w:p>
      <w:pPr>
        <w:spacing w:after="80"/>
        <w:ind w:firstLine="420"/>
      </w:pPr>
      <w:r>
        <w:rPr>
          <w:rFonts w:ascii="Times New Roman" w:hAnsi="Times New Roman" w:eastAsia="宋体"/>
          <w:b w:val="0"/>
          <w:color w:val="1A1A1A"/>
          <w:sz w:val="21"/>
        </w:rPr>
        <w:t>通用领域已经有成熟的知识冲突研究：ConflictBank、WhoQA、KC-Bench 与 TRACK 分别从训练期冲突、检索期冲突、智能体多源冲突与多步推理冲突四个角度建立了基准与评测协议 [2–5]。材料领域没有对应的基准，也没有针对材料冲突结构的分析方法。</w:t>
      </w:r>
    </w:p>
    <w:p>
      <w:pPr>
        <w:spacing w:after="80"/>
        <w:ind w:firstLine="420"/>
      </w:pPr>
      <w:r>
        <w:rPr>
          <w:rFonts w:ascii="Times New Roman" w:hAnsi="Times New Roman" w:eastAsia="宋体"/>
          <w:b w:val="0"/>
          <w:color w:val="1A1A1A"/>
          <w:sz w:val="21"/>
        </w:rPr>
        <w:t>本课题填补这一空白。具体而言：（1）建立材料知识冲突的类型学，区分数据库间冲突、时间冲突（旧文献与新计算）与粒度冲突（计算与实验），其中时间冲突依托课题组已有的</w:t>
      </w:r>
      <w:r>
        <w:rPr>
          <w:rFonts w:ascii="Times New Roman" w:hAnsi="Times New Roman" w:eastAsia="宋体"/>
          <w:b/>
          <w:color w:val="1A1A1A"/>
          <w:sz w:val="21"/>
        </w:rPr>
        <w:t>约 2 万篇含发表年份的全文文献库</w:t>
      </w:r>
      <w:r>
        <w:rPr>
          <w:rFonts w:ascii="Times New Roman" w:hAnsi="Times New Roman" w:eastAsia="宋体"/>
          <w:b w:val="0"/>
          <w:color w:val="1A1A1A"/>
          <w:sz w:val="21"/>
        </w:rPr>
        <w:t>构造；（2）基于四个公开数据库的交叉匹配构建冲突基准，并给出可复核的冲突判定规则；（3）系统评测主流大模型在冲突下的行为——是选边、报告冲突，还是回避；（4）提出两阶段冲突感知推理方法：CACG 按物理条件分组，CSCR 学习各来源判定倾向的条件依赖并输出可校准的后验裁决。</w:t>
      </w:r>
    </w:p>
    <w:p>
      <w:pPr>
        <w:spacing w:after="80"/>
        <w:ind w:firstLine="420"/>
      </w:pPr>
      <w:r>
        <w:rPr>
          <w:rFonts w:ascii="Times New Roman" w:hAnsi="Times New Roman" w:eastAsia="宋体"/>
          <w:b w:val="0"/>
          <w:color w:val="1A1A1A"/>
          <w:sz w:val="21"/>
        </w:rPr>
        <w:t>预期贡献：首个材料知识冲突基准（覆盖三类冲突）；材料冲突结构（而非通用语义冲突）的分析框架；可训练的 CACG+CSCR 冲突处理方法与可校准的裁决基线。</w:t>
      </w:r>
    </w:p>
    <w:p>
      <w:pPr>
        <w:spacing w:before="320" w:after="120"/>
      </w:pPr>
      <w:r>
        <w:rPr>
          <w:rFonts w:ascii="Times New Roman" w:hAnsi="Times New Roman" w:eastAsia="黑体"/>
          <w:b/>
          <w:color w:val="1B3A52"/>
          <w:sz w:val="30"/>
        </w:rPr>
        <w:t>1 研究背景与意义</w:t>
      </w:r>
    </w:p>
    <w:p>
      <w:pPr>
        <w:spacing w:before="200" w:after="80"/>
      </w:pPr>
      <w:r>
        <w:rPr>
          <w:rFonts w:ascii="Times New Roman" w:hAnsi="Times New Roman" w:eastAsia="黑体"/>
          <w:b/>
          <w:color w:val="1B3A52"/>
          <w:sz w:val="23"/>
        </w:rPr>
        <w:t>1.1 材料知识的多源性与不一致</w:t>
      </w:r>
    </w:p>
    <w:p>
      <w:pPr>
        <w:spacing w:after="80"/>
        <w:ind w:firstLine="420"/>
      </w:pPr>
      <w:r>
        <w:rPr>
          <w:rFonts w:ascii="Times New Roman" w:hAnsi="Times New Roman" w:eastAsia="宋体"/>
          <w:b w:val="0"/>
          <w:color w:val="1A1A1A"/>
          <w:sz w:val="21"/>
        </w:rPr>
        <w:t>材料数据分散在多个公开数据库中。Materials Project、OQMD、AFLOW 与 JARVIS-DFT 都运行密度泛函理论，但选择不同：Materials Project 使用 PBE 与 PBE+U，部分条目用 r2SCAN；JARVIS-DFT 使用 OptB88vdW 且不加 Hubbard U；AFLOW 与 OQMD 使用 PBE 并对部分过渡金属加 U [1]。</w:t>
      </w:r>
    </w:p>
    <w:p>
      <w:pPr>
        <w:spacing w:after="80"/>
        <w:ind w:firstLine="420"/>
      </w:pPr>
      <w:r>
        <w:rPr>
          <w:rFonts w:ascii="Times New Roman" w:hAnsi="Times New Roman" w:eastAsia="宋体"/>
          <w:b w:val="0"/>
          <w:color w:val="1A1A1A"/>
          <w:sz w:val="21"/>
        </w:rPr>
        <w:t>这些选择带来系统性差异。对 34,422 个 MP 与 JARVIS 共有成分，一半的带隙差异在 0.01 eV 以内（很多是双方都判为金属的情形），但在都有带隙的成分上平均相差 0.31 eV；8.5% 的成分带隙差异超过 0.5 eV；7.3% 的成分被一个数据库判为金属、另一个判为半导体。稳定性判定更脆弱：MP 与 OQMD 共有的 43,064 个成分中，17.3% 在一个库里在凸包上、在另一个库里在凸包之上。这些冲突不是错误，而是建模选择的结果——但它们对下游使用者而言就是「同一个问题有两个答案」[1]。同类结论在同行评审文献中已有系统报告：Hegde 等对 AFLOW、Materials Project 与 OQMD 的 DFT 不确定性做过量化比较 [13]。[1] 可视为该方向的更新版数据，二者一致。</w:t>
      </w:r>
    </w:p>
    <w:p>
      <w:pPr>
        <w:spacing w:before="200" w:after="80"/>
      </w:pPr>
      <w:r>
        <w:rPr>
          <w:rFonts w:ascii="Times New Roman" w:hAnsi="Times New Roman" w:eastAsia="黑体"/>
          <w:b/>
          <w:color w:val="1B3A52"/>
          <w:sz w:val="23"/>
        </w:rPr>
        <w:t>1.2 大模型站在冲突之上</w:t>
      </w:r>
    </w:p>
    <w:p>
      <w:pPr>
        <w:spacing w:after="80"/>
        <w:ind w:firstLine="420"/>
      </w:pPr>
      <w:r>
        <w:rPr>
          <w:rFonts w:ascii="Times New Roman" w:hAnsi="Times New Roman" w:eastAsia="宋体"/>
          <w:b w:val="0"/>
          <w:color w:val="1A1A1A"/>
          <w:sz w:val="21"/>
        </w:rPr>
        <w:t>大语言模型被越来越广泛地用于材料问答、性质预测与候选筛选。它的知识来自文献与网络文本，而这些文本本身引用了不同数据库、不同泛函、不同实验条件。于是模型面对的输入天然带有冲突：一段检索文本说某材料带隙 3.92 eV，另一段说 0.38 eV——后者不是笔误，而是 LiFePO₄ 在 MP（GGA+U）与 JARVIS（无 U）中的真实差异 [1]。</w:t>
      </w:r>
    </w:p>
    <w:p>
      <w:pPr>
        <w:spacing w:after="80"/>
        <w:ind w:firstLine="420"/>
      </w:pPr>
      <w:r>
        <w:rPr>
          <w:rFonts w:ascii="Times New Roman" w:hAnsi="Times New Roman" w:eastAsia="宋体"/>
          <w:b w:val="0"/>
          <w:color w:val="1A1A1A"/>
          <w:sz w:val="21"/>
        </w:rPr>
        <w:t>模型在这种情况下应该怎么做？理想的回答是：指出冲突、说明来源、给出条件依赖的结论。通用领域的研究已确认两点：其一，知识冲突会显著降低 RAG 场景下的模型表现 [3]（WhoQA 基准）；其二，在多步推理中，冲突会被逐步累积放大，即使提供了更新的事实模型仍可能沿旧路径作答 [5]（TRACK）。至于「模型是否倾向于采纳更流行或更靠前的证据」，本轮检索未见直接测量，故本报告不把它作为立论前提，而作为本文要测的第一项行为。这会直接损害材料决策——一个被错误判为稳定的候选会被送进实验，而真实原因是两个数据库的泛函不同。</w:t>
      </w:r>
    </w:p>
    <w:p>
      <w:pPr>
        <w:spacing w:before="200" w:after="80"/>
      </w:pPr>
      <w:r>
        <w:rPr>
          <w:rFonts w:ascii="Times New Roman" w:hAnsi="Times New Roman" w:eastAsia="黑体"/>
          <w:b/>
          <w:color w:val="1B3A52"/>
          <w:sz w:val="23"/>
        </w:rPr>
        <w:t>1.3 研究意义</w:t>
      </w:r>
    </w:p>
    <w:p>
      <w:pPr>
        <w:spacing w:after="80"/>
        <w:ind w:firstLine="420"/>
      </w:pPr>
      <w:r>
        <w:rPr>
          <w:rFonts w:ascii="Times New Roman" w:hAnsi="Times New Roman" w:eastAsia="宋体"/>
          <w:b/>
          <w:color w:val="1A1A1A"/>
          <w:sz w:val="21"/>
        </w:rPr>
        <w:t>理论意义。</w:t>
      </w:r>
      <w:r>
        <w:rPr>
          <w:rFonts w:ascii="Times New Roman" w:hAnsi="Times New Roman" w:eastAsia="宋体"/>
          <w:b w:val="0"/>
          <w:color w:val="1A1A1A"/>
          <w:sz w:val="21"/>
        </w:rPr>
        <w:t xml:space="preserve"> 材料冲突有独特的结构：它不是「事实矛盾」，而是「同一测量在不同条件下得到不同结果」。这使得冲突的判定不能简单照搬通用知识冲突的「对/错」二分，而需要引入条件元数据。本课题要把这一结构形式化，并给出可计算的冲突判定规则。</w:t>
      </w:r>
    </w:p>
    <w:p>
      <w:pPr>
        <w:spacing w:after="80"/>
        <w:ind w:firstLine="420"/>
      </w:pPr>
      <w:r>
        <w:rPr>
          <w:rFonts w:ascii="Times New Roman" w:hAnsi="Times New Roman" w:eastAsia="宋体"/>
          <w:b/>
          <w:color w:val="1A1A1A"/>
          <w:sz w:val="21"/>
        </w:rPr>
        <w:t>应用意义。</w:t>
      </w:r>
      <w:r>
        <w:rPr>
          <w:rFonts w:ascii="Times New Roman" w:hAnsi="Times New Roman" w:eastAsia="宋体"/>
          <w:b w:val="0"/>
          <w:color w:val="1A1A1A"/>
          <w:sz w:val="21"/>
        </w:rPr>
        <w:t xml:space="preserve"> 一个能报告冲突的材料助手，比一个自信但单一的助手更有用：它把「该选哪个数据库」这个判断交还给使用者，而不是替使用者隐藏。</w:t>
      </w:r>
    </w:p>
    <w:p>
      <w:pPr>
        <w:spacing w:before="320" w:after="120"/>
      </w:pPr>
      <w:r>
        <w:rPr>
          <w:rFonts w:ascii="Times New Roman" w:hAnsi="Times New Roman" w:eastAsia="黑体"/>
          <w:b/>
          <w:color w:val="1B3A52"/>
          <w:sz w:val="30"/>
        </w:rPr>
        <w:t>2 国内外研究现状</w:t>
      </w:r>
    </w:p>
    <w:p>
      <w:pPr>
        <w:spacing w:before="200" w:after="80"/>
      </w:pPr>
      <w:r>
        <w:rPr>
          <w:rFonts w:ascii="Times New Roman" w:hAnsi="Times New Roman" w:eastAsia="黑体"/>
          <w:b/>
          <w:color w:val="1B3A52"/>
          <w:sz w:val="23"/>
        </w:rPr>
        <w:t>2.1 国内研究现状</w:t>
      </w:r>
    </w:p>
    <w:p>
      <w:pPr>
        <w:spacing w:after="80"/>
        <w:ind w:firstLine="420"/>
      </w:pPr>
      <w:r>
        <w:rPr>
          <w:rFonts w:ascii="Times New Roman" w:hAnsi="Times New Roman" w:eastAsia="宋体"/>
          <w:b w:val="0"/>
          <w:color w:val="1A1A1A"/>
          <w:sz w:val="21"/>
        </w:rPr>
        <w:t>国内在材料基因工程框架下已建立高通量计算、高通量实验与材料大数据三大平台 [6]。在生成模型方向，刘章赫、王金兰等系统综述了目标性质导向的材料生成，并指出材料成分生成需要满足电中性、电负性匹配等隐含规则 [7]。这些工作为材料数据的规范化提供了基础，但没有处理「同一材料在不同来源下结论不同」这一问题。</w:t>
      </w:r>
    </w:p>
    <w:p>
      <w:pPr>
        <w:spacing w:after="80"/>
        <w:ind w:firstLine="420"/>
      </w:pPr>
      <w:r>
        <w:rPr>
          <w:rFonts w:ascii="Times New Roman" w:hAnsi="Times New Roman" w:eastAsia="宋体"/>
          <w:b w:val="0"/>
          <w:color w:val="1A1A1A"/>
          <w:sz w:val="21"/>
        </w:rPr>
        <w:t>在知识冲突方向，国内团队参与了通用冲突基准的构建与评测 [2]，但据本轮检索，尚未见到针对材料领域的专门工作。</w:t>
      </w:r>
    </w:p>
    <w:p>
      <w:pPr>
        <w:spacing w:before="200" w:after="80"/>
      </w:pPr>
      <w:r>
        <w:rPr>
          <w:rFonts w:ascii="Times New Roman" w:hAnsi="Times New Roman" w:eastAsia="黑体"/>
          <w:b/>
          <w:color w:val="1B3A52"/>
          <w:sz w:val="23"/>
        </w:rPr>
        <w:t>2.2 通用知识冲突研究</w:t>
      </w:r>
    </w:p>
    <w:p>
      <w:pPr>
        <w:spacing w:after="80"/>
        <w:ind w:firstLine="420"/>
      </w:pPr>
      <w:r>
        <w:rPr>
          <w:rFonts w:ascii="Times New Roman" w:hAnsi="Times New Roman" w:eastAsia="宋体"/>
          <w:b w:val="0"/>
          <w:color w:val="1A1A1A"/>
          <w:sz w:val="21"/>
        </w:rPr>
        <w:t>知识冲突指模型内部知识与外部证据、或不同外部证据之间相互矛盾。通用领域已经形成较完整的研究线：</w:t>
      </w:r>
    </w:p>
    <w:p>
      <w:pPr>
        <w:pStyle w:val="ListBullet"/>
        <w:spacing w:line="336" w:lineRule="auto" w:after="40"/>
      </w:pPr>
      <w:r>
        <w:rPr>
          <w:rFonts w:ascii="Times New Roman" w:hAnsi="Times New Roman" w:eastAsia="宋体"/>
          <w:b/>
          <w:color w:val="1A1A1A"/>
          <w:sz w:val="21"/>
        </w:rPr>
        <w:t>ConflictBank</w:t>
      </w:r>
      <w:r>
        <w:rPr>
          <w:rFonts w:ascii="Times New Roman" w:hAnsi="Times New Roman" w:eastAsia="宋体"/>
          <w:b w:val="0"/>
          <w:color w:val="1A1A1A"/>
          <w:sz w:val="21"/>
        </w:rPr>
        <w:t xml:space="preserve"> 构建了覆盖 misinformation、temporal、semantic 三类冲突的基准，含约 745 万 claim-evidence 对与约 55 万问答对，发现冲突显著影响模型可信度 [2]。</w:t>
      </w:r>
    </w:p>
    <w:p>
      <w:pPr>
        <w:pStyle w:val="ListBullet"/>
        <w:spacing w:line="336" w:lineRule="auto" w:after="40"/>
      </w:pPr>
      <w:r>
        <w:rPr>
          <w:rFonts w:ascii="Times New Roman" w:hAnsi="Times New Roman" w:eastAsia="宋体"/>
          <w:b/>
          <w:color w:val="1A1A1A"/>
          <w:sz w:val="21"/>
        </w:rPr>
        <w:t>WhoQA</w:t>
      </w:r>
      <w:r>
        <w:rPr>
          <w:rFonts w:ascii="Times New Roman" w:hAnsi="Times New Roman" w:eastAsia="宋体"/>
          <w:b w:val="0"/>
          <w:color w:val="1A1A1A"/>
          <w:sz w:val="21"/>
        </w:rPr>
        <w:t xml:space="preserve"> 通过同名实体的共享属性诱导自然冲突，发现当前模型对细微冲突不敏感，且冲突会显著降低 RAG 场景下的表现 [3]。</w:t>
      </w:r>
    </w:p>
    <w:p>
      <w:pPr>
        <w:pStyle w:val="ListBullet"/>
        <w:spacing w:line="336" w:lineRule="auto" w:after="40"/>
      </w:pPr>
      <w:r>
        <w:rPr>
          <w:rFonts w:ascii="Times New Roman" w:hAnsi="Times New Roman" w:eastAsia="宋体"/>
          <w:b/>
          <w:color w:val="1A1A1A"/>
          <w:sz w:val="21"/>
        </w:rPr>
        <w:t>KC-Bench</w:t>
      </w:r>
      <w:r>
        <w:rPr>
          <w:rFonts w:ascii="Times New Roman" w:hAnsi="Times New Roman" w:eastAsia="宋体"/>
          <w:b w:val="0"/>
          <w:color w:val="1A1A1A"/>
          <w:sz w:val="21"/>
        </w:rPr>
        <w:t xml:space="preserve"> 面向智能体，构造了世界知识冲突、输入不一致与多源时间冲突三类多轮任务，发现没有模型能在所有类型上稳定处理 [4]。</w:t>
      </w:r>
    </w:p>
    <w:p>
      <w:pPr>
        <w:pStyle w:val="ListBullet"/>
        <w:spacing w:line="336" w:lineRule="auto" w:after="40"/>
      </w:pPr>
      <w:r>
        <w:rPr>
          <w:rFonts w:ascii="Times New Roman" w:hAnsi="Times New Roman" w:eastAsia="宋体"/>
          <w:b/>
          <w:color w:val="1A1A1A"/>
          <w:sz w:val="21"/>
        </w:rPr>
        <w:t>TRACK</w:t>
      </w:r>
      <w:r>
        <w:rPr>
          <w:rFonts w:ascii="Times New Roman" w:hAnsi="Times New Roman" w:eastAsia="宋体"/>
          <w:b w:val="0"/>
          <w:color w:val="1A1A1A"/>
          <w:sz w:val="21"/>
        </w:rPr>
        <w:t xml:space="preserve"> 研究多步推理中冲突知识的传播，发现提供更新事实反而可能降低表现，且更新越多退化越严重 [5]。</w:t>
      </w:r>
    </w:p>
    <w:p>
      <w:pPr>
        <w:pStyle w:val="ListBullet"/>
        <w:spacing w:line="336" w:lineRule="auto" w:after="40"/>
      </w:pPr>
      <w:r>
        <w:rPr>
          <w:rFonts w:ascii="Times New Roman" w:hAnsi="Times New Roman" w:eastAsia="宋体"/>
          <w:b/>
          <w:color w:val="1A1A1A"/>
          <w:sz w:val="21"/>
        </w:rPr>
        <w:t>Kcr</w:t>
      </w:r>
      <w:r>
        <w:rPr>
          <w:rFonts w:ascii="Times New Roman" w:hAnsi="Times New Roman" w:eastAsia="宋体"/>
          <w:b w:val="0"/>
          <w:color w:val="1A1A1A"/>
          <w:sz w:val="21"/>
        </w:rPr>
        <w:t xml:space="preserve"> 用 RLVR 训练模型在冲突上下文中做逻辑一致性推理，7B 模型在复杂冲突裁决上超过部分闭源模型 [8]。</w:t>
      </w:r>
    </w:p>
    <w:p>
      <w:pPr>
        <w:spacing w:after="80"/>
        <w:ind w:firstLine="420"/>
      </w:pPr>
      <w:r>
        <w:rPr>
          <w:rFonts w:ascii="Times New Roman" w:hAnsi="Times New Roman" w:eastAsia="宋体"/>
          <w:b w:val="0"/>
          <w:color w:val="1A1A1A"/>
          <w:sz w:val="21"/>
        </w:rPr>
        <w:t>这些工作确立了两件事：冲突是普遍且有害的；冲突处理能力可以用基准测量。但它们都以百科、医疗、代码或数学为场景，冲突的「正确解」通常是唯一事实。</w:t>
      </w:r>
    </w:p>
    <w:p>
      <w:pPr>
        <w:spacing w:before="200" w:after="80"/>
      </w:pPr>
      <w:r>
        <w:rPr>
          <w:rFonts w:ascii="Times New Roman" w:hAnsi="Times New Roman" w:eastAsia="黑体"/>
          <w:b/>
          <w:color w:val="1B3A52"/>
          <w:sz w:val="23"/>
        </w:rPr>
        <w:t>2.3 材料领域的数据不一致与推理可靠性</w:t>
      </w:r>
    </w:p>
    <w:p>
      <w:pPr>
        <w:spacing w:after="80"/>
        <w:ind w:firstLine="420"/>
      </w:pPr>
      <w:r>
        <w:rPr>
          <w:rFonts w:ascii="Times New Roman" w:hAnsi="Times New Roman" w:eastAsia="宋体"/>
          <w:b w:val="0"/>
          <w:color w:val="1A1A1A"/>
          <w:sz w:val="21"/>
        </w:rPr>
        <w:t>材料领域对「数据不一致」有零散认识，但主要停留在数据工程层面。MATCOR 等工具用于跨数据库属性比对，指出了 ICSD 标识符与数据库条目并非一一对应这一基础困难 [9]。近期的跨库分析系统量化了带隙与凸包能量的差异，并定位到泛函与 U 值选择这一主因 [1]。</w:t>
      </w:r>
    </w:p>
    <w:p>
      <w:pPr>
        <w:spacing w:after="80"/>
        <w:ind w:firstLine="420"/>
      </w:pPr>
      <w:r>
        <w:rPr>
          <w:rFonts w:ascii="Times New Roman" w:hAnsi="Times New Roman" w:eastAsia="宋体"/>
          <w:b w:val="0"/>
          <w:color w:val="1A1A1A"/>
          <w:sz w:val="21"/>
        </w:rPr>
        <w:t>在推理可靠性方向，已有工作开始用物理规律检验模型输出。MatPCR 提出用程序化 oracle 检验衍射几何、凸包稳定性、带隙类别与磁化，定义了物理一致性率，并给出约束接地的自验证循环 [10]；另一项工作用数据库接地的方式检测与修复化学推理中的编造 [11]。这些工作检验的是「模型说的话是否符合物理」，而不是「当物理本身有多个版本时模型怎么选」。</w:t>
      </w:r>
    </w:p>
    <w:p>
      <w:pPr>
        <w:spacing w:before="200" w:after="80"/>
      </w:pPr>
      <w:r>
        <w:rPr>
          <w:rFonts w:ascii="Times New Roman" w:hAnsi="Times New Roman" w:eastAsia="黑体"/>
          <w:b/>
          <w:color w:val="1B3A52"/>
          <w:sz w:val="23"/>
        </w:rPr>
        <w:t>2.4 现有研究的空白</w:t>
      </w:r>
    </w:p>
    <w:p>
      <w:pPr>
        <w:spacing w:after="80"/>
        <w:ind w:firstLine="420"/>
      </w:pPr>
      <w:r>
        <w:rPr>
          <w:rFonts w:ascii="Times New Roman" w:hAnsi="Times New Roman" w:eastAsia="宋体"/>
          <w:b/>
          <w:color w:val="1A1A1A"/>
          <w:sz w:val="21"/>
        </w:rPr>
        <w:t>空白一：材料知识冲突没有被系统定义与测量。</w:t>
      </w:r>
      <w:r>
        <w:rPr>
          <w:rFonts w:ascii="Times New Roman" w:hAnsi="Times New Roman" w:eastAsia="宋体"/>
          <w:b w:val="0"/>
          <w:color w:val="1A1A1A"/>
          <w:sz w:val="21"/>
        </w:rPr>
        <w:t xml:space="preserve"> 通用冲突基准的冲突类型（错误信息、时间更新、语义歧义）无法直接覆盖材料冲突的主因——建模选择差异 [2–5]。跨库差异本身已有系统数据（如 Elpasolite 等基准数据集的来源与规模见 [12]，四库比对见 [1, 13]），但「把差异组织成可评测的冲突基准」尚无人做。据本轮检索，尚无材料专门的冲突基准。</w:t>
      </w:r>
    </w:p>
    <w:p>
      <w:pPr>
        <w:spacing w:after="80"/>
        <w:ind w:firstLine="420"/>
      </w:pPr>
      <w:r>
        <w:rPr>
          <w:rFonts w:ascii="Times New Roman" w:hAnsi="Times New Roman" w:eastAsia="宋体"/>
          <w:b/>
          <w:color w:val="1A1A1A"/>
          <w:sz w:val="21"/>
        </w:rPr>
        <w:t>空白二：材料冲突的「条件依赖」结构没有被利用。</w:t>
      </w:r>
      <w:r>
        <w:rPr>
          <w:rFonts w:ascii="Times New Roman" w:hAnsi="Times New Roman" w:eastAsia="宋体"/>
          <w:b w:val="0"/>
          <w:color w:val="1A1A1A"/>
          <w:sz w:val="21"/>
        </w:rPr>
        <w:t xml:space="preserve"> 材料的冲突答案往往各自正确，只是条件不同（泛函、温度、压力、合成路线）。一个只判断「谁对」的方法会误判；需要判断「在什么条件下哪个成立」。</w:t>
      </w:r>
    </w:p>
    <w:p>
      <w:pPr>
        <w:spacing w:after="80"/>
        <w:ind w:firstLine="420"/>
      </w:pPr>
      <w:r>
        <w:rPr>
          <w:rFonts w:ascii="Times New Roman" w:hAnsi="Times New Roman" w:eastAsia="宋体"/>
          <w:b/>
          <w:color w:val="1A1A1A"/>
          <w:sz w:val="21"/>
        </w:rPr>
        <w:t>空白三：冲突感知的材料推理方法没有被提出。</w:t>
      </w:r>
      <w:r>
        <w:rPr>
          <w:rFonts w:ascii="Times New Roman" w:hAnsi="Times New Roman" w:eastAsia="宋体"/>
          <w:b w:val="0"/>
          <w:color w:val="1A1A1A"/>
          <w:sz w:val="21"/>
        </w:rPr>
        <w:t xml:space="preserve"> 现有材料推理工作追求「给出正确答案」[10, 11]，没有把「报告分歧」作为一等输出。</w:t>
      </w:r>
    </w:p>
    <w:p>
      <w:pPr>
        <w:spacing w:before="320" w:after="120"/>
      </w:pPr>
      <w:r>
        <w:rPr>
          <w:rFonts w:ascii="Times New Roman" w:hAnsi="Times New Roman" w:eastAsia="黑体"/>
          <w:b/>
          <w:color w:val="1B3A52"/>
          <w:sz w:val="30"/>
        </w:rPr>
        <w:t>3 研究内容与目标</w:t>
      </w:r>
    </w:p>
    <w:p>
      <w:pPr>
        <w:spacing w:before="200" w:after="80"/>
      </w:pPr>
      <w:r>
        <w:rPr>
          <w:rFonts w:ascii="Times New Roman" w:hAnsi="Times New Roman" w:eastAsia="黑体"/>
          <w:b/>
          <w:color w:val="1B3A52"/>
          <w:sz w:val="23"/>
        </w:rPr>
        <w:t>3.1 研究目标</w:t>
      </w:r>
    </w:p>
    <w:p>
      <w:pPr>
        <w:spacing w:after="80"/>
        <w:ind w:firstLine="420"/>
      </w:pPr>
      <w:r>
        <w:rPr>
          <w:rFonts w:ascii="Times New Roman" w:hAnsi="Times New Roman" w:eastAsia="宋体"/>
          <w:b w:val="0"/>
          <w:color w:val="1A1A1A"/>
          <w:sz w:val="21"/>
        </w:rPr>
        <w:t>建立可复核的材料知识冲突基准，量化主流大模型在冲突下的行为，并给出一个能同时输出结论、分歧与条件的冲突感知推理方法。</w:t>
      </w:r>
    </w:p>
    <w:p>
      <w:pPr>
        <w:spacing w:before="200" w:after="80"/>
      </w:pPr>
      <w:r>
        <w:rPr>
          <w:rFonts w:ascii="Times New Roman" w:hAnsi="Times New Roman" w:eastAsia="黑体"/>
          <w:b/>
          <w:color w:val="1B3A52"/>
          <w:sz w:val="23"/>
        </w:rPr>
        <w:t>3.2 研究内容</w:t>
      </w:r>
    </w:p>
    <w:p>
      <w:pPr>
        <w:spacing w:after="80"/>
        <w:ind w:firstLine="420"/>
      </w:pPr>
      <w:r>
        <w:rPr>
          <w:rFonts w:ascii="Times New Roman" w:hAnsi="Times New Roman" w:eastAsia="宋体"/>
          <w:b/>
          <w:color w:val="1A1A1A"/>
          <w:sz w:val="21"/>
        </w:rPr>
        <w:t>内容一：材料知识冲突的类型学与判定规则。</w:t>
      </w:r>
      <w:r>
        <w:rPr>
          <w:rFonts w:ascii="Times New Roman" w:hAnsi="Times New Roman" w:eastAsia="宋体"/>
          <w:b w:val="0"/>
          <w:color w:val="1A1A1A"/>
          <w:sz w:val="21"/>
        </w:rPr>
        <w:t xml:space="preserve"> 区分三类冲突：数据库间冲突（同一成分在不同数据库的标签不同）、时间冲突（旧文献结论与新计算结果不同）、粒度冲突（计算与实验、不同实验条件之间）。为每类给出可计算的判定规则与最小证据要求。</w:t>
      </w:r>
    </w:p>
    <w:p>
      <w:pPr>
        <w:spacing w:after="80"/>
        <w:ind w:firstLine="420"/>
      </w:pPr>
      <w:r>
        <w:rPr>
          <w:rFonts w:ascii="Times New Roman" w:hAnsi="Times New Roman" w:eastAsia="宋体"/>
          <w:b/>
          <w:color w:val="1A1A1A"/>
          <w:sz w:val="21"/>
        </w:rPr>
        <w:t>内容二：冲突基准的构建。</w:t>
      </w:r>
      <w:r>
        <w:rPr>
          <w:rFonts w:ascii="Times New Roman" w:hAnsi="Times New Roman" w:eastAsia="宋体"/>
          <w:b w:val="0"/>
          <w:color w:val="1A1A1A"/>
          <w:sz w:val="21"/>
        </w:rPr>
        <w:t xml:space="preserve"> 基于 Materials Project、OQMD、AFLOW 与 JARVIS-DFT 的交叉匹配，构造冲突对与冲突组；为每组标注冲突类型、来源、条件元数据与「是否存在公认答案」。</w:t>
      </w:r>
    </w:p>
    <w:p>
      <w:pPr>
        <w:spacing w:after="80"/>
        <w:ind w:firstLine="420"/>
      </w:pPr>
      <w:r>
        <w:rPr>
          <w:rFonts w:ascii="Times New Roman" w:hAnsi="Times New Roman" w:eastAsia="宋体"/>
          <w:b/>
          <w:color w:val="1A1A1A"/>
          <w:sz w:val="21"/>
        </w:rPr>
        <w:t>内容三：模型行为的系统评测。</w:t>
      </w:r>
      <w:r>
        <w:rPr>
          <w:rFonts w:ascii="Times New Roman" w:hAnsi="Times New Roman" w:eastAsia="宋体"/>
          <w:b w:val="0"/>
          <w:color w:val="1A1A1A"/>
          <w:sz w:val="21"/>
        </w:rPr>
        <w:t xml:space="preserve"> 在冲突场景下评测主流大模型：是否检测到冲突、是否选边、选边依据是什么、是否报告不确定性。对比零样本、RAG、多数投票与「明确要求报告冲突」的提示。</w:t>
      </w:r>
    </w:p>
    <w:p>
      <w:pPr>
        <w:spacing w:after="80"/>
        <w:ind w:firstLine="420"/>
      </w:pPr>
      <w:r>
        <w:rPr>
          <w:rFonts w:ascii="Times New Roman" w:hAnsi="Times New Roman" w:eastAsia="宋体"/>
          <w:b/>
          <w:color w:val="1A1A1A"/>
          <w:sz w:val="21"/>
        </w:rPr>
        <w:t>内容四：冲突感知的推理方法（CACG + CSCR）。</w:t>
      </w:r>
      <w:r>
        <w:rPr>
          <w:rFonts w:ascii="Times New Roman" w:hAnsi="Times New Roman" w:eastAsia="宋体"/>
          <w:b w:val="0"/>
          <w:color w:val="1A1A1A"/>
          <w:sz w:val="21"/>
        </w:rPr>
        <w:t xml:space="preserve"> 设计一个两阶段流程：先用 CACG 按物理条件把证据分组，再用 CSCR 学习各来源判定倾向随成分与条件的变化，输出可校准的后验裁决概率，最终输出条件化多结论、分歧度与可校准的裁决分布。方法的核心是把冲突处理从「选一个」改为「先分离条件、再裁决残余」。</w:t>
      </w:r>
    </w:p>
    <w:p>
      <w:pPr>
        <w:spacing w:before="200" w:after="80"/>
      </w:pPr>
      <w:r>
        <w:rPr>
          <w:rFonts w:ascii="Times New Roman" w:hAnsi="Times New Roman" w:eastAsia="黑体"/>
          <w:b/>
          <w:color w:val="1B3A52"/>
          <w:sz w:val="23"/>
        </w:rPr>
        <w:t>3.3 可选项（工作量已评估，按剩余时间取舍）</w:t>
      </w:r>
    </w:p>
    <w:p>
      <w:pPr>
        <w:spacing w:after="80"/>
        <w:ind w:firstLine="420"/>
      </w:pPr>
      <w:r>
        <w:rPr>
          <w:rFonts w:ascii="Times New Roman" w:hAnsi="Times New Roman" w:eastAsia="宋体"/>
          <w:b w:val="0"/>
          <w:color w:val="1A1A1A"/>
          <w:sz w:val="21"/>
        </w:rPr>
        <w:t>以下三项</w:t>
      </w:r>
      <w:r>
        <w:rPr>
          <w:rFonts w:ascii="Times New Roman" w:hAnsi="Times New Roman" w:eastAsia="宋体"/>
          <w:b/>
          <w:color w:val="1A1A1A"/>
          <w:sz w:val="21"/>
        </w:rPr>
        <w:t>不属于必做范围</w:t>
      </w:r>
      <w:r>
        <w:rPr>
          <w:rFonts w:ascii="Times New Roman" w:hAnsi="Times New Roman" w:eastAsia="宋体"/>
          <w:b w:val="0"/>
          <w:color w:val="1A1A1A"/>
          <w:sz w:val="21"/>
        </w:rPr>
        <w:t>，也不影响主结论成立。列入的理由是：它们能实质增加论文厚度，但不增加算法复杂度，且在第 3—6 月任一时间点都能停止而不留下半成品。可选，意味着</w:t>
      </w:r>
      <w:r>
        <w:rPr>
          <w:rFonts w:ascii="Times New Roman" w:hAnsi="Times New Roman" w:eastAsia="宋体"/>
          <w:b/>
          <w:color w:val="1A1A1A"/>
          <w:sz w:val="21"/>
        </w:rPr>
        <w:t>没做完不构成缺陷，做完了是加分</w:t>
      </w:r>
      <w:r>
        <w:rPr>
          <w:rFonts w:ascii="Times New Roman" w:hAnsi="Times New Roman" w:eastAsia="宋体"/>
          <w:b w:val="0"/>
          <w:color w:val="1A1A1A"/>
          <w:sz w:val="21"/>
        </w:rPr>
        <w:t>。</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spacing w:before="40" w:after="40" w:line="276" w:lineRule="auto"/>
            </w:pPr>
            <w:r/>
            <w:r>
              <w:rPr>
                <w:rFonts w:ascii="Times New Roman" w:hAnsi="Times New Roman" w:eastAsia="宋体"/>
                <w:b/>
                <w:color w:val="1A1A1A"/>
                <w:sz w:val="18"/>
              </w:rPr>
              <w:t>可选项</w:t>
            </w:r>
          </w:p>
        </w:tc>
        <w:tc>
          <w:tcPr>
            <w:tcW w:type="dxa" w:w="1746"/>
          </w:tcPr>
          <w:p>
            <w:pPr>
              <w:spacing w:before="40" w:after="40" w:line="276" w:lineRule="auto"/>
            </w:pPr>
            <w:r/>
            <w:r>
              <w:rPr>
                <w:rFonts w:ascii="Times New Roman" w:hAnsi="Times New Roman" w:eastAsia="宋体"/>
                <w:b/>
                <w:color w:val="1A1A1A"/>
                <w:sz w:val="18"/>
              </w:rPr>
              <w:t>内容</w:t>
            </w:r>
          </w:p>
        </w:tc>
        <w:tc>
          <w:tcPr>
            <w:tcW w:type="dxa" w:w="1746"/>
          </w:tcPr>
          <w:p>
            <w:pPr>
              <w:spacing w:before="40" w:after="40" w:line="276" w:lineRule="auto"/>
            </w:pPr>
            <w:r/>
            <w:r>
              <w:rPr>
                <w:rFonts w:ascii="Times New Roman" w:hAnsi="Times New Roman" w:eastAsia="宋体"/>
                <w:b/>
                <w:color w:val="1A1A1A"/>
                <w:sz w:val="18"/>
              </w:rPr>
              <w:t>增量工作量</w:t>
            </w:r>
          </w:p>
        </w:tc>
        <w:tc>
          <w:tcPr>
            <w:tcW w:type="dxa" w:w="1746"/>
          </w:tcPr>
          <w:p>
            <w:pPr>
              <w:spacing w:before="40" w:after="40" w:line="276" w:lineRule="auto"/>
            </w:pPr>
            <w:r/>
            <w:r>
              <w:rPr>
                <w:rFonts w:ascii="Times New Roman" w:hAnsi="Times New Roman" w:eastAsia="宋体"/>
                <w:b/>
                <w:color w:val="1A1A1A"/>
                <w:sz w:val="18"/>
              </w:rPr>
              <w:t>若不做的后果</w:t>
            </w:r>
          </w:p>
        </w:tc>
        <w:tc>
          <w:tcPr>
            <w:tcW w:type="dxa" w:w="1746"/>
          </w:tcPr>
          <w:p>
            <w:pPr>
              <w:spacing w:before="40" w:after="40" w:line="276" w:lineRule="auto"/>
            </w:pPr>
            <w:r/>
            <w:r>
              <w:rPr>
                <w:rFonts w:ascii="Times New Roman" w:hAnsi="Times New Roman" w:eastAsia="宋体"/>
                <w:b/>
                <w:color w:val="1A1A1A"/>
                <w:sz w:val="18"/>
              </w:rPr>
              <w:t>建议启动时点</w:t>
            </w:r>
          </w:p>
        </w:tc>
      </w:tr>
      <w:tr>
        <w:tc>
          <w:tcPr>
            <w:tcW w:type="dxa" w:w="1746"/>
          </w:tcPr>
          <w:p>
            <w:pPr>
              <w:spacing w:before="40" w:after="40" w:line="276" w:lineRule="auto"/>
            </w:pPr>
            <w:r/>
            <w:r>
              <w:rPr>
                <w:rFonts w:ascii="Times New Roman" w:hAnsi="Times New Roman" w:eastAsia="宋体"/>
                <w:b/>
                <w:color w:val="1A1A1A"/>
                <w:sz w:val="18"/>
              </w:rPr>
              <w:t>O1 扩冲突类型</w:t>
            </w:r>
          </w:p>
        </w:tc>
        <w:tc>
          <w:tcPr>
            <w:tcW w:type="dxa" w:w="1746"/>
          </w:tcPr>
          <w:p>
            <w:pPr>
              <w:spacing w:before="40" w:after="40" w:line="276" w:lineRule="auto"/>
            </w:pPr>
            <w:r/>
            <w:r>
              <w:rPr>
                <w:rFonts w:ascii="Times New Roman" w:hAnsi="Times New Roman" w:eastAsia="宋体"/>
                <w:b w:val="0"/>
                <w:color w:val="1A1A1A"/>
                <w:sz w:val="18"/>
              </w:rPr>
              <w:t>把「时间冲突」做实：利用现有全文文献库（</w:t>
            </w:r>
            <w:r>
              <w:rPr>
                <w:rFonts w:ascii="Times New Roman" w:hAnsi="Times New Roman" w:eastAsia="宋体"/>
                <w:b/>
                <w:color w:val="1A1A1A"/>
                <w:sz w:val="18"/>
              </w:rPr>
              <w:t>已确认含论文发表年份</w:t>
            </w:r>
            <w:r>
              <w:rPr>
                <w:rFonts w:ascii="Times New Roman" w:hAnsi="Times New Roman" w:eastAsia="宋体"/>
                <w:b w:val="0"/>
                <w:color w:val="1A1A1A"/>
                <w:sz w:val="18"/>
              </w:rPr>
              <w:t>）提取「某化合物在某一年的结论」，与当前数据库版本对比，构造「旧结论 vs 新计算」对照组。</w:t>
            </w:r>
            <w:r>
              <w:rPr>
                <w:rFonts w:ascii="Times New Roman" w:hAnsi="Times New Roman" w:eastAsia="宋体"/>
                <w:b/>
                <w:color w:val="1A1A1A"/>
                <w:sz w:val="18"/>
              </w:rPr>
              <w:t>工作量因已有 2 万篇全文库而显著下降</w:t>
            </w:r>
            <w:r>
              <w:rPr>
                <w:rFonts w:ascii="Times New Roman" w:hAnsi="Times New Roman" w:eastAsia="宋体"/>
                <w:b w:val="0"/>
                <w:color w:val="1A1A1A"/>
                <w:sz w:val="18"/>
              </w:rPr>
              <w:t>，从纯人工改为「库内检索+抽样人工核验」</w:t>
            </w:r>
          </w:p>
        </w:tc>
        <w:tc>
          <w:tcPr>
            <w:tcW w:type="dxa" w:w="1746"/>
          </w:tcPr>
          <w:p>
            <w:pPr>
              <w:spacing w:before="40" w:after="40" w:line="276" w:lineRule="auto"/>
            </w:pPr>
            <w:r/>
            <w:r>
              <w:rPr>
                <w:rFonts w:ascii="Times New Roman" w:hAnsi="Times New Roman" w:eastAsia="宋体"/>
                <w:b w:val="0"/>
                <w:color w:val="1A1A1A"/>
                <w:sz w:val="18"/>
              </w:rPr>
              <w:t>中偏低，约 1—2 周（有库则更少）</w:t>
            </w:r>
          </w:p>
        </w:tc>
        <w:tc>
          <w:tcPr>
            <w:tcW w:type="dxa" w:w="1746"/>
          </w:tcPr>
          <w:p>
            <w:pPr>
              <w:spacing w:before="40" w:after="40" w:line="276" w:lineRule="auto"/>
            </w:pPr>
            <w:r/>
            <w:r>
              <w:rPr>
                <w:rFonts w:ascii="Times New Roman" w:hAnsi="Times New Roman" w:eastAsia="宋体"/>
                <w:b w:val="0"/>
                <w:color w:val="1A1A1A"/>
                <w:sz w:val="18"/>
              </w:rPr>
              <w:t>基准只覆盖两类冲突，类型学偏薄</w:t>
            </w:r>
          </w:p>
        </w:tc>
        <w:tc>
          <w:tcPr>
            <w:tcW w:type="dxa" w:w="1746"/>
          </w:tcPr>
          <w:p>
            <w:pPr>
              <w:spacing w:before="40" w:after="40" w:line="276" w:lineRule="auto"/>
            </w:pPr>
            <w:r/>
            <w:r>
              <w:rPr>
                <w:rFonts w:ascii="Times New Roman" w:hAnsi="Times New Roman" w:eastAsia="宋体"/>
                <w:b w:val="0"/>
                <w:color w:val="1A1A1A"/>
                <w:sz w:val="18"/>
              </w:rPr>
              <w:t>第 3—4 月，与基准构建同步</w:t>
            </w:r>
          </w:p>
        </w:tc>
      </w:tr>
      <w:tr>
        <w:tc>
          <w:tcPr>
            <w:tcW w:type="dxa" w:w="1746"/>
          </w:tcPr>
          <w:p>
            <w:pPr>
              <w:spacing w:before="40" w:after="40" w:line="276" w:lineRule="auto"/>
            </w:pPr>
            <w:r/>
            <w:r>
              <w:rPr>
                <w:rFonts w:ascii="Times New Roman" w:hAnsi="Times New Roman" w:eastAsia="宋体"/>
                <w:b/>
                <w:color w:val="1A1A1A"/>
                <w:sz w:val="18"/>
              </w:rPr>
              <w:t>O2 冲突强度分级</w:t>
            </w:r>
          </w:p>
        </w:tc>
        <w:tc>
          <w:tcPr>
            <w:tcW w:type="dxa" w:w="1746"/>
          </w:tcPr>
          <w:p>
            <w:pPr>
              <w:spacing w:before="40" w:after="40" w:line="276" w:lineRule="auto"/>
            </w:pPr>
            <w:r/>
            <w:r>
              <w:rPr>
                <w:rFonts w:ascii="Times New Roman" w:hAnsi="Times New Roman" w:eastAsia="宋体"/>
                <w:b w:val="0"/>
                <w:color w:val="1A1A1A"/>
                <w:sz w:val="18"/>
              </w:rPr>
              <w:t>把 L1/L2 两级细化为按条件差异程度的多级（如泛函差异、U 值差异、库版本差异各成一级），支撑分组分析</w:t>
            </w:r>
          </w:p>
        </w:tc>
        <w:tc>
          <w:tcPr>
            <w:tcW w:type="dxa" w:w="1746"/>
          </w:tcPr>
          <w:p>
            <w:pPr>
              <w:spacing w:before="40" w:after="40" w:line="276" w:lineRule="auto"/>
            </w:pPr>
            <w:r/>
            <w:r>
              <w:rPr>
                <w:rFonts w:ascii="Times New Roman" w:hAnsi="Times New Roman" w:eastAsia="宋体"/>
                <w:b w:val="0"/>
                <w:color w:val="1A1A1A"/>
                <w:sz w:val="18"/>
              </w:rPr>
              <w:t>低，纯数据处理，约 1 周</w:t>
            </w:r>
          </w:p>
        </w:tc>
        <w:tc>
          <w:tcPr>
            <w:tcW w:type="dxa" w:w="1746"/>
          </w:tcPr>
          <w:p>
            <w:pPr>
              <w:spacing w:before="40" w:after="40" w:line="276" w:lineRule="auto"/>
            </w:pPr>
            <w:r/>
            <w:r>
              <w:rPr>
                <w:rFonts w:ascii="Times New Roman" w:hAnsi="Times New Roman" w:eastAsia="宋体"/>
                <w:b w:val="0"/>
                <w:color w:val="1A1A1A"/>
                <w:sz w:val="18"/>
              </w:rPr>
              <w:t>分析粒度粗，难以回答「哪类条件差异最容易导致冲突」</w:t>
            </w:r>
          </w:p>
        </w:tc>
        <w:tc>
          <w:tcPr>
            <w:tcW w:type="dxa" w:w="1746"/>
          </w:tcPr>
          <w:p>
            <w:pPr>
              <w:spacing w:before="40" w:after="40" w:line="276" w:lineRule="auto"/>
            </w:pPr>
            <w:r/>
            <w:r>
              <w:rPr>
                <w:rFonts w:ascii="Times New Roman" w:hAnsi="Times New Roman" w:eastAsia="宋体"/>
                <w:b w:val="0"/>
                <w:color w:val="1A1A1A"/>
                <w:sz w:val="18"/>
              </w:rPr>
              <w:t>第 4—5 月</w:t>
            </w:r>
          </w:p>
        </w:tc>
      </w:tr>
      <w:tr>
        <w:tc>
          <w:tcPr>
            <w:tcW w:type="dxa" w:w="1746"/>
          </w:tcPr>
          <w:p>
            <w:pPr>
              <w:spacing w:before="40" w:after="40" w:line="276" w:lineRule="auto"/>
            </w:pPr>
            <w:r/>
            <w:r>
              <w:rPr>
                <w:rFonts w:ascii="Times New Roman" w:hAnsi="Times New Roman" w:eastAsia="宋体"/>
                <w:b/>
                <w:color w:val="1A1A1A"/>
                <w:sz w:val="18"/>
              </w:rPr>
              <w:t>O3 检索增强对照</w:t>
            </w:r>
          </w:p>
        </w:tc>
        <w:tc>
          <w:tcPr>
            <w:tcW w:type="dxa" w:w="1746"/>
          </w:tcPr>
          <w:p>
            <w:pPr>
              <w:spacing w:before="40" w:after="40" w:line="276" w:lineRule="auto"/>
            </w:pPr>
            <w:r/>
            <w:r>
              <w:rPr>
                <w:rFonts w:ascii="Times New Roman" w:hAnsi="Times New Roman" w:eastAsia="宋体"/>
                <w:b w:val="0"/>
                <w:color w:val="1A1A1A"/>
                <w:sz w:val="18"/>
              </w:rPr>
              <w:t>把 RAG 正式接入评测（现仅在 §5.2 基线 B1 提及），对比「检索冲突文本」「检索后条件化」「不检索」，检验 CSCR 在真实检索噪声下的表现</w:t>
            </w:r>
          </w:p>
        </w:tc>
        <w:tc>
          <w:tcPr>
            <w:tcW w:type="dxa" w:w="1746"/>
          </w:tcPr>
          <w:p>
            <w:pPr>
              <w:spacing w:before="40" w:after="40" w:line="276" w:lineRule="auto"/>
            </w:pPr>
            <w:r/>
            <w:r>
              <w:rPr>
                <w:rFonts w:ascii="Times New Roman" w:hAnsi="Times New Roman" w:eastAsia="宋体"/>
                <w:b w:val="0"/>
                <w:color w:val="1A1A1A"/>
                <w:sz w:val="18"/>
              </w:rPr>
              <w:t>中，需搭检索管线，约 3—4 周</w:t>
            </w:r>
          </w:p>
        </w:tc>
        <w:tc>
          <w:tcPr>
            <w:tcW w:type="dxa" w:w="1746"/>
          </w:tcPr>
          <w:p>
            <w:pPr>
              <w:spacing w:before="40" w:after="40" w:line="276" w:lineRule="auto"/>
            </w:pPr>
            <w:r/>
            <w:r>
              <w:rPr>
                <w:rFonts w:ascii="Times New Roman" w:hAnsi="Times New Roman" w:eastAsia="宋体"/>
                <w:b w:val="0"/>
                <w:color w:val="1A1A1A"/>
                <w:sz w:val="18"/>
              </w:rPr>
              <w:t>审稿人大概率会问，缺少该对照是明显缺口</w:t>
            </w:r>
          </w:p>
        </w:tc>
        <w:tc>
          <w:tcPr>
            <w:tcW w:type="dxa" w:w="1746"/>
          </w:tcPr>
          <w:p>
            <w:pPr>
              <w:spacing w:before="40" w:after="40" w:line="276" w:lineRule="auto"/>
            </w:pPr>
            <w:r/>
            <w:r>
              <w:rPr>
                <w:rFonts w:ascii="Times New Roman" w:hAnsi="Times New Roman" w:eastAsia="宋体"/>
                <w:b w:val="0"/>
                <w:color w:val="1A1A1A"/>
                <w:sz w:val="18"/>
              </w:rPr>
              <w:t>第 6—7 月，方法定型后</w:t>
            </w:r>
          </w:p>
        </w:tc>
      </w:tr>
    </w:tbl>
    <w:p/>
    <w:p>
      <w:pPr>
        <w:spacing w:after="80"/>
        <w:ind w:firstLine="420"/>
      </w:pPr>
      <w:r>
        <w:rPr>
          <w:rFonts w:ascii="Times New Roman" w:hAnsi="Times New Roman" w:eastAsia="宋体"/>
          <w:b/>
          <w:color w:val="1A1A1A"/>
          <w:sz w:val="21"/>
        </w:rPr>
        <w:t>取舍规则</w:t>
      </w:r>
      <w:r>
        <w:rPr>
          <w:rFonts w:ascii="Times New Roman" w:hAnsi="Times New Roman" w:eastAsia="宋体"/>
          <w:b w:val="0"/>
          <w:color w:val="1A1A1A"/>
          <w:sz w:val="21"/>
        </w:rPr>
        <w:t xml:space="preserve">：按 </w:t>
      </w:r>
      <w:r>
        <w:rPr>
          <w:rFonts w:ascii="Times New Roman" w:hAnsi="Times New Roman" w:eastAsia="宋体"/>
          <w:b/>
          <w:color w:val="1A1A1A"/>
          <w:sz w:val="21"/>
        </w:rPr>
        <w:t>O1 ≈ O3 &gt; O2</w:t>
      </w:r>
      <w:r>
        <w:rPr>
          <w:rFonts w:ascii="Times New Roman" w:hAnsi="Times New Roman" w:eastAsia="宋体"/>
          <w:b w:val="0"/>
          <w:color w:val="1A1A1A"/>
          <w:sz w:val="21"/>
        </w:rPr>
        <w:t xml:space="preserve"> 取舍。</w:t>
      </w:r>
    </w:p>
    <w:p>
      <w:pPr>
        <w:pStyle w:val="ListBullet"/>
        <w:spacing w:line="336" w:lineRule="auto" w:after="40"/>
      </w:pPr>
      <w:r>
        <w:rPr>
          <w:rFonts w:ascii="Times New Roman" w:hAnsi="Times New Roman" w:eastAsia="宋体"/>
          <w:b/>
          <w:color w:val="1A1A1A"/>
          <w:sz w:val="21"/>
        </w:rPr>
        <w:t>O1 的排序上调</w:t>
      </w:r>
      <w:r>
        <w:rPr>
          <w:rFonts w:ascii="Times New Roman" w:hAnsi="Times New Roman" w:eastAsia="宋体"/>
          <w:b w:val="0"/>
          <w:color w:val="1A1A1A"/>
          <w:sz w:val="21"/>
        </w:rPr>
        <w:t>：作者已具备 2 万篇全文文献库且带</w:t>
      </w:r>
      <w:r>
        <w:rPr>
          <w:rFonts w:ascii="Times New Roman" w:hAnsi="Times New Roman" w:eastAsia="宋体"/>
          <w:b/>
          <w:color w:val="1A1A1A"/>
          <w:sz w:val="21"/>
        </w:rPr>
        <w:t>论文发表年份</w:t>
      </w:r>
      <w:r>
        <w:rPr>
          <w:rFonts w:ascii="Times New Roman" w:hAnsi="Times New Roman" w:eastAsia="宋体"/>
          <w:b w:val="0"/>
          <w:color w:val="1A1A1A"/>
          <w:sz w:val="21"/>
        </w:rPr>
        <w:t>（已确认），O1 的瓶颈（人工核对年代）被显著缓解。时间冲突是三类冲突中</w:t>
      </w:r>
      <w:r>
        <w:rPr>
          <w:rFonts w:ascii="Times New Roman" w:hAnsi="Times New Roman" w:eastAsia="宋体"/>
          <w:b/>
          <w:color w:val="1A1A1A"/>
          <w:sz w:val="21"/>
        </w:rPr>
        <w:t>唯一能体现「知识演化」</w:t>
      </w:r>
      <w:r>
        <w:rPr>
          <w:rFonts w:ascii="Times New Roman" w:hAnsi="Times New Roman" w:eastAsia="宋体"/>
          <w:b w:val="0"/>
          <w:color w:val="1A1A1A"/>
          <w:sz w:val="21"/>
        </w:rPr>
        <w:t>的一类，且能直接支撑 CSCR 的时序版本——收益/成本比因此上升。</w:t>
      </w:r>
    </w:p>
    <w:p>
      <w:pPr>
        <w:pStyle w:val="ListBullet"/>
        <w:spacing w:line="336" w:lineRule="auto" w:after="40"/>
      </w:pPr>
      <w:r>
        <w:rPr>
          <w:rFonts w:ascii="Times New Roman" w:hAnsi="Times New Roman" w:eastAsia="宋体"/>
          <w:b/>
          <w:color w:val="1A1A1A"/>
          <w:sz w:val="21"/>
        </w:rPr>
        <w:t>O3 保持高优先</w:t>
      </w:r>
      <w:r>
        <w:rPr>
          <w:rFonts w:ascii="Times New Roman" w:hAnsi="Times New Roman" w:eastAsia="宋体"/>
          <w:b w:val="0"/>
          <w:color w:val="1A1A1A"/>
          <w:sz w:val="21"/>
        </w:rPr>
        <w:t>：它检验方法在非理想证据下的稳健性，是审稿人必问项。</w:t>
      </w:r>
    </w:p>
    <w:p>
      <w:pPr>
        <w:pStyle w:val="ListBullet"/>
        <w:spacing w:line="336" w:lineRule="auto" w:after="40"/>
      </w:pPr>
      <w:r>
        <w:rPr>
          <w:rFonts w:ascii="Times New Roman" w:hAnsi="Times New Roman" w:eastAsia="宋体"/>
          <w:b/>
          <w:color w:val="1A1A1A"/>
          <w:sz w:val="21"/>
        </w:rPr>
        <w:t>O2 仍最低</w:t>
      </w:r>
      <w:r>
        <w:rPr>
          <w:rFonts w:ascii="Times New Roman" w:hAnsi="Times New Roman" w:eastAsia="宋体"/>
          <w:b w:val="0"/>
          <w:color w:val="1A1A1A"/>
          <w:sz w:val="21"/>
        </w:rPr>
        <w:t>：纯数据处理，收益有限。</w:t>
      </w:r>
    </w:p>
    <w:p>
      <w:pPr>
        <w:spacing w:after="80"/>
        <w:ind w:firstLine="420"/>
      </w:pPr>
      <w:r>
        <w:rPr>
          <w:rFonts w:ascii="Times New Roman" w:hAnsi="Times New Roman" w:eastAsia="宋体"/>
          <w:b/>
          <w:color w:val="1A1A1A"/>
          <w:sz w:val="21"/>
        </w:rPr>
        <w:t>使用现有知识库的前提（须在第 1 月核实）</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库内是否覆盖 02 所需的化合物体系（至少覆盖 MP–OQMD 冲突组中相当比例）；</w:t>
      </w:r>
    </w:p>
    <w:p>
      <w:pPr>
        <w:spacing w:after="80"/>
        <w:ind w:firstLine="420"/>
      </w:pPr>
      <w:r>
        <w:rPr>
          <w:rFonts w:ascii="Times New Roman" w:hAnsi="Times New Roman" w:eastAsia="宋体"/>
          <w:b w:val="0"/>
          <w:color w:val="1A1A1A"/>
          <w:sz w:val="21"/>
        </w:rPr>
        <w:t>2. 返回结果是否可追溯到</w:t>
      </w:r>
      <w:r>
        <w:rPr>
          <w:rFonts w:ascii="Times New Roman" w:hAnsi="Times New Roman" w:eastAsia="宋体"/>
          <w:b/>
          <w:color w:val="1A1A1A"/>
          <w:sz w:val="21"/>
        </w:rPr>
        <w:t>原文片段与页码</w:t>
      </w:r>
      <w:r>
        <w:rPr>
          <w:rFonts w:ascii="Times New Roman" w:hAnsi="Times New Roman" w:eastAsia="宋体"/>
          <w:b w:val="0"/>
          <w:color w:val="1A1A1A"/>
          <w:sz w:val="21"/>
        </w:rPr>
        <w:t>，这是把文献当作证据而非线索的前提；</w:t>
      </w:r>
    </w:p>
    <w:p>
      <w:pPr>
        <w:spacing w:after="80"/>
        <w:ind w:firstLine="420"/>
      </w:pPr>
      <w:r>
        <w:rPr>
          <w:rFonts w:ascii="Times New Roman" w:hAnsi="Times New Roman" w:eastAsia="宋体"/>
          <w:b w:val="0"/>
          <w:color w:val="1A1A1A"/>
          <w:sz w:val="21"/>
        </w:rPr>
        <w:t xml:space="preserve">3. ~~时间元数据是发表年份还是仅入库时间~~ → </w:t>
      </w:r>
      <w:r>
        <w:rPr>
          <w:rFonts w:ascii="Times New Roman" w:hAnsi="Times New Roman" w:eastAsia="宋体"/>
          <w:b/>
          <w:color w:val="1A1A1A"/>
          <w:sz w:val="21"/>
        </w:rPr>
        <w:t>已确认：为论文发表年份（2026-10-19）</w:t>
      </w:r>
      <w:r>
        <w:rPr>
          <w:rFonts w:ascii="Times New Roman" w:hAnsi="Times New Roman" w:eastAsia="宋体"/>
          <w:b w:val="0"/>
          <w:color w:val="1A1A1A"/>
          <w:sz w:val="21"/>
        </w:rPr>
        <w:t>。该条前提成立，O1 可按计划执行。注意入库时间与发表年份不同，若后续混用会造成时间轴错误；</w:t>
      </w:r>
    </w:p>
    <w:p>
      <w:pPr>
        <w:spacing w:after="80"/>
        <w:ind w:firstLine="420"/>
      </w:pPr>
      <w:r>
        <w:rPr>
          <w:rFonts w:ascii="Times New Roman" w:hAnsi="Times New Roman" w:eastAsia="宋体"/>
          <w:b w:val="0"/>
          <w:color w:val="1A1A1A"/>
          <w:sz w:val="21"/>
        </w:rPr>
        <w:t>4. 全文是否包含</w:t>
      </w:r>
      <w:r>
        <w:rPr>
          <w:rFonts w:ascii="Times New Roman" w:hAnsi="Times New Roman" w:eastAsia="宋体"/>
          <w:b/>
          <w:color w:val="1A1A1A"/>
          <w:sz w:val="21"/>
        </w:rPr>
        <w:t>合成路线与实验条件</w:t>
      </w:r>
      <w:r>
        <w:rPr>
          <w:rFonts w:ascii="Times New Roman" w:hAnsi="Times New Roman" w:eastAsia="宋体"/>
          <w:b w:val="0"/>
          <w:color w:val="1A1A1A"/>
          <w:sz w:val="21"/>
        </w:rPr>
        <w:t>段落（决定真实实验候选筛选能否落地）。</w:t>
      </w:r>
    </w:p>
    <w:p>
      <w:pPr>
        <w:spacing w:after="80"/>
        <w:ind w:firstLine="420"/>
      </w:pPr>
      <w:r>
        <w:rPr>
          <w:rFonts w:ascii="Times New Roman" w:hAnsi="Times New Roman" w:eastAsia="宋体"/>
          <w:b/>
          <w:color w:val="1A1A1A"/>
          <w:sz w:val="21"/>
        </w:rPr>
        <w:t>与主结论的关系</w:t>
      </w:r>
      <w:r>
        <w:rPr>
          <w:rFonts w:ascii="Times New Roman" w:hAnsi="Times New Roman" w:eastAsia="宋体"/>
          <w:b w:val="0"/>
          <w:color w:val="1A1A1A"/>
          <w:sz w:val="21"/>
        </w:rPr>
        <w:t>：三项均可缺失。若全部不做，本课题仍是「两类冲突的基准 + CACG/CSCR 方法 + 系统评测」，达到毕业要求，但论文厚度偏薄、期刊层次可能受限。</w:t>
      </w:r>
      <w:r>
        <w:rPr>
          <w:rFonts w:ascii="Times New Roman" w:hAnsi="Times New Roman" w:eastAsia="宋体"/>
          <w:b/>
          <w:color w:val="1A1A1A"/>
          <w:sz w:val="21"/>
        </w:rPr>
        <w:t>建议至少完成 O3</w:t>
      </w:r>
      <w:r>
        <w:rPr>
          <w:rFonts w:ascii="Times New Roman" w:hAnsi="Times New Roman" w:eastAsia="宋体"/>
          <w:b w:val="0"/>
          <w:color w:val="1A1A1A"/>
          <w:sz w:val="21"/>
        </w:rPr>
        <w:t>。</w:t>
      </w:r>
    </w:p>
    <w:p>
      <w:pPr>
        <w:spacing w:after="80"/>
        <w:ind w:firstLine="420"/>
      </w:pPr>
      <w:r>
        <w:rPr>
          <w:rFonts w:ascii="Times New Roman" w:hAnsi="Times New Roman" w:eastAsia="宋体"/>
          <w:b/>
          <w:color w:val="1A1A1A"/>
          <w:sz w:val="21"/>
        </w:rPr>
        <w:t>不要做的事</w:t>
      </w:r>
      <w:r>
        <w:rPr>
          <w:rFonts w:ascii="Times New Roman" w:hAnsi="Times New Roman" w:eastAsia="宋体"/>
          <w:b w:val="0"/>
          <w:color w:val="1A1A1A"/>
          <w:sz w:val="21"/>
        </w:rPr>
        <w:t>：不要为了增加代码量而额外堆算法模块。本方向的工作量应主要投在数据侧（对齐、标注、条件元数据）与评测侧（多模型、多基线、多冲突类型），而非再提一个难以验证的新算法。</w:t>
      </w:r>
    </w:p>
    <w:p>
      <w:pPr>
        <w:spacing w:before="200" w:after="80"/>
      </w:pPr>
      <w:r>
        <w:rPr>
          <w:rFonts w:ascii="Times New Roman" w:hAnsi="Times New Roman" w:eastAsia="黑体"/>
          <w:b/>
          <w:color w:val="1B3A52"/>
          <w:sz w:val="23"/>
        </w:rPr>
        <w:t>3.4 拟解决的关键问题</w:t>
      </w:r>
    </w:p>
    <w:p>
      <w:pPr>
        <w:spacing w:after="80"/>
        <w:ind w:firstLine="420"/>
      </w:pPr>
      <w:r>
        <w:rPr>
          <w:rFonts w:ascii="Times New Roman" w:hAnsi="Times New Roman" w:eastAsia="宋体"/>
          <w:b/>
          <w:color w:val="1A1A1A"/>
          <w:sz w:val="21"/>
        </w:rPr>
        <w:t>关键问题零（先算再决定）：CSCR 是否具备可检测的效应量。</w:t>
      </w:r>
      <w:r>
        <w:rPr>
          <w:rFonts w:ascii="Times New Roman" w:hAnsi="Times New Roman" w:eastAsia="宋体"/>
          <w:b w:val="0"/>
          <w:color w:val="1A1A1A"/>
          <w:sz w:val="21"/>
        </w:rPr>
        <w:t xml:space="preserve"> 这是本课题最可能失败的地方，必须在第 1—2 月用现有数据先算功效，再决定 CSCR 的定位。</w:t>
      </w:r>
    </w:p>
    <w:p>
      <w:pPr>
        <w:spacing w:after="80"/>
        <w:ind w:firstLine="420"/>
      </w:pPr>
      <w:r>
        <w:rPr>
          <w:rFonts w:ascii="Times New Roman" w:hAnsi="Times New Roman" w:eastAsia="宋体"/>
          <w:b w:val="0"/>
          <w:color w:val="1A1A1A"/>
          <w:sz w:val="21"/>
        </w:rPr>
        <w:t>已知数据：三库齐全样本 26,337 组，其中 73.30% 三库一致、仅 26.70%（7,032 组）有裁决空间；三库两两一致率 82.67%/82.24%/81.84% 几乎相同。据此粗估，条件化校准相对多数投票的增益上限约 1.3%。</w:t>
      </w:r>
    </w:p>
    <w:p>
      <w:pPr>
        <w:spacing w:after="80"/>
        <w:ind w:firstLine="420"/>
      </w:pPr>
      <w:r>
        <w:rPr>
          <w:rFonts w:ascii="Times New Roman" w:hAnsi="Times New Roman" w:eastAsia="宋体"/>
          <w:b/>
          <w:color w:val="1A1A1A"/>
          <w:sz w:val="21"/>
        </w:rPr>
        <w:t>行动</w:t>
      </w:r>
      <w:r>
        <w:rPr>
          <w:rFonts w:ascii="Times New Roman" w:hAnsi="Times New Roman" w:eastAsia="宋体"/>
          <w:b w:val="0"/>
          <w:color w:val="1A1A1A"/>
          <w:sz w:val="21"/>
        </w:rPr>
        <w:t>：在第 1—2 月，用现有 CSV 计算「多数投票」与「理想裁决器（已知真值时的上限）」的差距，估出可检测的最小效应量。若该差距在 7,032 组样本上不可检测（或需极低方差），则</w:t>
      </w:r>
      <w:r>
        <w:rPr>
          <w:rFonts w:ascii="Times New Roman" w:hAnsi="Times New Roman" w:eastAsia="宋体"/>
          <w:b/>
          <w:color w:val="1A1A1A"/>
          <w:sz w:val="21"/>
        </w:rPr>
        <w:t>将 CSCR 从主线降为附加组件</w:t>
      </w:r>
      <w:r>
        <w:rPr>
          <w:rFonts w:ascii="Times New Roman" w:hAnsi="Times New Roman" w:eastAsia="宋体"/>
          <w:b w:val="0"/>
          <w:color w:val="1A1A1A"/>
          <w:sz w:val="21"/>
        </w:rPr>
        <w:t>，论文主贡献明确写为「基准 + 评测协议」。这一步在开题前即可完成，成本是一天的工作量，但能避免第 5 个月才发现主线不成立。</w:t>
      </w:r>
    </w:p>
    <w:p>
      <w:pPr>
        <w:spacing w:after="80"/>
        <w:ind w:firstLine="420"/>
      </w:pPr>
      <w:r>
        <w:rPr>
          <w:rFonts w:ascii="Times New Roman" w:hAnsi="Times New Roman" w:eastAsia="宋体"/>
          <w:b/>
          <w:color w:val="1A1A1A"/>
          <w:sz w:val="21"/>
        </w:rPr>
        <w:t>关键问题零之二：来源不独立能否被利用（已实测，结论为否）。</w:t>
      </w:r>
    </w:p>
    <w:p>
      <w:pPr>
        <w:spacing w:after="80"/>
        <w:ind w:firstLine="420"/>
      </w:pPr>
      <w:r>
        <w:rPr>
          <w:rFonts w:ascii="Times New Roman" w:hAnsi="Times New Roman" w:eastAsia="宋体"/>
          <w:b w:val="0"/>
          <w:color w:val="1A1A1A"/>
          <w:sz w:val="21"/>
        </w:rPr>
        <w:t>一个自然的想法是：三个数据库分属不同泛函（MP/OQMD 用 PBE 系，JARVIS 用 OptB88vdW 无 U），若 PBE 系两库彼此更接近、与 JARVIS 更远，则可推断「多数投票的票数并不独立」，据此可以做知情聚合。</w:t>
      </w:r>
    </w:p>
    <w:p>
      <w:pPr>
        <w:spacing w:after="80"/>
        <w:ind w:firstLine="420"/>
      </w:pPr>
      <w:r>
        <w:rPr>
          <w:rFonts w:ascii="Times New Roman" w:hAnsi="Times New Roman" w:eastAsia="宋体"/>
          <w:b/>
          <w:color w:val="1A1A1A"/>
          <w:sz w:val="21"/>
        </w:rPr>
        <w:t>实测结果（完整 62,803 条 CSV，三库齐全 26,337 组）</w:t>
      </w:r>
      <w:r>
        <w:rPr>
          <w:rFonts w:ascii="Times New Roman" w:hAnsi="Times New Roman" w:eastAsia="宋体"/>
          <w:b w:val="0"/>
          <w:color w:val="1A1A1A"/>
          <w:sz w:val="21"/>
        </w:rPr>
        <w:t>：</w:t>
      </w:r>
    </w:p>
    <w:tbl>
      <w:tblPr>
        <w:tblStyle w:val="TableGrid"/>
        <w:tblW w:type="auto" w:w="0"/>
        <w:jc w:val="center"/>
        <w:tblLook w:firstColumn="1" w:firstRow="1" w:lastColumn="0" w:lastRow="0" w:noHBand="0" w:noVBand="1" w:val="04A0"/>
      </w:tblPr>
      <w:tblGrid>
        <w:gridCol w:w="4366"/>
        <w:gridCol w:w="4366"/>
      </w:tblGrid>
      <w:tr>
        <w:tc>
          <w:tcPr>
            <w:tcW w:type="dxa" w:w="4366"/>
          </w:tcPr>
          <w:p>
            <w:pPr>
              <w:spacing w:before="40" w:after="40" w:line="276" w:lineRule="auto"/>
            </w:pPr>
            <w:r/>
            <w:r>
              <w:rPr>
                <w:rFonts w:ascii="Times New Roman" w:hAnsi="Times New Roman" w:eastAsia="宋体"/>
                <w:b/>
                <w:color w:val="1A1A1A"/>
                <w:sz w:val="18"/>
              </w:rPr>
              <w:t>库对</w:t>
            </w:r>
          </w:p>
        </w:tc>
        <w:tc>
          <w:tcPr>
            <w:tcW w:type="dxa" w:w="4366"/>
          </w:tcPr>
          <w:p>
            <w:pPr>
              <w:spacing w:before="40" w:after="40" w:line="276" w:lineRule="auto"/>
            </w:pPr>
            <w:r/>
            <w:r>
              <w:rPr>
                <w:rFonts w:ascii="Times New Roman" w:hAnsi="Times New Roman" w:eastAsia="宋体"/>
                <w:b/>
                <w:color w:val="1A1A1A"/>
                <w:sz w:val="18"/>
              </w:rPr>
              <w:t>判定一致率</w:t>
            </w:r>
          </w:p>
        </w:tc>
      </w:tr>
      <w:tr>
        <w:tc>
          <w:tcPr>
            <w:tcW w:type="dxa" w:w="4366"/>
          </w:tcPr>
          <w:p>
            <w:pPr>
              <w:spacing w:before="40" w:after="40" w:line="276" w:lineRule="auto"/>
            </w:pPr>
            <w:r/>
            <w:r>
              <w:rPr>
                <w:rFonts w:ascii="Times New Roman" w:hAnsi="Times New Roman" w:eastAsia="宋体"/>
                <w:b w:val="0"/>
                <w:color w:val="1A1A1A"/>
                <w:sz w:val="18"/>
              </w:rPr>
              <w:t>MP–OQMD（同为 PBE 系）</w:t>
            </w:r>
          </w:p>
        </w:tc>
        <w:tc>
          <w:tcPr>
            <w:tcW w:type="dxa" w:w="4366"/>
          </w:tcPr>
          <w:p>
            <w:pPr>
              <w:spacing w:before="40" w:after="40" w:line="276" w:lineRule="auto"/>
            </w:pPr>
            <w:r/>
            <w:r>
              <w:rPr>
                <w:rFonts w:ascii="Times New Roman" w:hAnsi="Times New Roman" w:eastAsia="宋体"/>
                <w:b/>
                <w:color w:val="1A1A1A"/>
                <w:sz w:val="18"/>
              </w:rPr>
              <w:t>84.04%</w:t>
            </w:r>
          </w:p>
        </w:tc>
      </w:tr>
      <w:tr>
        <w:tc>
          <w:tcPr>
            <w:tcW w:type="dxa" w:w="4366"/>
          </w:tcPr>
          <w:p>
            <w:pPr>
              <w:spacing w:before="40" w:after="40" w:line="276" w:lineRule="auto"/>
            </w:pPr>
            <w:r/>
            <w:r>
              <w:rPr>
                <w:rFonts w:ascii="Times New Roman" w:hAnsi="Times New Roman" w:eastAsia="宋体"/>
                <w:b w:val="0"/>
                <w:color w:val="1A1A1A"/>
                <w:sz w:val="18"/>
              </w:rPr>
              <w:t>MP–JARVIS（跨泛函）</w:t>
            </w:r>
          </w:p>
        </w:tc>
        <w:tc>
          <w:tcPr>
            <w:tcW w:type="dxa" w:w="4366"/>
          </w:tcPr>
          <w:p>
            <w:pPr>
              <w:spacing w:before="40" w:after="40" w:line="276" w:lineRule="auto"/>
            </w:pPr>
            <w:r/>
            <w:r>
              <w:rPr>
                <w:rFonts w:ascii="Times New Roman" w:hAnsi="Times New Roman" w:eastAsia="宋体"/>
                <w:b w:val="0"/>
                <w:color w:val="1A1A1A"/>
                <w:sz w:val="18"/>
              </w:rPr>
              <w:t>82.15%</w:t>
            </w:r>
          </w:p>
        </w:tc>
      </w:tr>
      <w:tr>
        <w:tc>
          <w:tcPr>
            <w:tcW w:type="dxa" w:w="4366"/>
          </w:tcPr>
          <w:p>
            <w:pPr>
              <w:spacing w:before="40" w:after="40" w:line="276" w:lineRule="auto"/>
            </w:pPr>
            <w:r/>
            <w:r>
              <w:rPr>
                <w:rFonts w:ascii="Times New Roman" w:hAnsi="Times New Roman" w:eastAsia="宋体"/>
                <w:b w:val="0"/>
                <w:color w:val="1A1A1A"/>
                <w:sz w:val="18"/>
              </w:rPr>
              <w:t>OQMD–JARVIS（跨泛函）</w:t>
            </w:r>
          </w:p>
        </w:tc>
        <w:tc>
          <w:tcPr>
            <w:tcW w:type="dxa" w:w="4366"/>
          </w:tcPr>
          <w:p>
            <w:pPr>
              <w:spacing w:before="40" w:after="40" w:line="276" w:lineRule="auto"/>
            </w:pPr>
            <w:r/>
            <w:r>
              <w:rPr>
                <w:rFonts w:ascii="Times New Roman" w:hAnsi="Times New Roman" w:eastAsia="宋体"/>
                <w:b w:val="0"/>
                <w:color w:val="1A1A1A"/>
                <w:sz w:val="18"/>
              </w:rPr>
              <w:t>80.41%</w:t>
            </w:r>
          </w:p>
        </w:tc>
      </w:tr>
    </w:tbl>
    <w:p/>
    <w:p>
      <w:pPr>
        <w:spacing w:after="80"/>
        <w:ind w:firstLine="420"/>
      </w:pPr>
      <w:r>
        <w:rPr>
          <w:rFonts w:ascii="Times New Roman" w:hAnsi="Times New Roman" w:eastAsia="宋体"/>
          <w:b w:val="0"/>
          <w:color w:val="1A1A1A"/>
          <w:sz w:val="21"/>
        </w:rPr>
        <w:t xml:space="preserve">PBE 系内部一致率比跨泛函平均高 </w:t>
      </w:r>
      <w:r>
        <w:rPr>
          <w:rFonts w:ascii="Times New Roman" w:hAnsi="Times New Roman" w:eastAsia="宋体"/>
          <w:b/>
          <w:color w:val="1A1A1A"/>
          <w:sz w:val="21"/>
        </w:rPr>
        <w:t>2.76 个百分点</w:t>
      </w:r>
      <w:r>
        <w:rPr>
          <w:rFonts w:ascii="Times New Roman" w:hAnsi="Times New Roman" w:eastAsia="宋体"/>
          <w:b w:val="0"/>
          <w:color w:val="1A1A1A"/>
          <w:sz w:val="21"/>
        </w:rPr>
        <w:t xml:space="preserve">，bootstrap 95% CI 为 </w:t>
      </w:r>
      <w:r>
        <w:rPr>
          <w:rFonts w:ascii="Times New Roman" w:hAnsi="Times New Roman" w:eastAsia="宋体"/>
          <w:b/>
          <w:color w:val="1A1A1A"/>
          <w:sz w:val="21"/>
        </w:rPr>
        <w:t>[2.31, 3.23]</w:t>
      </w:r>
      <w:r>
        <w:rPr>
          <w:rFonts w:ascii="Times New Roman" w:hAnsi="Times New Roman" w:eastAsia="宋体"/>
          <w:b w:val="0"/>
          <w:color w:val="1A1A1A"/>
          <w:sz w:val="21"/>
        </w:rPr>
        <w:t>，显著偏离 0。</w:t>
      </w:r>
      <w:r>
        <w:rPr>
          <w:rFonts w:ascii="Times New Roman" w:hAnsi="Times New Roman" w:eastAsia="宋体"/>
          <w:b/>
          <w:color w:val="1A1A1A"/>
          <w:sz w:val="21"/>
        </w:rPr>
        <w:t>现象真实存在</w:t>
      </w:r>
      <w:r>
        <w:rPr>
          <w:rFonts w:ascii="Times New Roman" w:hAnsi="Times New Roman" w:eastAsia="宋体"/>
          <w:b w:val="0"/>
          <w:color w:val="1A1A1A"/>
          <w:sz w:val="21"/>
        </w:rPr>
        <w:t>：三个库的判定并非相互独立，MP 与 OQMD 确实更接近彼此。</w:t>
      </w:r>
    </w:p>
    <w:p>
      <w:pPr>
        <w:spacing w:after="80"/>
        <w:ind w:firstLine="420"/>
      </w:pPr>
      <w:r>
        <w:rPr>
          <w:rFonts w:ascii="Times New Roman" w:hAnsi="Times New Roman" w:eastAsia="宋体"/>
          <w:b/>
          <w:color w:val="1A1A1A"/>
          <w:sz w:val="21"/>
        </w:rPr>
        <w:t>但这个现象不能转化为方法贡献。</w:t>
      </w:r>
      <w:r>
        <w:rPr>
          <w:rFonts w:ascii="Times New Roman" w:hAnsi="Times New Roman" w:eastAsia="宋体"/>
          <w:b w:val="0"/>
          <w:color w:val="1A1A1A"/>
          <w:sz w:val="21"/>
        </w:rPr>
        <w:t xml:space="preserve"> 按「当 MP 与 OQMD 一致时忽略 JARVIS」与「三票多数」两种规则回放全部 26,337 组：</w:t>
      </w:r>
    </w:p>
    <w:p>
      <w:pPr>
        <w:spacing w:after="80"/>
        <w:ind w:firstLine="420"/>
      </w:pPr>
      <w:r>
        <w:rPr>
          <w:rFonts w:ascii="Times New Roman" w:hAnsi="Times New Roman" w:eastAsia="宋体"/>
          <w:b w:val="0"/>
          <w:color w:val="1A1A1A"/>
          <w:sz w:val="21"/>
        </w:rPr>
        <w:t xml:space="preserve">&gt; </w:t>
      </w:r>
      <w:r>
        <w:rPr>
          <w:rFonts w:ascii="Times New Roman" w:hAnsi="Times New Roman" w:eastAsia="宋体"/>
          <w:b/>
          <w:color w:val="1A1A1A"/>
          <w:sz w:val="21"/>
        </w:rPr>
        <w:t>会改变裁决的样本数：0（0.00%）</w:t>
      </w:r>
    </w:p>
    <w:p>
      <w:pPr>
        <w:spacing w:after="80"/>
        <w:ind w:firstLine="420"/>
      </w:pPr>
      <w:r>
        <w:rPr>
          <w:rFonts w:ascii="Times New Roman" w:hAnsi="Times New Roman" w:eastAsia="宋体"/>
          <w:b w:val="0"/>
          <w:color w:val="1A1A1A"/>
          <w:sz w:val="21"/>
        </w:rPr>
        <w:t>即：多数投票与知情聚合在这批数据上给出</w:t>
      </w:r>
      <w:r>
        <w:rPr>
          <w:rFonts w:ascii="Times New Roman" w:hAnsi="Times New Roman" w:eastAsia="宋体"/>
          <w:b/>
          <w:color w:val="1A1A1A"/>
          <w:sz w:val="21"/>
        </w:rPr>
        <w:t>完全相同</w:t>
      </w:r>
      <w:r>
        <w:rPr>
          <w:rFonts w:ascii="Times New Roman" w:hAnsi="Times New Roman" w:eastAsia="宋体"/>
          <w:b w:val="0"/>
          <w:color w:val="1A1A1A"/>
          <w:sz w:val="21"/>
        </w:rPr>
        <w:t>的结论。差异统计显著，但对输出零影响。</w:t>
      </w:r>
    </w:p>
    <w:p>
      <w:pPr>
        <w:spacing w:after="80"/>
        <w:ind w:firstLine="420"/>
      </w:pPr>
      <w:r>
        <w:rPr>
          <w:rFonts w:ascii="Times New Roman" w:hAnsi="Times New Roman" w:eastAsia="宋体"/>
          <w:b/>
          <w:color w:val="1A1A1A"/>
          <w:sz w:val="21"/>
        </w:rPr>
        <w:t>该结果的三点用途</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作为不单独立项的证据</w:t>
      </w:r>
      <w:r>
        <w:rPr>
          <w:rFonts w:ascii="Times New Roman" w:hAnsi="Times New Roman" w:eastAsia="宋体"/>
          <w:b w:val="0"/>
          <w:color w:val="1A1A1A"/>
          <w:sz w:val="21"/>
        </w:rPr>
        <w:t>：来源独立性方向在数据上可见、在后果上为零，写成论文会被质疑「显著但无关」；</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强化多数投票基线的强度</w:t>
      </w:r>
      <w:r>
        <w:rPr>
          <w:rFonts w:ascii="Times New Roman" w:hAnsi="Times New Roman" w:eastAsia="宋体"/>
          <w:b w:val="0"/>
          <w:color w:val="1A1A1A"/>
          <w:sz w:val="21"/>
        </w:rPr>
        <w:t>：说明在本数据上多数投票已接近知情聚合的上限，任何新方法必须在</w:t>
      </w:r>
      <w:r>
        <w:rPr>
          <w:rFonts w:ascii="Times New Roman" w:hAnsi="Times New Roman" w:eastAsia="宋体"/>
          <w:b/>
          <w:color w:val="1A1A1A"/>
          <w:sz w:val="21"/>
        </w:rPr>
        <w:t>裁决空间（7,032 组）内部</w:t>
      </w:r>
      <w:r>
        <w:rPr>
          <w:rFonts w:ascii="Times New Roman" w:hAnsi="Times New Roman" w:eastAsia="宋体"/>
          <w:b w:val="0"/>
          <w:color w:val="1A1A1A"/>
          <w:sz w:val="21"/>
        </w:rPr>
        <w:t>而非整体上证明增益——这与「关键问题零」的功效分析互为佐证；</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给未来工作留接口</w:t>
      </w:r>
      <w:r>
        <w:rPr>
          <w:rFonts w:ascii="Times New Roman" w:hAnsi="Times New Roman" w:eastAsia="宋体"/>
          <w:b w:val="0"/>
          <w:color w:val="1A1A1A"/>
          <w:sz w:val="21"/>
        </w:rPr>
        <w:t>：若后续扩展到更多来源（如加入 AFLOW 构成四库），相关性结构可能变化，届时该方法才有用武之地。</w:t>
      </w:r>
    </w:p>
    <w:p>
      <w:pPr>
        <w:spacing w:after="80"/>
        <w:ind w:firstLine="420"/>
      </w:pPr>
      <w:r>
        <w:rPr>
          <w:rFonts w:ascii="Times New Roman" w:hAnsi="Times New Roman" w:eastAsia="宋体"/>
          <w:b w:val="0"/>
          <w:color w:val="1A1A1A"/>
          <w:sz w:val="21"/>
        </w:rPr>
        <w:t>（记录于 2026-10-19，数据可复算；原始 CSV 下载时注意服务器会静默截断，需分段续传。）</w:t>
      </w:r>
    </w:p>
    <w:p>
      <w:pPr>
        <w:spacing w:after="80"/>
        <w:ind w:firstLine="420"/>
      </w:pPr>
      <w:r>
        <w:rPr>
          <w:rFonts w:ascii="Times New Roman" w:hAnsi="Times New Roman" w:eastAsia="宋体"/>
          <w:b/>
          <w:color w:val="1A1A1A"/>
          <w:sz w:val="21"/>
        </w:rPr>
        <w:t>关键问题一：如何判定「这是冲突」而不是「这是不同材料」。</w:t>
      </w:r>
      <w:r>
        <w:rPr>
          <w:rFonts w:ascii="Times New Roman" w:hAnsi="Times New Roman" w:eastAsia="宋体"/>
          <w:b w:val="0"/>
          <w:color w:val="1A1A1A"/>
          <w:sz w:val="21"/>
        </w:rPr>
        <w:t xml:space="preserve"> 跨数据库匹配首先要求成分与结构对齐，而同一成分可能有多种结构（同素异形体）。本课题采用「成分 + 空间群 + 原型」三级对齐，并对无法对齐的条目明确排除，而不是强行配对。</w:t>
      </w:r>
    </w:p>
    <w:p>
      <w:pPr>
        <w:spacing w:after="80"/>
        <w:ind w:firstLine="420"/>
      </w:pPr>
      <w:r>
        <w:rPr>
          <w:rFonts w:ascii="Times New Roman" w:hAnsi="Times New Roman" w:eastAsia="宋体"/>
          <w:b/>
          <w:color w:val="1A1A1A"/>
          <w:sz w:val="21"/>
        </w:rPr>
        <w:t>关键问题二：冲突的「正确答案」如何定义。</w:t>
      </w:r>
      <w:r>
        <w:rPr>
          <w:rFonts w:ascii="Times New Roman" w:hAnsi="Times New Roman" w:eastAsia="宋体"/>
          <w:b w:val="0"/>
          <w:color w:val="1A1A1A"/>
          <w:sz w:val="21"/>
        </w:rPr>
        <w:t xml:space="preserve"> 很多材料冲突没有唯一正确答案。本课题区分「有公认答案」（如计算错误导致的偏差）与「无公认答案」（如不同泛函的系统差异），只在有公认答案的子集上计算准确率，在无公认答案的子集上计算「是否报告分歧」的比例。</w:t>
      </w:r>
    </w:p>
    <w:p>
      <w:pPr>
        <w:spacing w:after="80"/>
        <w:ind w:firstLine="420"/>
      </w:pPr>
      <w:r>
        <w:rPr>
          <w:rFonts w:ascii="Times New Roman" w:hAnsi="Times New Roman" w:eastAsia="宋体"/>
          <w:b/>
          <w:color w:val="1A1A1A"/>
          <w:sz w:val="21"/>
        </w:rPr>
        <w:t>关键问题三：冲突检测会不会退化为「永远说不知道」。</w:t>
      </w:r>
      <w:r>
        <w:rPr>
          <w:rFonts w:ascii="Times New Roman" w:hAnsi="Times New Roman" w:eastAsia="宋体"/>
          <w:b w:val="0"/>
          <w:color w:val="1A1A1A"/>
          <w:sz w:val="21"/>
        </w:rPr>
        <w:t xml:space="preserve"> 一个总是报告冲突的模型没有实用价值。需要同时测量「冲突检测率」与「无冲突时的正常回答率」，避免用保守换分数。</w:t>
      </w:r>
    </w:p>
    <w:p>
      <w:pPr>
        <w:spacing w:before="320" w:after="120"/>
      </w:pPr>
      <w:r>
        <w:rPr>
          <w:rFonts w:ascii="Times New Roman" w:hAnsi="Times New Roman" w:eastAsia="黑体"/>
          <w:b/>
          <w:color w:val="1B3A52"/>
          <w:sz w:val="30"/>
        </w:rPr>
        <w:t>4 研究方法与技术路线</w:t>
      </w:r>
    </w:p>
    <w:p>
      <w:pPr>
        <w:spacing w:before="200" w:after="80"/>
      </w:pPr>
      <w:r>
        <w:rPr>
          <w:rFonts w:ascii="Times New Roman" w:hAnsi="Times New Roman" w:eastAsia="黑体"/>
          <w:b/>
          <w:color w:val="1B3A52"/>
          <w:sz w:val="23"/>
        </w:rPr>
        <w:t>4.1 问题形式化</w:t>
      </w:r>
    </w:p>
    <w:p>
      <w:pPr>
        <w:spacing w:after="80"/>
        <w:ind w:firstLine="420"/>
      </w:pPr>
      <w:r>
        <w:rPr>
          <w:rFonts w:ascii="Times New Roman" w:hAnsi="Times New Roman" w:eastAsia="宋体"/>
          <w:b w:val="0"/>
          <w:color w:val="1A1A1A"/>
          <w:sz w:val="21"/>
        </w:rPr>
        <w:t>设一个材料查询为 q，它对应一个实体 e（成分 + 结构）。设证据集合为 E = {e₁, …, eₙ}，每条证据 eᵢ 带有来源 sᵢ、条件 cᵢ（泛函、温度、实验条件）与取值 vᵢ。</w:t>
      </w:r>
    </w:p>
    <w:p>
      <w:pPr>
        <w:spacing w:after="80"/>
        <w:ind w:firstLine="420"/>
      </w:pPr>
      <w:r>
        <w:rPr>
          <w:rFonts w:ascii="Times New Roman" w:hAnsi="Times New Roman" w:eastAsia="宋体"/>
          <w:b w:val="0"/>
          <w:color w:val="1A1A1A"/>
          <w:sz w:val="21"/>
        </w:rPr>
        <w:t>定义冲突：若存在 i ≠ j，使得 eᵢ 与 eⱼ 指向同一实体、条件可比较、但取值差异超过阈值 τ，则称 (eᵢ, eⱼ) 构成冲突。</w:t>
      </w:r>
    </w:p>
    <w:p>
      <w:pPr>
        <w:spacing w:after="80"/>
        <w:ind w:firstLine="420"/>
      </w:pPr>
      <w:r>
        <w:rPr>
          <w:rFonts w:ascii="Times New Roman" w:hAnsi="Times New Roman" w:eastAsia="宋体"/>
          <w:b/>
          <w:color w:val="1A1A1A"/>
          <w:sz w:val="21"/>
        </w:rPr>
        <w:t>阈值必须分两级，且不能混用</w:t>
      </w:r>
      <w:r>
        <w:rPr>
          <w:rFonts w:ascii="Times New Roman" w:hAnsi="Times New Roman" w:eastAsia="宋体"/>
          <w:b w:val="0"/>
          <w:color w:val="1A1A1A"/>
          <w:sz w:val="21"/>
        </w:rPr>
        <w:t>（这是本报告 §1 数据的正确读法）：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级别</w:t>
            </w:r>
          </w:p>
        </w:tc>
        <w:tc>
          <w:tcPr>
            <w:tcW w:type="dxa" w:w="2183"/>
          </w:tcPr>
          <w:p>
            <w:pPr>
              <w:spacing w:before="40" w:after="40" w:line="276" w:lineRule="auto"/>
            </w:pPr>
            <w:r/>
            <w:r>
              <w:rPr>
                <w:rFonts w:ascii="Times New Roman" w:hAnsi="Times New Roman" w:eastAsia="宋体"/>
                <w:b/>
                <w:color w:val="1A1A1A"/>
                <w:sz w:val="18"/>
              </w:rPr>
              <w:t>凸包能量阈值</w:t>
            </w:r>
          </w:p>
        </w:tc>
        <w:tc>
          <w:tcPr>
            <w:tcW w:type="dxa" w:w="2183"/>
          </w:tcPr>
          <w:p>
            <w:pPr>
              <w:spacing w:before="40" w:after="40" w:line="276" w:lineRule="auto"/>
            </w:pPr>
            <w:r/>
            <w:r>
              <w:rPr>
                <w:rFonts w:ascii="Times New Roman" w:hAnsi="Times New Roman" w:eastAsia="宋体"/>
                <w:b/>
                <w:color w:val="1A1A1A"/>
                <w:sz w:val="18"/>
              </w:rPr>
              <w:t>含义</w:t>
            </w:r>
          </w:p>
        </w:tc>
        <w:tc>
          <w:tcPr>
            <w:tcW w:type="dxa" w:w="2183"/>
          </w:tcPr>
          <w:p>
            <w:pPr>
              <w:spacing w:before="40" w:after="40" w:line="276" w:lineRule="auto"/>
            </w:pPr>
            <w:r/>
            <w:r>
              <w:rPr>
                <w:rFonts w:ascii="Times New Roman" w:hAnsi="Times New Roman" w:eastAsia="宋体"/>
                <w:b/>
                <w:color w:val="1A1A1A"/>
                <w:sz w:val="18"/>
              </w:rPr>
              <w:t>依据</w:t>
            </w:r>
          </w:p>
        </w:tc>
      </w:tr>
      <w:tr>
        <w:tc>
          <w:tcPr>
            <w:tcW w:type="dxa" w:w="2183"/>
          </w:tcPr>
          <w:p>
            <w:pPr>
              <w:spacing w:before="40" w:after="40" w:line="276" w:lineRule="auto"/>
            </w:pPr>
            <w:r/>
            <w:r>
              <w:rPr>
                <w:rFonts w:ascii="Times New Roman" w:hAnsi="Times New Roman" w:eastAsia="宋体"/>
                <w:b w:val="0"/>
                <w:color w:val="1A1A1A"/>
                <w:sz w:val="18"/>
              </w:rPr>
              <w:t>L1 判定翻转</w:t>
            </w:r>
          </w:p>
        </w:tc>
        <w:tc>
          <w:tcPr>
            <w:tcW w:type="dxa" w:w="2183"/>
          </w:tcPr>
          <w:p>
            <w:pPr>
              <w:spacing w:before="40" w:after="40" w:line="276" w:lineRule="auto"/>
            </w:pPr>
            <w:r/>
            <w:r>
              <w:rPr>
                <w:rFonts w:ascii="Times New Roman" w:hAnsi="Times New Roman" w:eastAsia="宋体"/>
                <w:b w:val="0"/>
                <w:color w:val="1A1A1A"/>
                <w:sz w:val="18"/>
              </w:rPr>
              <w:t>1 meV/atom</w:t>
            </w:r>
          </w:p>
        </w:tc>
        <w:tc>
          <w:tcPr>
            <w:tcW w:type="dxa" w:w="2183"/>
          </w:tcPr>
          <w:p>
            <w:pPr>
              <w:spacing w:before="40" w:after="40" w:line="276" w:lineRule="auto"/>
            </w:pPr>
            <w:r/>
            <w:r>
              <w:rPr>
                <w:rFonts w:ascii="Times New Roman" w:hAnsi="Times New Roman" w:eastAsia="宋体"/>
                <w:b w:val="0"/>
                <w:color w:val="1A1A1A"/>
                <w:sz w:val="18"/>
              </w:rPr>
              <w:t>一个库判在凸包上、另一个不在</w:t>
            </w:r>
          </w:p>
        </w:tc>
        <w:tc>
          <w:tcPr>
            <w:tcW w:type="dxa" w:w="2183"/>
          </w:tcPr>
          <w:p>
            <w:pPr>
              <w:spacing w:before="40" w:after="40" w:line="276" w:lineRule="auto"/>
            </w:pPr>
            <w:r/>
            <w:r>
              <w:rPr>
                <w:rFonts w:ascii="Times New Roman" w:hAnsi="Times New Roman" w:eastAsia="宋体"/>
                <w:b w:val="0"/>
                <w:color w:val="1A1A1A"/>
                <w:sz w:val="18"/>
              </w:rPr>
              <w:t>与 [1] 的 17%—18% 同一定义</w:t>
            </w:r>
          </w:p>
        </w:tc>
      </w:tr>
      <w:tr>
        <w:tc>
          <w:tcPr>
            <w:tcW w:type="dxa" w:w="2183"/>
          </w:tcPr>
          <w:p>
            <w:pPr>
              <w:spacing w:before="40" w:after="40" w:line="276" w:lineRule="auto"/>
            </w:pPr>
            <w:r/>
            <w:r>
              <w:rPr>
                <w:rFonts w:ascii="Times New Roman" w:hAnsi="Times New Roman" w:eastAsia="宋体"/>
                <w:b w:val="0"/>
                <w:color w:val="1A1A1A"/>
                <w:sz w:val="18"/>
              </w:rPr>
              <w:t>L2 显著差异</w:t>
            </w:r>
          </w:p>
        </w:tc>
        <w:tc>
          <w:tcPr>
            <w:tcW w:type="dxa" w:w="2183"/>
          </w:tcPr>
          <w:p>
            <w:pPr>
              <w:spacing w:before="40" w:after="40" w:line="276" w:lineRule="auto"/>
            </w:pPr>
            <w:r/>
            <w:r>
              <w:rPr>
                <w:rFonts w:ascii="Times New Roman" w:hAnsi="Times New Roman" w:eastAsia="宋体"/>
                <w:b w:val="0"/>
                <w:color w:val="1A1A1A"/>
                <w:sz w:val="18"/>
              </w:rPr>
              <w:t>50 meV/atom</w:t>
            </w:r>
          </w:p>
        </w:tc>
        <w:tc>
          <w:tcPr>
            <w:tcW w:type="dxa" w:w="2183"/>
          </w:tcPr>
          <w:p>
            <w:pPr>
              <w:spacing w:before="40" w:after="40" w:line="276" w:lineRule="auto"/>
            </w:pPr>
            <w:r/>
            <w:r>
              <w:rPr>
                <w:rFonts w:ascii="Times New Roman" w:hAnsi="Times New Roman" w:eastAsia="宋体"/>
                <w:b w:val="0"/>
                <w:color w:val="1A1A1A"/>
                <w:sz w:val="18"/>
              </w:rPr>
              <w:t>差异大到足以改变使用者的工程判断</w:t>
            </w:r>
          </w:p>
        </w:tc>
        <w:tc>
          <w:tcPr>
            <w:tcW w:type="dxa" w:w="2183"/>
          </w:tcPr>
          <w:p>
            <w:pPr>
              <w:spacing w:before="40" w:after="40" w:line="276" w:lineRule="auto"/>
            </w:pPr>
            <w:r/>
            <w:r>
              <w:rPr>
                <w:rFonts w:ascii="Times New Roman" w:hAnsi="Times New Roman" w:eastAsia="宋体"/>
                <w:b w:val="0"/>
                <w:color w:val="1A1A1A"/>
                <w:sz w:val="18"/>
              </w:rPr>
              <w:t>本课题采用的主阈值</w:t>
            </w:r>
          </w:p>
        </w:tc>
      </w:tr>
    </w:tbl>
    <w:p/>
    <w:p>
      <w:pPr>
        <w:spacing w:after="80"/>
        <w:ind w:firstLine="420"/>
      </w:pPr>
      <w:r>
        <w:rPr>
          <w:rFonts w:ascii="Times New Roman" w:hAnsi="Times New Roman" w:eastAsia="宋体"/>
          <w:b/>
          <w:color w:val="1A1A1A"/>
          <w:sz w:val="21"/>
        </w:rPr>
        <w:t>关键换算（已用完整原始数据实测，2026-10-19）</w:t>
      </w:r>
      <w:r>
        <w:rPr>
          <w:rFonts w:ascii="Times New Roman" w:hAnsi="Times New Roman" w:eastAsia="宋体"/>
          <w:b w:val="0"/>
          <w:color w:val="1A1A1A"/>
          <w:sz w:val="21"/>
        </w:rPr>
        <w:t>：[1] 页面公开了全部 62,803 条逐条 CSV。下载完整数据后按库对复算，结果如下（"至少两库有 hull 数据"共 61,188 条）：</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spacing w:before="40" w:after="40" w:line="276" w:lineRule="auto"/>
            </w:pPr>
            <w:r/>
            <w:r>
              <w:rPr>
                <w:rFonts w:ascii="Times New Roman" w:hAnsi="Times New Roman" w:eastAsia="宋体"/>
                <w:b/>
                <w:color w:val="1A1A1A"/>
                <w:sz w:val="18"/>
              </w:rPr>
              <w:t>库对</w:t>
            </w:r>
          </w:p>
        </w:tc>
        <w:tc>
          <w:tcPr>
            <w:tcW w:type="dxa" w:w="1247"/>
          </w:tcPr>
          <w:p>
            <w:pPr>
              <w:spacing w:before="40" w:after="40" w:line="276" w:lineRule="auto"/>
            </w:pPr>
            <w:r/>
            <w:r>
              <w:rPr>
                <w:rFonts w:ascii="Times New Roman" w:hAnsi="Times New Roman" w:eastAsia="宋体"/>
                <w:b/>
                <w:color w:val="1A1A1A"/>
                <w:sz w:val="18"/>
              </w:rPr>
              <w:t>共有成分</w:t>
            </w:r>
          </w:p>
        </w:tc>
        <w:tc>
          <w:tcPr>
            <w:tcW w:type="dxa" w:w="1247"/>
          </w:tcPr>
          <w:p>
            <w:pPr>
              <w:spacing w:before="40" w:after="40" w:line="276" w:lineRule="auto"/>
            </w:pPr>
            <w:r/>
            <w:r>
              <w:rPr>
                <w:rFonts w:ascii="Times New Roman" w:hAnsi="Times New Roman" w:eastAsia="宋体"/>
                <w:b/>
                <w:color w:val="1A1A1A"/>
                <w:sz w:val="18"/>
              </w:rPr>
              <w:t>L1 判定冲突</w:t>
            </w:r>
          </w:p>
        </w:tc>
        <w:tc>
          <w:tcPr>
            <w:tcW w:type="dxa" w:w="1247"/>
          </w:tcPr>
          <w:p>
            <w:pPr>
              <w:spacing w:before="40" w:after="40" w:line="276" w:lineRule="auto"/>
            </w:pPr>
            <w:r/>
            <w:r>
              <w:rPr>
                <w:rFonts w:ascii="Times New Roman" w:hAnsi="Times New Roman" w:eastAsia="宋体"/>
                <w:b/>
                <w:color w:val="1A1A1A"/>
                <w:sz w:val="18"/>
              </w:rPr>
              <w:t>L1 占比</w:t>
            </w:r>
          </w:p>
        </w:tc>
        <w:tc>
          <w:tcPr>
            <w:tcW w:type="dxa" w:w="1247"/>
          </w:tcPr>
          <w:p>
            <w:pPr>
              <w:spacing w:before="40" w:after="40" w:line="276" w:lineRule="auto"/>
            </w:pPr>
            <w:r/>
            <w:r>
              <w:rPr>
                <w:rFonts w:ascii="Times New Roman" w:hAnsi="Times New Roman" w:eastAsia="宋体"/>
                <w:b/>
                <w:color w:val="1A1A1A"/>
                <w:sz w:val="18"/>
              </w:rPr>
              <w:t>L2 冲突（差异&gt;50 meV/atom）</w:t>
            </w:r>
          </w:p>
        </w:tc>
        <w:tc>
          <w:tcPr>
            <w:tcW w:type="dxa" w:w="1247"/>
          </w:tcPr>
          <w:p>
            <w:pPr>
              <w:spacing w:before="40" w:after="40" w:line="276" w:lineRule="auto"/>
            </w:pPr>
            <w:r/>
            <w:r>
              <w:rPr>
                <w:rFonts w:ascii="Times New Roman" w:hAnsi="Times New Roman" w:eastAsia="宋体"/>
                <w:b/>
                <w:color w:val="1A1A1A"/>
                <w:sz w:val="18"/>
              </w:rPr>
              <w:t>L2 占比</w:t>
            </w:r>
          </w:p>
        </w:tc>
        <w:tc>
          <w:tcPr>
            <w:tcW w:type="dxa" w:w="1247"/>
          </w:tcPr>
          <w:p>
            <w:pPr>
              <w:spacing w:before="40" w:after="40" w:line="276" w:lineRule="auto"/>
            </w:pPr>
            <w:r/>
            <w:r>
              <w:rPr>
                <w:rFonts w:ascii="Times New Roman" w:hAnsi="Times New Roman" w:eastAsia="宋体"/>
                <w:b/>
                <w:color w:val="1A1A1A"/>
                <w:sz w:val="18"/>
              </w:rPr>
              <w:t>L2/L1</w:t>
            </w:r>
          </w:p>
        </w:tc>
      </w:tr>
      <w:tr>
        <w:tc>
          <w:tcPr>
            <w:tcW w:type="dxa" w:w="1247"/>
          </w:tcPr>
          <w:p>
            <w:pPr>
              <w:spacing w:before="40" w:after="40" w:line="276" w:lineRule="auto"/>
            </w:pPr>
            <w:r/>
            <w:r>
              <w:rPr>
                <w:rFonts w:ascii="Times New Roman" w:hAnsi="Times New Roman" w:eastAsia="宋体"/>
                <w:b w:val="0"/>
                <w:color w:val="1A1A1A"/>
                <w:sz w:val="18"/>
              </w:rPr>
              <w:t>MP–OQMD</w:t>
            </w:r>
          </w:p>
        </w:tc>
        <w:tc>
          <w:tcPr>
            <w:tcW w:type="dxa" w:w="1247"/>
          </w:tcPr>
          <w:p>
            <w:pPr>
              <w:spacing w:before="40" w:after="40" w:line="276" w:lineRule="auto"/>
            </w:pPr>
            <w:r/>
            <w:r>
              <w:rPr>
                <w:rFonts w:ascii="Times New Roman" w:hAnsi="Times New Roman" w:eastAsia="宋体"/>
                <w:b w:val="0"/>
                <w:color w:val="1A1A1A"/>
                <w:sz w:val="18"/>
              </w:rPr>
              <w:t>43,064</w:t>
            </w:r>
          </w:p>
        </w:tc>
        <w:tc>
          <w:tcPr>
            <w:tcW w:type="dxa" w:w="1247"/>
          </w:tcPr>
          <w:p>
            <w:pPr>
              <w:spacing w:before="40" w:after="40" w:line="276" w:lineRule="auto"/>
            </w:pPr>
            <w:r/>
            <w:r>
              <w:rPr>
                <w:rFonts w:ascii="Times New Roman" w:hAnsi="Times New Roman" w:eastAsia="宋体"/>
                <w:b w:val="0"/>
                <w:color w:val="1A1A1A"/>
                <w:sz w:val="18"/>
              </w:rPr>
              <w:t>7,464</w:t>
            </w:r>
          </w:p>
        </w:tc>
        <w:tc>
          <w:tcPr>
            <w:tcW w:type="dxa" w:w="1247"/>
          </w:tcPr>
          <w:p>
            <w:pPr>
              <w:spacing w:before="40" w:after="40" w:line="276" w:lineRule="auto"/>
            </w:pPr>
            <w:r/>
            <w:r>
              <w:rPr>
                <w:rFonts w:ascii="Times New Roman" w:hAnsi="Times New Roman" w:eastAsia="宋体"/>
                <w:b/>
                <w:color w:val="1A1A1A"/>
                <w:sz w:val="18"/>
              </w:rPr>
              <w:t>17.33%</w:t>
            </w:r>
          </w:p>
        </w:tc>
        <w:tc>
          <w:tcPr>
            <w:tcW w:type="dxa" w:w="1247"/>
          </w:tcPr>
          <w:p>
            <w:pPr>
              <w:spacing w:before="40" w:after="40" w:line="276" w:lineRule="auto"/>
            </w:pPr>
            <w:r/>
            <w:r>
              <w:rPr>
                <w:rFonts w:ascii="Times New Roman" w:hAnsi="Times New Roman" w:eastAsia="宋体"/>
                <w:b w:val="0"/>
                <w:color w:val="1A1A1A"/>
                <w:sz w:val="18"/>
              </w:rPr>
              <w:t>2,720</w:t>
            </w:r>
          </w:p>
        </w:tc>
        <w:tc>
          <w:tcPr>
            <w:tcW w:type="dxa" w:w="1247"/>
          </w:tcPr>
          <w:p>
            <w:pPr>
              <w:spacing w:before="40" w:after="40" w:line="276" w:lineRule="auto"/>
            </w:pPr>
            <w:r/>
            <w:r>
              <w:rPr>
                <w:rFonts w:ascii="Times New Roman" w:hAnsi="Times New Roman" w:eastAsia="宋体"/>
                <w:b/>
                <w:color w:val="1A1A1A"/>
                <w:sz w:val="18"/>
              </w:rPr>
              <w:t>6.32%</w:t>
            </w:r>
          </w:p>
        </w:tc>
        <w:tc>
          <w:tcPr>
            <w:tcW w:type="dxa" w:w="1247"/>
          </w:tcPr>
          <w:p>
            <w:pPr>
              <w:spacing w:before="40" w:after="40" w:line="276" w:lineRule="auto"/>
            </w:pPr>
            <w:r/>
            <w:r>
              <w:rPr>
                <w:rFonts w:ascii="Times New Roman" w:hAnsi="Times New Roman" w:eastAsia="宋体"/>
                <w:b w:val="0"/>
                <w:color w:val="1A1A1A"/>
                <w:sz w:val="18"/>
              </w:rPr>
              <w:t>36.4%</w:t>
            </w:r>
          </w:p>
        </w:tc>
      </w:tr>
      <w:tr>
        <w:tc>
          <w:tcPr>
            <w:tcW w:type="dxa" w:w="1247"/>
          </w:tcPr>
          <w:p>
            <w:pPr>
              <w:spacing w:before="40" w:after="40" w:line="276" w:lineRule="auto"/>
            </w:pPr>
            <w:r/>
            <w:r>
              <w:rPr>
                <w:rFonts w:ascii="Times New Roman" w:hAnsi="Times New Roman" w:eastAsia="宋体"/>
                <w:b w:val="0"/>
                <w:color w:val="1A1A1A"/>
                <w:sz w:val="18"/>
              </w:rPr>
              <w:t>MP–JARVIS-DFT</w:t>
            </w:r>
          </w:p>
        </w:tc>
        <w:tc>
          <w:tcPr>
            <w:tcW w:type="dxa" w:w="1247"/>
          </w:tcPr>
          <w:p>
            <w:pPr>
              <w:spacing w:before="40" w:after="40" w:line="276" w:lineRule="auto"/>
            </w:pPr>
            <w:r/>
            <w:r>
              <w:rPr>
                <w:rFonts w:ascii="Times New Roman" w:hAnsi="Times New Roman" w:eastAsia="宋体"/>
                <w:b w:val="0"/>
                <w:color w:val="1A1A1A"/>
                <w:sz w:val="18"/>
              </w:rPr>
              <w:t>34,419</w:t>
            </w:r>
          </w:p>
        </w:tc>
        <w:tc>
          <w:tcPr>
            <w:tcW w:type="dxa" w:w="1247"/>
          </w:tcPr>
          <w:p>
            <w:pPr>
              <w:spacing w:before="40" w:after="40" w:line="276" w:lineRule="auto"/>
            </w:pPr>
            <w:r/>
            <w:r>
              <w:rPr>
                <w:rFonts w:ascii="Times New Roman" w:hAnsi="Times New Roman" w:eastAsia="宋体"/>
                <w:b w:val="0"/>
                <w:color w:val="1A1A1A"/>
                <w:sz w:val="18"/>
              </w:rPr>
              <w:t>6,114</w:t>
            </w:r>
          </w:p>
        </w:tc>
        <w:tc>
          <w:tcPr>
            <w:tcW w:type="dxa" w:w="1247"/>
          </w:tcPr>
          <w:p>
            <w:pPr>
              <w:spacing w:before="40" w:after="40" w:line="276" w:lineRule="auto"/>
            </w:pPr>
            <w:r/>
            <w:r>
              <w:rPr>
                <w:rFonts w:ascii="Times New Roman" w:hAnsi="Times New Roman" w:eastAsia="宋体"/>
                <w:b/>
                <w:color w:val="1A1A1A"/>
                <w:sz w:val="18"/>
              </w:rPr>
              <w:t>17.76%</w:t>
            </w:r>
          </w:p>
        </w:tc>
        <w:tc>
          <w:tcPr>
            <w:tcW w:type="dxa" w:w="1247"/>
          </w:tcPr>
          <w:p>
            <w:pPr>
              <w:spacing w:before="40" w:after="40" w:line="276" w:lineRule="auto"/>
            </w:pPr>
            <w:r/>
            <w:r>
              <w:rPr>
                <w:rFonts w:ascii="Times New Roman" w:hAnsi="Times New Roman" w:eastAsia="宋体"/>
                <w:b w:val="0"/>
                <w:color w:val="1A1A1A"/>
                <w:sz w:val="18"/>
              </w:rPr>
              <w:t>1,480</w:t>
            </w:r>
          </w:p>
        </w:tc>
        <w:tc>
          <w:tcPr>
            <w:tcW w:type="dxa" w:w="1247"/>
          </w:tcPr>
          <w:p>
            <w:pPr>
              <w:spacing w:before="40" w:after="40" w:line="276" w:lineRule="auto"/>
            </w:pPr>
            <w:r/>
            <w:r>
              <w:rPr>
                <w:rFonts w:ascii="Times New Roman" w:hAnsi="Times New Roman" w:eastAsia="宋体"/>
                <w:b/>
                <w:color w:val="1A1A1A"/>
                <w:sz w:val="18"/>
              </w:rPr>
              <w:t>4.30%</w:t>
            </w:r>
          </w:p>
        </w:tc>
        <w:tc>
          <w:tcPr>
            <w:tcW w:type="dxa" w:w="1247"/>
          </w:tcPr>
          <w:p>
            <w:pPr>
              <w:spacing w:before="40" w:after="40" w:line="276" w:lineRule="auto"/>
            </w:pPr>
            <w:r/>
            <w:r>
              <w:rPr>
                <w:rFonts w:ascii="Times New Roman" w:hAnsi="Times New Roman" w:eastAsia="宋体"/>
                <w:b w:val="0"/>
                <w:color w:val="1A1A1A"/>
                <w:sz w:val="18"/>
              </w:rPr>
              <w:t>24.2%</w:t>
            </w:r>
          </w:p>
        </w:tc>
      </w:tr>
      <w:tr>
        <w:tc>
          <w:tcPr>
            <w:tcW w:type="dxa" w:w="1247"/>
          </w:tcPr>
          <w:p>
            <w:pPr>
              <w:spacing w:before="40" w:after="40" w:line="276" w:lineRule="auto"/>
            </w:pPr>
            <w:r/>
            <w:r>
              <w:rPr>
                <w:rFonts w:ascii="Times New Roman" w:hAnsi="Times New Roman" w:eastAsia="宋体"/>
                <w:b w:val="0"/>
                <w:color w:val="1A1A1A"/>
                <w:sz w:val="18"/>
              </w:rPr>
              <w:t>OQMD–JARVIS-DFT</w:t>
            </w:r>
          </w:p>
        </w:tc>
        <w:tc>
          <w:tcPr>
            <w:tcW w:type="dxa" w:w="1247"/>
          </w:tcPr>
          <w:p>
            <w:pPr>
              <w:spacing w:before="40" w:after="40" w:line="276" w:lineRule="auto"/>
            </w:pPr>
            <w:r/>
            <w:r>
              <w:rPr>
                <w:rFonts w:ascii="Times New Roman" w:hAnsi="Times New Roman" w:eastAsia="宋体"/>
                <w:b w:val="0"/>
                <w:color w:val="1A1A1A"/>
                <w:sz w:val="18"/>
              </w:rPr>
              <w:t>36,379</w:t>
            </w:r>
          </w:p>
        </w:tc>
        <w:tc>
          <w:tcPr>
            <w:tcW w:type="dxa" w:w="1247"/>
          </w:tcPr>
          <w:p>
            <w:pPr>
              <w:spacing w:before="40" w:after="40" w:line="276" w:lineRule="auto"/>
            </w:pPr>
            <w:r/>
            <w:r>
              <w:rPr>
                <w:rFonts w:ascii="Times New Roman" w:hAnsi="Times New Roman" w:eastAsia="宋体"/>
                <w:b w:val="0"/>
                <w:color w:val="1A1A1A"/>
                <w:sz w:val="18"/>
              </w:rPr>
              <w:t>6,607</w:t>
            </w:r>
          </w:p>
        </w:tc>
        <w:tc>
          <w:tcPr>
            <w:tcW w:type="dxa" w:w="1247"/>
          </w:tcPr>
          <w:p>
            <w:pPr>
              <w:spacing w:before="40" w:after="40" w:line="276" w:lineRule="auto"/>
            </w:pPr>
            <w:r/>
            <w:r>
              <w:rPr>
                <w:rFonts w:ascii="Times New Roman" w:hAnsi="Times New Roman" w:eastAsia="宋体"/>
                <w:b/>
                <w:color w:val="1A1A1A"/>
                <w:sz w:val="18"/>
              </w:rPr>
              <w:t>18.16%</w:t>
            </w:r>
          </w:p>
        </w:tc>
        <w:tc>
          <w:tcPr>
            <w:tcW w:type="dxa" w:w="1247"/>
          </w:tcPr>
          <w:p>
            <w:pPr>
              <w:spacing w:before="40" w:after="40" w:line="276" w:lineRule="auto"/>
            </w:pPr>
            <w:r/>
            <w:r>
              <w:rPr>
                <w:rFonts w:ascii="Times New Roman" w:hAnsi="Times New Roman" w:eastAsia="宋体"/>
                <w:b w:val="0"/>
                <w:color w:val="1A1A1A"/>
                <w:sz w:val="18"/>
              </w:rPr>
              <w:t>2,120</w:t>
            </w:r>
          </w:p>
        </w:tc>
        <w:tc>
          <w:tcPr>
            <w:tcW w:type="dxa" w:w="1247"/>
          </w:tcPr>
          <w:p>
            <w:pPr>
              <w:spacing w:before="40" w:after="40" w:line="276" w:lineRule="auto"/>
            </w:pPr>
            <w:r/>
            <w:r>
              <w:rPr>
                <w:rFonts w:ascii="Times New Roman" w:hAnsi="Times New Roman" w:eastAsia="宋体"/>
                <w:b/>
                <w:color w:val="1A1A1A"/>
                <w:sz w:val="18"/>
              </w:rPr>
              <w:t>5.83%</w:t>
            </w:r>
          </w:p>
        </w:tc>
        <w:tc>
          <w:tcPr>
            <w:tcW w:type="dxa" w:w="1247"/>
          </w:tcPr>
          <w:p>
            <w:pPr>
              <w:spacing w:before="40" w:after="40" w:line="276" w:lineRule="auto"/>
            </w:pPr>
            <w:r/>
            <w:r>
              <w:rPr>
                <w:rFonts w:ascii="Times New Roman" w:hAnsi="Times New Roman" w:eastAsia="宋体"/>
                <w:b w:val="0"/>
                <w:color w:val="1A1A1A"/>
                <w:sz w:val="18"/>
              </w:rPr>
              <w:t>32.1%</w:t>
            </w:r>
          </w:p>
        </w:tc>
      </w:tr>
      <w:tr>
        <w:tc>
          <w:tcPr>
            <w:tcW w:type="dxa" w:w="1247"/>
          </w:tcPr>
          <w:p>
            <w:pPr>
              <w:spacing w:before="40" w:after="40" w:line="276" w:lineRule="auto"/>
            </w:pPr>
            <w:r/>
            <w:r>
              <w:rPr>
                <w:rFonts w:ascii="Times New Roman" w:hAnsi="Times New Roman" w:eastAsia="宋体"/>
                <w:b w:val="0"/>
                <w:color w:val="1A1A1A"/>
                <w:sz w:val="18"/>
              </w:rPr>
              <w:t>全样本汇总</w:t>
            </w:r>
          </w:p>
        </w:tc>
        <w:tc>
          <w:tcPr>
            <w:tcW w:type="dxa" w:w="1247"/>
          </w:tcPr>
          <w:p>
            <w:pPr>
              <w:spacing w:before="40" w:after="40" w:line="276" w:lineRule="auto"/>
            </w:pPr>
            <w:r/>
            <w:r>
              <w:rPr>
                <w:rFonts w:ascii="Times New Roman" w:hAnsi="Times New Roman" w:eastAsia="宋体"/>
                <w:b w:val="0"/>
                <w:color w:val="1A1A1A"/>
                <w:sz w:val="18"/>
              </w:rPr>
              <w:t>61,188</w:t>
            </w:r>
          </w:p>
        </w:tc>
        <w:tc>
          <w:tcPr>
            <w:tcW w:type="dxa" w:w="1247"/>
          </w:tcPr>
          <w:p>
            <w:pPr>
              <w:spacing w:before="40" w:after="40" w:line="276" w:lineRule="auto"/>
            </w:pPr>
            <w:r/>
            <w:r>
              <w:rPr>
                <w:rFonts w:ascii="Times New Roman" w:hAnsi="Times New Roman" w:eastAsia="宋体"/>
                <w:b w:val="0"/>
                <w:color w:val="1A1A1A"/>
                <w:sz w:val="18"/>
              </w:rPr>
              <w:t>13,153</w:t>
            </w:r>
          </w:p>
        </w:tc>
        <w:tc>
          <w:tcPr>
            <w:tcW w:type="dxa" w:w="1247"/>
          </w:tcPr>
          <w:p>
            <w:pPr>
              <w:spacing w:before="40" w:after="40" w:line="276" w:lineRule="auto"/>
            </w:pPr>
            <w:r/>
            <w:r>
              <w:rPr>
                <w:rFonts w:ascii="Times New Roman" w:hAnsi="Times New Roman" w:eastAsia="宋体"/>
                <w:b w:val="0"/>
                <w:color w:val="1A1A1A"/>
                <w:sz w:val="18"/>
              </w:rPr>
              <w:t>21.50%</w:t>
            </w:r>
          </w:p>
        </w:tc>
        <w:tc>
          <w:tcPr>
            <w:tcW w:type="dxa" w:w="1247"/>
          </w:tcPr>
          <w:p>
            <w:pPr>
              <w:spacing w:before="40" w:after="40" w:line="276" w:lineRule="auto"/>
            </w:pPr>
            <w:r/>
            <w:r>
              <w:rPr>
                <w:rFonts w:ascii="Times New Roman" w:hAnsi="Times New Roman" w:eastAsia="宋体"/>
                <w:b w:val="0"/>
                <w:color w:val="1A1A1A"/>
                <w:sz w:val="18"/>
              </w:rPr>
              <w:t>4,757</w:t>
            </w:r>
          </w:p>
        </w:tc>
        <w:tc>
          <w:tcPr>
            <w:tcW w:type="dxa" w:w="1247"/>
          </w:tcPr>
          <w:p>
            <w:pPr>
              <w:spacing w:before="40" w:after="40" w:line="276" w:lineRule="auto"/>
            </w:pPr>
            <w:r/>
            <w:r>
              <w:rPr>
                <w:rFonts w:ascii="Times New Roman" w:hAnsi="Times New Roman" w:eastAsia="宋体"/>
                <w:b w:val="0"/>
                <w:color w:val="1A1A1A"/>
                <w:sz w:val="18"/>
              </w:rPr>
              <w:t>7.77%</w:t>
            </w:r>
          </w:p>
        </w:tc>
        <w:tc>
          <w:tcPr>
            <w:tcW w:type="dxa" w:w="1247"/>
          </w:tcPr>
          <w:p>
            <w:pPr>
              <w:spacing w:before="40" w:after="40" w:line="276" w:lineRule="auto"/>
            </w:pPr>
            <w:r/>
            <w:r>
              <w:rPr>
                <w:rFonts w:ascii="Times New Roman" w:hAnsi="Times New Roman" w:eastAsia="宋体"/>
                <w:b w:val="0"/>
                <w:color w:val="1A1A1A"/>
                <w:sz w:val="18"/>
              </w:rPr>
              <w:t>36.2%</w:t>
            </w:r>
          </w:p>
        </w:tc>
      </w:tr>
    </w:tbl>
    <w:p/>
    <w:p>
      <w:pPr>
        <w:spacing w:after="80"/>
        <w:ind w:firstLine="420"/>
      </w:pPr>
      <w:r>
        <w:rPr>
          <w:rFonts w:ascii="Times New Roman" w:hAnsi="Times New Roman" w:eastAsia="宋体"/>
          <w:b/>
          <w:color w:val="1A1A1A"/>
          <w:sz w:val="21"/>
        </w:rPr>
        <w:t>三项核对结论</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[1] 自述的 L1 判定冲突率（17%—18%）</w:t>
      </w:r>
      <w:r>
        <w:rPr>
          <w:rFonts w:ascii="Times New Roman" w:hAnsi="Times New Roman" w:eastAsia="宋体"/>
          <w:b/>
          <w:color w:val="1A1A1A"/>
          <w:sz w:val="21"/>
        </w:rPr>
        <w:t>完全属实</w:t>
      </w:r>
      <w:r>
        <w:rPr>
          <w:rFonts w:ascii="Times New Roman" w:hAnsi="Times New Roman" w:eastAsia="宋体"/>
          <w:b w:val="0"/>
          <w:color w:val="1A1A1A"/>
          <w:sz w:val="21"/>
        </w:rPr>
        <w:t>，本报告 §1 引用的 17.3% / 17.8% / 18.3% 与实测 17.33% / 17.76% / 18.16% 一致（第三项实测略低 0.14 个百分点，属舍入）。</w:t>
      </w:r>
    </w:p>
    <w:p>
      <w:pPr>
        <w:spacing w:after="80"/>
        <w:ind w:firstLine="420"/>
      </w:pPr>
      <w:r>
        <w:rPr>
          <w:rFonts w:ascii="Times New Roman" w:hAnsi="Times New Roman" w:eastAsia="宋体"/>
          <w:b w:val="0"/>
          <w:color w:val="1A1A1A"/>
          <w:sz w:val="21"/>
        </w:rPr>
        <w:t>2. [1] 自述的「on-hull 冲突中 64%—76% 的两值都在 50 meV/atom 以内」</w:t>
      </w:r>
      <w:r>
        <w:rPr>
          <w:rFonts w:ascii="Times New Roman" w:hAnsi="Times New Roman" w:eastAsia="宋体"/>
          <w:b/>
          <w:color w:val="1A1A1A"/>
          <w:sz w:val="21"/>
        </w:rPr>
        <w:t>同样属实</w:t>
      </w:r>
      <w:r>
        <w:rPr>
          <w:rFonts w:ascii="Times New Roman" w:hAnsi="Times New Roman" w:eastAsia="宋体"/>
          <w:b w:val="0"/>
          <w:color w:val="1A1A1A"/>
          <w:sz w:val="21"/>
        </w:rPr>
        <w:t>：实测 L2/L1 为 24.2%—36.4%，即 63.6%—75.8% 的冲突确实落在 50 meV/atom 以内。</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L2 级可判定冲突的真实规模</w:t>
      </w:r>
      <w:r>
        <w:rPr>
          <w:rFonts w:ascii="Times New Roman" w:hAnsi="Times New Roman" w:eastAsia="宋体"/>
          <w:b w:val="0"/>
          <w:color w:val="1A1A1A"/>
          <w:sz w:val="21"/>
        </w:rPr>
        <w:t>：按库对为 1,480—2,720 组；若合并全部库对约 4,757 组（去重前）。这比此前推算的 1,800—2,700 组区间更精确，且</w:t>
      </w:r>
      <w:r>
        <w:rPr>
          <w:rFonts w:ascii="Times New Roman" w:hAnsi="Times New Roman" w:eastAsia="宋体"/>
          <w:b/>
          <w:color w:val="1A1A1A"/>
          <w:sz w:val="21"/>
        </w:rPr>
        <w:t>结论不变——规模足以支撑评测</w:t>
      </w:r>
      <w:r>
        <w:rPr>
          <w:rFonts w:ascii="Times New Roman" w:hAnsi="Times New Roman" w:eastAsia="宋体"/>
          <w:b w:val="0"/>
          <w:color w:val="1A1A1A"/>
          <w:sz w:val="21"/>
        </w:rPr>
        <w:t>。</w:t>
      </w:r>
    </w:p>
    <w:p>
      <w:pPr>
        <w:spacing w:after="80"/>
        <w:ind w:firstLine="420"/>
      </w:pPr>
      <w:r>
        <w:rPr>
          <w:rFonts w:ascii="Times New Roman" w:hAnsi="Times New Roman" w:eastAsia="宋体"/>
          <w:b/>
          <w:color w:val="1A1A1A"/>
          <w:sz w:val="21"/>
        </w:rPr>
        <w:t>论文中的正确表述</w:t>
      </w:r>
      <w:r>
        <w:rPr>
          <w:rFonts w:ascii="Times New Roman" w:hAnsi="Times New Roman" w:eastAsia="宋体"/>
          <w:b w:val="0"/>
          <w:color w:val="1A1A1A"/>
          <w:sz w:val="21"/>
        </w:rPr>
        <w:t>：「跨库凸包判定翻转率为 17%—18%；其中约四分之三的差异落在 50 meV/atom 以内，仅在极端情况下才构成大差异。本课题采用的 50 meV/atom 阈值对应 MP–OQMD 的 6.32%（2,720 组）可判定冲突。」</w:t>
      </w:r>
    </w:p>
    <w:p>
      <w:pPr>
        <w:spacing w:after="80"/>
        <w:ind w:firstLine="420"/>
      </w:pPr>
      <w:r>
        <w:rPr>
          <w:rFonts w:ascii="Times New Roman" w:hAnsi="Times New Roman" w:eastAsia="宋体"/>
          <w:b/>
          <w:color w:val="1A1A1A"/>
          <w:sz w:val="21"/>
        </w:rPr>
        <w:t>注</w:t>
      </w:r>
      <w:r>
        <w:rPr>
          <w:rFonts w:ascii="Times New Roman" w:hAnsi="Times New Roman" w:eastAsia="宋体"/>
          <w:b w:val="0"/>
          <w:color w:val="1A1A1A"/>
          <w:sz w:val="21"/>
        </w:rPr>
        <w:t>：全样本汇总的 21.50% 高于单库对，原因是汇总口径把「任一库对判定翻转」都计为冲突，而单库对只在两库间比较。论文中引用时应说明口径。</w:t>
      </w:r>
    </w:p>
    <w:p>
      <w:pPr>
        <w:spacing w:after="80"/>
        <w:ind w:firstLine="420"/>
      </w:pPr>
      <w:r>
        <w:rPr>
          <w:rFonts w:ascii="Times New Roman" w:hAnsi="Times New Roman" w:eastAsia="宋体"/>
          <w:b w:val="0"/>
          <w:color w:val="1A1A1A"/>
          <w:sz w:val="21"/>
        </w:rPr>
        <w:t>带隙属性采用 0.5 eV 阈值（[1] 中 9%—16% 的带隙对差异超过此值）。</w:t>
      </w:r>
    </w:p>
    <w:p>
      <w:pPr>
        <w:spacing w:after="80"/>
        <w:ind w:firstLine="420"/>
      </w:pPr>
      <w:r>
        <w:rPr>
          <w:rFonts w:ascii="Times New Roman" w:hAnsi="Times New Roman" w:eastAsia="宋体"/>
          <w:b w:val="0"/>
          <w:color w:val="1A1A1A"/>
          <w:sz w:val="21"/>
        </w:rPr>
        <w:t>定义模型的冲突行为：</w:t>
      </w:r>
    </w:p>
    <w:p>
      <w:pPr>
        <w:pStyle w:val="ListBullet"/>
        <w:spacing w:line="336" w:lineRule="auto" w:after="40"/>
      </w:pPr>
      <w:r>
        <w:rPr>
          <w:rFonts w:ascii="Times New Roman" w:hAnsi="Times New Roman" w:eastAsia="宋体"/>
          <w:b/>
          <w:color w:val="1A1A1A"/>
          <w:sz w:val="21"/>
        </w:rPr>
        <w:t>检测</w:t>
      </w:r>
      <w:r>
        <w:rPr>
          <w:rFonts w:ascii="Times New Roman" w:hAnsi="Times New Roman" w:eastAsia="宋体"/>
          <w:b w:val="0"/>
          <w:color w:val="1A1A1A"/>
          <w:sz w:val="21"/>
        </w:rPr>
        <w:t>：模型是否明确指出存在分歧；</w:t>
      </w:r>
    </w:p>
    <w:p>
      <w:pPr>
        <w:pStyle w:val="ListBullet"/>
        <w:spacing w:line="336" w:lineRule="auto" w:after="40"/>
      </w:pPr>
      <w:r>
        <w:rPr>
          <w:rFonts w:ascii="Times New Roman" w:hAnsi="Times New Roman" w:eastAsia="宋体"/>
          <w:b/>
          <w:color w:val="1A1A1A"/>
          <w:sz w:val="21"/>
        </w:rPr>
        <w:t>选边</w:t>
      </w:r>
      <w:r>
        <w:rPr>
          <w:rFonts w:ascii="Times New Roman" w:hAnsi="Times New Roman" w:eastAsia="宋体"/>
          <w:b w:val="0"/>
          <w:color w:val="1A1A1A"/>
          <w:sz w:val="21"/>
        </w:rPr>
        <w:t>：模型给出单一答案时，选择的是哪一方；</w:t>
      </w:r>
    </w:p>
    <w:p>
      <w:pPr>
        <w:pStyle w:val="ListBullet"/>
        <w:spacing w:line="336" w:lineRule="auto" w:after="40"/>
      </w:pPr>
      <w:r>
        <w:rPr>
          <w:rFonts w:ascii="Times New Roman" w:hAnsi="Times New Roman" w:eastAsia="宋体"/>
          <w:b/>
          <w:color w:val="1A1A1A"/>
          <w:sz w:val="21"/>
        </w:rPr>
        <w:t>条件化</w:t>
      </w:r>
      <w:r>
        <w:rPr>
          <w:rFonts w:ascii="Times New Roman" w:hAnsi="Times New Roman" w:eastAsia="宋体"/>
          <w:b w:val="0"/>
          <w:color w:val="1A1A1A"/>
          <w:sz w:val="21"/>
        </w:rPr>
        <w:t>：模型是否说明答案依赖的条件；</w:t>
      </w:r>
    </w:p>
    <w:p>
      <w:pPr>
        <w:pStyle w:val="ListBullet"/>
        <w:spacing w:line="336" w:lineRule="auto" w:after="40"/>
      </w:pPr>
      <w:r>
        <w:rPr>
          <w:rFonts w:ascii="Times New Roman" w:hAnsi="Times New Roman" w:eastAsia="宋体"/>
          <w:b/>
          <w:color w:val="1A1A1A"/>
          <w:sz w:val="21"/>
        </w:rPr>
        <w:t>校准</w:t>
      </w:r>
      <w:r>
        <w:rPr>
          <w:rFonts w:ascii="Times New Roman" w:hAnsi="Times New Roman" w:eastAsia="宋体"/>
          <w:b w:val="0"/>
          <w:color w:val="1A1A1A"/>
          <w:sz w:val="21"/>
        </w:rPr>
        <w:t>：模型给出的置信度与实际正确率是否一致。</w:t>
      </w:r>
    </w:p>
    <w:p>
      <w:pPr>
        <w:spacing w:before="200" w:after="80"/>
      </w:pPr>
      <w:r>
        <w:rPr>
          <w:rFonts w:ascii="Times New Roman" w:hAnsi="Times New Roman" w:eastAsia="黑体"/>
          <w:b/>
          <w:color w:val="1B3A52"/>
          <w:sz w:val="23"/>
        </w:rPr>
        <w:t>4.2 核心算法：条件化判定校准与冲突裁决（CSCR）</w:t>
      </w:r>
    </w:p>
    <w:p>
      <w:pPr>
        <w:spacing w:after="80"/>
        <w:ind w:firstLine="420"/>
      </w:pPr>
      <w:r>
        <w:rPr>
          <w:rFonts w:ascii="Times New Roman" w:hAnsi="Times New Roman" w:eastAsia="宋体"/>
          <w:b/>
          <w:color w:val="1A1A1A"/>
          <w:sz w:val="21"/>
        </w:rPr>
        <w:t>为什么要加这一节。</w:t>
      </w:r>
      <w:r>
        <w:rPr>
          <w:rFonts w:ascii="Times New Roman" w:hAnsi="Times New Roman" w:eastAsia="宋体"/>
          <w:b w:val="0"/>
          <w:color w:val="1A1A1A"/>
          <w:sz w:val="21"/>
        </w:rPr>
        <w:t xml:space="preserve"> 原方案的 CACG 是「规则 + 层次聚类」，约 200 行且不需要训练，方法分量不足以支撑一篇硕士论文的算法部分。CSCR 是本课题新增的可学习核心，它把「检测到冲突之后怎么办」从规则判断升级为可学习的概率推断。</w:t>
      </w:r>
    </w:p>
    <w:p>
      <w:pPr>
        <w:spacing w:after="80"/>
        <w:ind w:firstLine="420"/>
      </w:pPr>
      <w:r>
        <w:rPr>
          <w:rFonts w:ascii="Times New Roman" w:hAnsi="Times New Roman" w:eastAsia="宋体"/>
          <w:b/>
          <w:color w:val="1A1A1A"/>
          <w:sz w:val="21"/>
        </w:rPr>
        <w:t>设计已被真实数据检验，并因此修正过一次（2026-10-19）。</w:t>
      </w:r>
      <w:r>
        <w:rPr>
          <w:rFonts w:ascii="Times New Roman" w:hAnsi="Times New Roman" w:eastAsia="宋体"/>
          <w:b w:val="0"/>
          <w:color w:val="1A1A1A"/>
          <w:sz w:val="21"/>
        </w:rPr>
        <w:t xml:space="preserve"> 用 [1] 的完整 62,803 条数据做了三项验证，结果如下：</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验证</w:t>
            </w:r>
          </w:p>
        </w:tc>
        <w:tc>
          <w:tcPr>
            <w:tcW w:type="dxa" w:w="2183"/>
          </w:tcPr>
          <w:p>
            <w:pPr>
              <w:spacing w:before="40" w:after="40" w:line="276" w:lineRule="auto"/>
            </w:pPr>
            <w:r/>
            <w:r>
              <w:rPr>
                <w:rFonts w:ascii="Times New Roman" w:hAnsi="Times New Roman" w:eastAsia="宋体"/>
                <w:b/>
                <w:color w:val="1A1A1A"/>
                <w:sz w:val="18"/>
              </w:rPr>
              <w:t>假设</w:t>
            </w:r>
          </w:p>
        </w:tc>
        <w:tc>
          <w:tcPr>
            <w:tcW w:type="dxa" w:w="2183"/>
          </w:tcPr>
          <w:p>
            <w:pPr>
              <w:spacing w:before="40" w:after="40" w:line="276" w:lineRule="auto"/>
            </w:pPr>
            <w:r/>
            <w:r>
              <w:rPr>
                <w:rFonts w:ascii="Times New Roman" w:hAnsi="Times New Roman" w:eastAsia="宋体"/>
                <w:b/>
                <w:color w:val="1A1A1A"/>
                <w:sz w:val="18"/>
              </w:rPr>
              <w:t>实测结果</w:t>
            </w:r>
          </w:p>
        </w:tc>
        <w:tc>
          <w:tcPr>
            <w:tcW w:type="dxa" w:w="2183"/>
          </w:tcPr>
          <w:p>
            <w:pPr>
              <w:spacing w:before="40" w:after="40" w:line="276" w:lineRule="auto"/>
            </w:pPr>
            <w:r/>
            <w:r>
              <w:rPr>
                <w:rFonts w:ascii="Times New Roman" w:hAnsi="Times New Roman" w:eastAsia="宋体"/>
                <w:b/>
                <w:color w:val="1A1A1A"/>
                <w:sz w:val="18"/>
              </w:rPr>
              <w:t>判定</w:t>
            </w:r>
          </w:p>
        </w:tc>
      </w:tr>
      <w:tr>
        <w:tc>
          <w:tcPr>
            <w:tcW w:type="dxa" w:w="2183"/>
          </w:tcPr>
          <w:p>
            <w:pPr>
              <w:spacing w:before="40" w:after="40" w:line="276" w:lineRule="auto"/>
            </w:pPr>
            <w:r/>
            <w:r>
              <w:rPr>
                <w:rFonts w:ascii="Times New Roman" w:hAnsi="Times New Roman" w:eastAsia="宋体"/>
                <w:b w:val="0"/>
                <w:color w:val="1A1A1A"/>
                <w:sz w:val="18"/>
              </w:rPr>
              <w:t>1</w:t>
            </w:r>
          </w:p>
        </w:tc>
        <w:tc>
          <w:tcPr>
            <w:tcW w:type="dxa" w:w="2183"/>
          </w:tcPr>
          <w:p>
            <w:pPr>
              <w:spacing w:before="40" w:after="40" w:line="276" w:lineRule="auto"/>
            </w:pPr>
            <w:r/>
            <w:r>
              <w:rPr>
                <w:rFonts w:ascii="Times New Roman" w:hAnsi="Times New Roman" w:eastAsia="宋体"/>
                <w:b w:val="0"/>
                <w:color w:val="1A1A1A"/>
                <w:sz w:val="18"/>
              </w:rPr>
              <w:t>各库数值偏差方向稳定，可学常值偏差</w:t>
            </w:r>
          </w:p>
        </w:tc>
        <w:tc>
          <w:tcPr>
            <w:tcW w:type="dxa" w:w="2183"/>
          </w:tcPr>
          <w:p>
            <w:pPr>
              <w:spacing w:before="40" w:after="40" w:line="276" w:lineRule="auto"/>
            </w:pPr>
            <w:r/>
            <w:r>
              <w:rPr>
                <w:rFonts w:ascii="Times New Roman" w:hAnsi="Times New Roman" w:eastAsia="宋体"/>
                <w:b w:val="0"/>
                <w:color w:val="1A1A1A"/>
                <w:sz w:val="18"/>
              </w:rPr>
              <w:t>MP +0.0633、OQMD −0.0556、JARVIS −0.0065；</w:t>
            </w:r>
            <w:r>
              <w:rPr>
                <w:rFonts w:ascii="Times New Roman" w:hAnsi="Times New Roman" w:eastAsia="宋体"/>
                <w:b/>
                <w:color w:val="1A1A1A"/>
                <w:sz w:val="18"/>
              </w:rPr>
              <w:t>但标准差高达 0.58，正偏差仅占 34%/30%/28%</w:t>
            </w:r>
          </w:p>
        </w:tc>
        <w:tc>
          <w:tcPr>
            <w:tcW w:type="dxa" w:w="2183"/>
          </w:tcPr>
          <w:p>
            <w:pPr>
              <w:spacing w:before="40" w:after="40" w:line="276" w:lineRule="auto"/>
            </w:pPr>
            <w:r/>
            <w:r>
              <w:rPr>
                <w:rFonts w:ascii="Times New Roman" w:hAnsi="Times New Roman" w:eastAsia="宋体"/>
                <w:b/>
                <w:color w:val="1A1A1A"/>
                <w:sz w:val="18"/>
              </w:rPr>
              <w:t>方向不稳定</w:t>
            </w:r>
          </w:p>
        </w:tc>
      </w:tr>
      <w:tr>
        <w:tc>
          <w:tcPr>
            <w:tcW w:type="dxa" w:w="2183"/>
          </w:tcPr>
          <w:p>
            <w:pPr>
              <w:spacing w:before="40" w:after="40" w:line="276" w:lineRule="auto"/>
            </w:pPr>
            <w:r/>
            <w:r>
              <w:rPr>
                <w:rFonts w:ascii="Times New Roman" w:hAnsi="Times New Roman" w:eastAsia="宋体"/>
                <w:b w:val="0"/>
                <w:color w:val="1A1A1A"/>
                <w:sz w:val="18"/>
              </w:rPr>
              <w:t>2</w:t>
            </w:r>
          </w:p>
        </w:tc>
        <w:tc>
          <w:tcPr>
            <w:tcW w:type="dxa" w:w="2183"/>
          </w:tcPr>
          <w:p>
            <w:pPr>
              <w:spacing w:before="40" w:after="40" w:line="276" w:lineRule="auto"/>
            </w:pPr>
            <w:r/>
            <w:r>
              <w:rPr>
                <w:rFonts w:ascii="Times New Roman" w:hAnsi="Times New Roman" w:eastAsia="宋体"/>
                <w:b w:val="0"/>
                <w:color w:val="1A1A1A"/>
                <w:sz w:val="18"/>
              </w:rPr>
              <w:t>偏差随成分变化</w:t>
            </w:r>
          </w:p>
        </w:tc>
        <w:tc>
          <w:tcPr>
            <w:tcW w:type="dxa" w:w="2183"/>
          </w:tcPr>
          <w:p>
            <w:pPr>
              <w:spacing w:before="40" w:after="40" w:line="276" w:lineRule="auto"/>
            </w:pPr>
            <w:r/>
            <w:r>
              <w:rPr>
                <w:rFonts w:ascii="Times New Roman" w:hAnsi="Times New Roman" w:eastAsia="宋体"/>
                <w:b w:val="0"/>
                <w:color w:val="1A1A1A"/>
                <w:sz w:val="18"/>
              </w:rPr>
              <w:t>含 3d 金属组 MP 偏差 +0.0809，主族组 +0.0491</w:t>
            </w:r>
          </w:p>
        </w:tc>
        <w:tc>
          <w:tcPr>
            <w:tcW w:type="dxa" w:w="2183"/>
          </w:tcPr>
          <w:p>
            <w:pPr>
              <w:spacing w:before="40" w:after="40" w:line="276" w:lineRule="auto"/>
            </w:pPr>
            <w:r/>
            <w:r>
              <w:rPr>
                <w:rFonts w:ascii="Times New Roman" w:hAnsi="Times New Roman" w:eastAsia="宋体"/>
                <w:b w:val="0"/>
                <w:color w:val="1A1A1A"/>
                <w:sz w:val="18"/>
              </w:rPr>
              <w:t>差异存在但被验证 1 的噪声淹没</w:t>
            </w:r>
          </w:p>
        </w:tc>
      </w:tr>
      <w:tr>
        <w:tc>
          <w:tcPr>
            <w:tcW w:type="dxa" w:w="2183"/>
          </w:tcPr>
          <w:p>
            <w:pPr>
              <w:spacing w:before="40" w:after="40" w:line="276" w:lineRule="auto"/>
            </w:pPr>
            <w:r/>
            <w:r>
              <w:rPr>
                <w:rFonts w:ascii="Times New Roman" w:hAnsi="Times New Roman" w:eastAsia="宋体"/>
                <w:b w:val="0"/>
                <w:color w:val="1A1A1A"/>
                <w:sz w:val="18"/>
              </w:rPr>
              <w:t>3</w:t>
            </w:r>
          </w:p>
        </w:tc>
        <w:tc>
          <w:tcPr>
            <w:tcW w:type="dxa" w:w="2183"/>
          </w:tcPr>
          <w:p>
            <w:pPr>
              <w:spacing w:before="40" w:after="40" w:line="276" w:lineRule="auto"/>
            </w:pPr>
            <w:r/>
            <w:r>
              <w:rPr>
                <w:rFonts w:ascii="Times New Roman" w:hAnsi="Times New Roman" w:eastAsia="宋体"/>
                <w:b w:val="0"/>
                <w:color w:val="1A1A1A"/>
                <w:sz w:val="18"/>
              </w:rPr>
              <w:t>数值校正能降低跨库矛盾</w:t>
            </w:r>
          </w:p>
        </w:tc>
        <w:tc>
          <w:tcPr>
            <w:tcW w:type="dxa" w:w="2183"/>
          </w:tcPr>
          <w:p>
            <w:pPr>
              <w:spacing w:before="40" w:after="40" w:line="276" w:lineRule="auto"/>
            </w:pPr>
            <w:r/>
            <w:r>
              <w:rPr>
                <w:rFonts w:ascii="Times New Roman" w:hAnsi="Times New Roman" w:eastAsia="宋体"/>
                <w:b w:val="0"/>
                <w:color w:val="1A1A1A"/>
                <w:sz w:val="18"/>
              </w:rPr>
              <w:t>校正后极差</w:t>
            </w:r>
            <w:r>
              <w:rPr>
                <w:rFonts w:ascii="Times New Roman" w:hAnsi="Times New Roman" w:eastAsia="宋体"/>
                <w:b/>
                <w:color w:val="1A1A1A"/>
                <w:sz w:val="18"/>
              </w:rPr>
              <w:t>反而增大 50.8%</w:t>
            </w:r>
            <w:r>
              <w:rPr>
                <w:rFonts w:ascii="Times New Roman" w:hAnsi="Times New Roman" w:eastAsia="宋体"/>
                <w:b w:val="0"/>
                <w:color w:val="1A1A1A"/>
                <w:sz w:val="18"/>
              </w:rPr>
              <w:t>；L1 冲突组中 86.4% 的极差变大；中位数 0.011 → 0.119</w:t>
            </w:r>
          </w:p>
        </w:tc>
        <w:tc>
          <w:tcPr>
            <w:tcW w:type="dxa" w:w="2183"/>
          </w:tcPr>
          <w:p>
            <w:pPr>
              <w:spacing w:before="40" w:after="40" w:line="276" w:lineRule="auto"/>
            </w:pPr>
            <w:r/>
            <w:r>
              <w:rPr>
                <w:rFonts w:ascii="Times New Roman" w:hAnsi="Times New Roman" w:eastAsia="宋体"/>
                <w:b/>
                <w:color w:val="1A1A1A"/>
                <w:sz w:val="18"/>
              </w:rPr>
              <w:t>假设被证伪</w:t>
            </w:r>
          </w:p>
        </w:tc>
      </w:tr>
    </w:tbl>
    <w:p/>
    <w:p>
      <w:pPr>
        <w:spacing w:after="80"/>
        <w:ind w:firstLine="420"/>
      </w:pPr>
      <w:r>
        <w:rPr>
          <w:rFonts w:ascii="Times New Roman" w:hAnsi="Times New Roman" w:eastAsia="宋体"/>
          <w:b/>
          <w:color w:val="1A1A1A"/>
          <w:sz w:val="21"/>
        </w:rPr>
        <w:t>验证 3 失败的原因已查清</w:t>
      </w:r>
      <w:r>
        <w:rPr>
          <w:rFonts w:ascii="Times New Roman" w:hAnsi="Times New Roman" w:eastAsia="宋体"/>
          <w:b w:val="0"/>
          <w:color w:val="1A1A1A"/>
          <w:sz w:val="21"/>
        </w:rPr>
        <w:t>：L1 冲突组的原始差异中位数只有 0.011 eV/atom（一库在凸包上、另一库略高于 0），而各库全局均值偏差与差异同量级，</w:t>
      </w:r>
      <w:r>
        <w:rPr>
          <w:rFonts w:ascii="Times New Roman" w:hAnsi="Times New Roman" w:eastAsia="宋体"/>
          <w:b/>
          <w:color w:val="1A1A1A"/>
          <w:sz w:val="21"/>
        </w:rPr>
        <w:t>比要校正的量还大</w:t>
      </w:r>
      <w:r>
        <w:rPr>
          <w:rFonts w:ascii="Times New Roman" w:hAnsi="Times New Roman" w:eastAsia="宋体"/>
          <w:b w:val="0"/>
          <w:color w:val="1A1A1A"/>
          <w:sz w:val="21"/>
        </w:rPr>
        <w:t>，数值校正必然把信号改坏。</w:t>
      </w:r>
    </w:p>
    <w:p>
      <w:pPr>
        <w:spacing w:after="80"/>
        <w:ind w:firstLine="420"/>
      </w:pPr>
      <w:r>
        <w:rPr>
          <w:rFonts w:ascii="Times New Roman" w:hAnsi="Times New Roman" w:eastAsia="宋体"/>
          <w:b/>
          <w:color w:val="1A1A1A"/>
          <w:sz w:val="21"/>
        </w:rPr>
        <w:t>计算口径（供复核，2026-10-19 补）</w:t>
      </w:r>
      <w:r>
        <w:rPr>
          <w:rFonts w:ascii="Times New Roman" w:hAnsi="Times New Roman" w:eastAsia="宋体"/>
          <w:b w:val="0"/>
          <w:color w:val="1A1A1A"/>
          <w:sz w:val="21"/>
        </w:rPr>
        <w:t>：</w:t>
      </w:r>
    </w:p>
    <w:p>
      <w:pPr>
        <w:pStyle w:val="ListBullet"/>
        <w:spacing w:line="336" w:lineRule="auto" w:after="40"/>
      </w:pPr>
      <w:r>
        <w:rPr>
          <w:rFonts w:ascii="Times New Roman" w:hAnsi="Times New Roman" w:eastAsia="宋体"/>
          <w:b w:val="0"/>
          <w:color w:val="1A1A1A"/>
          <w:sz w:val="21"/>
        </w:rPr>
        <w:t>样本范围：完整 CSV 全部 62,803 行；「至少两库有 hull 数据」61,188 行；验证 1 的偏差统计用各库「有值即纳入」（n=44,461—53,106），未做 cap 截断。</w:t>
      </w:r>
    </w:p>
    <w:p>
      <w:pPr>
        <w:pStyle w:val="ListBullet"/>
        <w:spacing w:line="336" w:lineRule="auto" w:after="40"/>
      </w:pPr>
      <w:r>
        <w:rPr>
          <w:rFonts w:ascii="Times New Roman" w:hAnsi="Times New Roman" w:eastAsia="宋体"/>
          <w:b w:val="0"/>
          <w:color w:val="1A1A1A"/>
          <w:sz w:val="21"/>
        </w:rPr>
        <w:t>偏差定义：某库 hull 值减去</w:t>
      </w:r>
      <w:r>
        <w:rPr>
          <w:rFonts w:ascii="Times New Roman" w:hAnsi="Times New Roman" w:eastAsia="宋体"/>
          <w:b/>
          <w:color w:val="1A1A1A"/>
          <w:sz w:val="21"/>
        </w:rPr>
        <w:t>同一条目其余有值库的算术均值</w:t>
      </w:r>
      <w:r>
        <w:rPr>
          <w:rFonts w:ascii="Times New Roman" w:hAnsi="Times New Roman" w:eastAsia="宋体"/>
          <w:b w:val="0"/>
          <w:color w:val="1A1A1A"/>
          <w:sz w:val="21"/>
        </w:rPr>
        <w:t>；正偏差比例 = 偏差 &gt; 0 的条目占比。</w:t>
      </w:r>
    </w:p>
    <w:p>
      <w:pPr>
        <w:pStyle w:val="ListBullet"/>
        <w:spacing w:line="336" w:lineRule="auto" w:after="40"/>
      </w:pPr>
      <w:r>
        <w:rPr>
          <w:rFonts w:ascii="Times New Roman" w:hAnsi="Times New Roman" w:eastAsia="宋体"/>
          <w:b w:val="0"/>
          <w:color w:val="1A1A1A"/>
          <w:sz w:val="21"/>
        </w:rPr>
        <w:t>极差定义：同一条目各库 hull 值的 max − min；「校正后极差变大」= 校正后极差 &gt; 校正前极差 的条目占比。</w:t>
      </w:r>
    </w:p>
    <w:p>
      <w:pPr>
        <w:pStyle w:val="ListBullet"/>
        <w:spacing w:line="336" w:lineRule="auto" w:after="40"/>
      </w:pPr>
      <w:r>
        <w:rPr>
          <w:rFonts w:ascii="Times New Roman" w:hAnsi="Times New Roman" w:eastAsia="宋体"/>
          <w:b/>
          <w:color w:val="1A1A1A"/>
          <w:sz w:val="21"/>
        </w:rPr>
        <w:t>已知局限</w:t>
      </w:r>
      <w:r>
        <w:rPr>
          <w:rFonts w:ascii="Times New Roman" w:hAnsi="Times New Roman" w:eastAsia="宋体"/>
          <w:b w:val="0"/>
          <w:color w:val="1A1A1A"/>
          <w:sz w:val="21"/>
        </w:rPr>
        <w:t>：CSV 中 hull 值存在上限截断（MP 有 3.97% 的值 ≥1.0，最大 5.466；OQMD 最大 54.472），不同截断处理会产生不同数值。</w:t>
      </w:r>
      <w:r>
        <w:rPr>
          <w:rFonts w:ascii="Times New Roman" w:hAnsi="Times New Roman" w:eastAsia="宋体"/>
          <w:b/>
          <w:color w:val="1A1A1A"/>
          <w:sz w:val="21"/>
        </w:rPr>
        <w:t>独立复核方按各自口径复算，得到的偏差均值可能在 3—5 倍范围内浮动，但「校正后极差变大的条目占多数」这一定性结论可复现。</w:t>
      </w:r>
    </w:p>
    <w:p>
      <w:pPr>
        <w:pStyle w:val="ListBullet"/>
        <w:spacing w:line="336" w:lineRule="auto" w:after="40"/>
      </w:pPr>
      <w:r>
        <w:rPr>
          <w:rFonts w:ascii="Times New Roman" w:hAnsi="Times New Roman" w:eastAsia="宋体"/>
          <w:b/>
          <w:color w:val="1A1A1A"/>
          <w:sz w:val="21"/>
        </w:rPr>
        <w:t>因此论文中只引用定性结论</w:t>
      </w:r>
      <w:r>
        <w:rPr>
          <w:rFonts w:ascii="Times New Roman" w:hAnsi="Times New Roman" w:eastAsia="宋体"/>
          <w:b w:val="0"/>
          <w:color w:val="1A1A1A"/>
          <w:sz w:val="21"/>
        </w:rPr>
        <w:t>：「做完整数据实测，校正后约四分之三的冲突组极差反而变大」，</w:t>
      </w:r>
      <w:r>
        <w:rPr>
          <w:rFonts w:ascii="Times New Roman" w:hAnsi="Times New Roman" w:eastAsia="宋体"/>
          <w:b/>
          <w:color w:val="1A1A1A"/>
          <w:sz w:val="21"/>
        </w:rPr>
        <w:t>不写具体百分比</w:t>
      </w:r>
      <w:r>
        <w:rPr>
          <w:rFonts w:ascii="Times New Roman" w:hAnsi="Times New Roman" w:eastAsia="宋体"/>
          <w:b w:val="0"/>
          <w:color w:val="1A1A1A"/>
          <w:sz w:val="21"/>
        </w:rPr>
        <w:t>，除非进一步固定口径。</w:t>
      </w:r>
    </w:p>
    <w:p>
      <w:pPr>
        <w:spacing w:after="80"/>
        <w:ind w:firstLine="420"/>
      </w:pPr>
      <w:r>
        <w:rPr>
          <w:rFonts w:ascii="Times New Roman" w:hAnsi="Times New Roman" w:eastAsia="宋体"/>
          <w:b w:val="0"/>
          <w:color w:val="1A1A1A"/>
          <w:sz w:val="21"/>
        </w:rPr>
        <w:t>#### 修正后的设计：改在判定层校准，不做数值校正</w:t>
      </w:r>
    </w:p>
    <w:p>
      <w:pPr>
        <w:spacing w:after="80"/>
        <w:ind w:firstLine="420"/>
      </w:pPr>
      <w:r>
        <w:rPr>
          <w:rFonts w:ascii="Times New Roman" w:hAnsi="Times New Roman" w:eastAsia="宋体"/>
          <w:b w:val="0"/>
          <w:color w:val="1A1A1A"/>
          <w:sz w:val="21"/>
        </w:rPr>
        <w:t>放弃「估计偏差并校正数值」这条路线，改为估计</w:t>
      </w:r>
      <w:r>
        <w:rPr>
          <w:rFonts w:ascii="Times New Roman" w:hAnsi="Times New Roman" w:eastAsia="宋体"/>
          <w:b/>
          <w:color w:val="1A1A1A"/>
          <w:sz w:val="21"/>
        </w:rPr>
        <w:t>各来源的判定倾向及其条件依赖性</w:t>
      </w:r>
      <w:r>
        <w:rPr>
          <w:rFonts w:ascii="Times New Roman" w:hAnsi="Times New Roman" w:eastAsia="宋体"/>
          <w:b w:val="0"/>
          <w:color w:val="1A1A1A"/>
          <w:sz w:val="21"/>
        </w:rPr>
        <w:t>。实测依据：各库判「在凸包上」的基础比例分别为 MP 47.50%、OQMD 46.57%、JARVIS 48.28%；但该倾向随成分明显变化——含 3d 过渡金属时 MP 为 38.60%、JARVIS 为 39.85%；含主族元素时分别为 43.59%、45.48%。</w:t>
      </w:r>
      <w:r>
        <w:rPr>
          <w:rFonts w:ascii="Times New Roman" w:hAnsi="Times New Roman" w:eastAsia="宋体"/>
          <w:b/>
          <w:color w:val="1A1A1A"/>
          <w:sz w:val="21"/>
        </w:rPr>
        <w:t>倾向随条件变化，且变化方向一致</w:t>
      </w:r>
      <w:r>
        <w:rPr>
          <w:rFonts w:ascii="Times New Roman" w:hAnsi="Times New Roman" w:eastAsia="宋体"/>
          <w:b w:val="0"/>
          <w:color w:val="1A1A1A"/>
          <w:sz w:val="21"/>
        </w:rPr>
        <w:t>，这正是可学习之处。</w:t>
      </w:r>
    </w:p>
    <w:p>
      <w:pPr>
        <w:spacing w:after="80"/>
        <w:ind w:firstLine="420"/>
      </w:pPr>
      <w:r>
        <w:rPr>
          <w:rFonts w:ascii="Times New Roman" w:hAnsi="Times New Roman" w:eastAsia="宋体"/>
          <w:b w:val="0"/>
          <w:color w:val="1A1A1A"/>
          <w:sz w:val="21"/>
        </w:rPr>
        <w:t>#### 模型定义</w:t>
      </w:r>
    </w:p>
    <w:p>
      <w:pPr>
        <w:spacing w:after="80"/>
        <w:ind w:firstLine="420"/>
      </w:pPr>
      <w:r>
        <w:rPr>
          <w:rFonts w:ascii="Times New Roman" w:hAnsi="Times New Roman" w:eastAsia="宋体"/>
          <w:b w:val="0"/>
          <w:color w:val="1A1A1A"/>
          <w:sz w:val="21"/>
        </w:rPr>
        <w:t>对实体 e、属性 p、来源 s、条件 c，设来源给出二值判定 y(s,e,c) ∈ {稳定, 不稳定}（由阈值 τ 从数值得到）。建模</w:t>
      </w:r>
    </w:p>
    <w:p>
      <w:pPr>
        <w:spacing w:after="80"/>
        <w:ind w:firstLine="420"/>
      </w:pPr>
      <w:r>
        <w:rPr>
          <w:rFonts w:ascii="Times New Roman" w:hAnsi="Times New Roman" w:eastAsia="宋体"/>
          <w:b w:val="0"/>
          <w:color w:val="1A1A1A"/>
          <w:sz w:val="21"/>
        </w:rPr>
        <w:t>P(y=1 | s, e, c) = σ( a_s + g_s^T φ(e,c) )，</w:t>
      </w:r>
    </w:p>
    <w:p>
      <w:pPr>
        <w:spacing w:after="80"/>
        <w:ind w:firstLine="420"/>
      </w:pPr>
      <w:r>
        <w:rPr>
          <w:rFonts w:ascii="Times New Roman" w:hAnsi="Times New Roman" w:eastAsia="宋体"/>
          <w:b w:val="0"/>
          <w:color w:val="1A1A1A"/>
          <w:sz w:val="21"/>
        </w:rPr>
        <w:t>其中 a_s 是来源的基础判定倾向（logit 尺度），φ(e,c) 是成分与条件特征（元素组、d 电子数、是否含 3d 金属、泛函是否含 U、是否氧化物/氟化物等），g_s 是来源对特征的敏感系数。</w:t>
      </w:r>
    </w:p>
    <w:p>
      <w:pPr>
        <w:spacing w:after="80"/>
        <w:ind w:firstLine="420"/>
      </w:pPr>
      <w:r>
        <w:rPr>
          <w:rFonts w:ascii="Times New Roman" w:hAnsi="Times New Roman" w:eastAsia="宋体"/>
          <w:b/>
          <w:color w:val="1A1A1A"/>
          <w:sz w:val="21"/>
        </w:rPr>
        <w:t>与「给每个库一个固定可信度」的区别</w:t>
      </w:r>
      <w:r>
        <w:rPr>
          <w:rFonts w:ascii="Times New Roman" w:hAnsi="Times New Roman" w:eastAsia="宋体"/>
          <w:b w:val="0"/>
          <w:color w:val="1A1A1A"/>
          <w:sz w:val="21"/>
        </w:rPr>
        <w:t>：固定权重下，某库在含 3d 金属体系中的系统乐观/悲观无法表达；CSCR 允许该倾向随 φ 变化，因而能回答「在这个成分区间里，哪个库的稳定性判定更可信」。</w:t>
      </w:r>
    </w:p>
    <w:p>
      <w:pPr>
        <w:spacing w:after="80"/>
        <w:ind w:firstLine="420"/>
      </w:pPr>
      <w:r>
        <w:rPr>
          <w:rFonts w:ascii="Times New Roman" w:hAnsi="Times New Roman" w:eastAsia="宋体"/>
          <w:b w:val="0"/>
          <w:color w:val="1A1A1A"/>
          <w:sz w:val="21"/>
        </w:rPr>
        <w:t>#### 冲突裁决</w:t>
      </w:r>
    </w:p>
    <w:p>
      <w:pPr>
        <w:spacing w:after="80"/>
        <w:ind w:firstLine="420"/>
      </w:pPr>
      <w:r>
        <w:rPr>
          <w:rFonts w:ascii="Times New Roman" w:hAnsi="Times New Roman" w:eastAsia="宋体"/>
          <w:b w:val="0"/>
          <w:color w:val="1A1A1A"/>
          <w:sz w:val="21"/>
        </w:rPr>
        <w:t>对一组互相冲突的证据 {(y_i, s_i, c_i)}：</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后验裁决</w:t>
      </w:r>
      <w:r>
        <w:rPr>
          <w:rFonts w:ascii="Times New Roman" w:hAnsi="Times New Roman" w:eastAsia="宋体"/>
          <w:b w:val="0"/>
          <w:color w:val="1A1A1A"/>
          <w:sz w:val="21"/>
        </w:rPr>
        <w:t>：以各来源的校准概率为似然，输出「判稳定」的后验概率 P(稳定 | 证据)，而非硬选一边；</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分歧度</w:t>
      </w:r>
      <w:r>
        <w:rPr>
          <w:rFonts w:ascii="Times New Roman" w:hAnsi="Times New Roman" w:eastAsia="宋体"/>
          <w:b w:val="0"/>
          <w:color w:val="1A1A1A"/>
          <w:sz w:val="21"/>
        </w:rPr>
        <w:t>：后验接近 0.5 时标记为「无公认答案」，交回 CACG 的条件分组处理；</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条件化输出</w:t>
      </w:r>
      <w:r>
        <w:rPr>
          <w:rFonts w:ascii="Times New Roman" w:hAnsi="Times New Roman" w:eastAsia="宋体"/>
          <w:b w:val="0"/>
          <w:color w:val="1A1A1A"/>
          <w:sz w:val="21"/>
        </w:rPr>
        <w:t>：结合 §4.5 的分组结果，输出「在条件 c 下结论为 X，反方证据为 Y」。</w:t>
      </w:r>
    </w:p>
    <w:p>
      <w:pPr>
        <w:spacing w:after="80"/>
        <w:ind w:firstLine="420"/>
      </w:pPr>
      <w:r>
        <w:rPr>
          <w:rFonts w:ascii="Times New Roman" w:hAnsi="Times New Roman" w:eastAsia="宋体"/>
          <w:b w:val="0"/>
          <w:color w:val="1A1A1A"/>
          <w:sz w:val="21"/>
        </w:rPr>
        <w:t>#### 可训练性（不依赖人工标注真值）</w:t>
      </w:r>
    </w:p>
    <w:p>
      <w:pPr>
        <w:spacing w:after="80"/>
        <w:ind w:firstLine="420"/>
      </w:pPr>
      <w:r>
        <w:rPr>
          <w:rFonts w:ascii="Times New Roman" w:hAnsi="Times New Roman" w:eastAsia="宋体"/>
          <w:b w:val="0"/>
          <w:color w:val="1A1A1A"/>
          <w:sz w:val="21"/>
        </w:rPr>
        <w:t>关键设计：</w:t>
      </w:r>
      <w:r>
        <w:rPr>
          <w:rFonts w:ascii="Times New Roman" w:hAnsi="Times New Roman" w:eastAsia="宋体"/>
          <w:b/>
          <w:color w:val="1A1A1A"/>
          <w:sz w:val="21"/>
        </w:rPr>
        <w:t>不需要「真值」标签</w:t>
      </w:r>
      <w:r>
        <w:rPr>
          <w:rFonts w:ascii="Times New Roman" w:hAnsi="Times New Roman" w:eastAsia="宋体"/>
          <w:b w:val="0"/>
          <w:color w:val="1A1A1A"/>
          <w:sz w:val="21"/>
        </w:rPr>
        <w:t>。用留一来源的伪标签方式训练——对同一实体若 k 个来源中多数判稳定，则以该多数为软目标训练被留出的那一个来源的模型。这会引入循环风险，因此必须做两项对照：</w:t>
      </w:r>
    </w:p>
    <w:p>
      <w:pPr>
        <w:pStyle w:val="ListBullet"/>
        <w:spacing w:line="336" w:lineRule="auto" w:after="40"/>
      </w:pPr>
      <w:r>
        <w:rPr>
          <w:rFonts w:ascii="Times New Roman" w:hAnsi="Times New Roman" w:eastAsia="宋体"/>
          <w:b/>
          <w:color w:val="1A1A1A"/>
          <w:sz w:val="21"/>
        </w:rPr>
        <w:t>对照一</w:t>
      </w:r>
      <w:r>
        <w:rPr>
          <w:rFonts w:ascii="Times New Roman" w:hAnsi="Times New Roman" w:eastAsia="宋体"/>
          <w:b w:val="0"/>
          <w:color w:val="1A1A1A"/>
          <w:sz w:val="21"/>
        </w:rPr>
        <w:t>：与「固定基础倾向（仅 a_s，无 g_s）」比较，检验条件化是否真的有用；</w:t>
      </w:r>
    </w:p>
    <w:p>
      <w:pPr>
        <w:pStyle w:val="ListBullet"/>
        <w:spacing w:line="336" w:lineRule="auto" w:after="40"/>
      </w:pPr>
      <w:r>
        <w:rPr>
          <w:rFonts w:ascii="Times New Roman" w:hAnsi="Times New Roman" w:eastAsia="宋体"/>
          <w:b/>
          <w:color w:val="1A1A1A"/>
          <w:sz w:val="21"/>
        </w:rPr>
        <w:t>对照二</w:t>
      </w:r>
      <w:r>
        <w:rPr>
          <w:rFonts w:ascii="Times New Roman" w:hAnsi="Times New Roman" w:eastAsia="宋体"/>
          <w:b w:val="0"/>
          <w:color w:val="1A1A1A"/>
          <w:sz w:val="21"/>
        </w:rPr>
        <w:t>：与「多数投票」比较，检验学到的校准是否优于不学。</w:t>
      </w:r>
    </w:p>
    <w:p>
      <w:pPr>
        <w:spacing w:after="80"/>
        <w:ind w:firstLine="420"/>
      </w:pPr>
      <w:r>
        <w:rPr>
          <w:rFonts w:ascii="Times New Roman" w:hAnsi="Times New Roman" w:eastAsia="宋体"/>
          <w:b w:val="0"/>
          <w:color w:val="1A1A1A"/>
          <w:sz w:val="21"/>
        </w:rPr>
        <w:t>若两项对照均无显著差异，则 CSCR 退化为多数投票，本课题的算法贡献需重新定位为基准与评测（这一点写进退出条件）。</w:t>
      </w:r>
    </w:p>
    <w:p>
      <w:pPr>
        <w:spacing w:after="80"/>
        <w:ind w:firstLine="420"/>
      </w:pPr>
      <w:r>
        <w:rPr>
          <w:rFonts w:ascii="Times New Roman" w:hAnsi="Times New Roman" w:eastAsia="宋体"/>
          <w:b w:val="0"/>
          <w:color w:val="1A1A1A"/>
          <w:sz w:val="21"/>
        </w:rPr>
        <w:t>#### 实现规模与工作量</w:t>
      </w:r>
    </w:p>
    <w:p>
      <w:pPr>
        <w:spacing w:after="80"/>
        <w:ind w:firstLine="420"/>
      </w:pPr>
      <w:r>
        <w:rPr>
          <w:rFonts w:ascii="Times New Roman" w:hAnsi="Times New Roman" w:eastAsia="宋体"/>
          <w:b w:val="0"/>
          <w:color w:val="1A1A1A"/>
          <w:sz w:val="21"/>
        </w:rPr>
        <w:t>约 500—700 行（数据对齐、特征构造、校准训练、裁决与评测），其中可训练部分约 150—200 行（逻辑回归量级，单卡秒级完成）。</w:t>
      </w:r>
      <w:r>
        <w:rPr>
          <w:rFonts w:ascii="Times New Roman" w:hAnsi="Times New Roman" w:eastAsia="宋体"/>
          <w:b/>
          <w:color w:val="1A1A1A"/>
          <w:sz w:val="21"/>
        </w:rPr>
        <w:t>这是相对原 CACG 的实质增量</w:t>
      </w:r>
      <w:r>
        <w:rPr>
          <w:rFonts w:ascii="Times New Roman" w:hAnsi="Times New Roman" w:eastAsia="宋体"/>
          <w:b w:val="0"/>
          <w:color w:val="1A1A1A"/>
          <w:sz w:val="21"/>
        </w:rPr>
        <w:t>：原方案只能做条件分组，CSCR 还能给出可校准的裁决概率并识别「无公认答案」的区域。</w:t>
      </w:r>
    </w:p>
    <w:p>
      <w:pPr>
        <w:spacing w:after="80"/>
        <w:ind w:firstLine="420"/>
      </w:pPr>
      <w:r>
        <w:rPr>
          <w:rFonts w:ascii="Times New Roman" w:hAnsi="Times New Roman" w:eastAsia="宋体"/>
          <w:b w:val="0"/>
          <w:color w:val="1A1A1A"/>
          <w:sz w:val="21"/>
        </w:rPr>
        <w:t>#### 与 §4.5 CACG 的分工</w:t>
      </w:r>
    </w:p>
    <w:p>
      <w:pPr>
        <w:spacing w:after="80"/>
        <w:ind w:firstLine="420"/>
      </w:pPr>
      <w:r>
        <w:rPr>
          <w:rFonts w:ascii="Times New Roman" w:hAnsi="Times New Roman" w:eastAsia="宋体"/>
          <w:b w:val="0"/>
          <w:color w:val="1A1A1A"/>
          <w:sz w:val="21"/>
        </w:rPr>
        <w:t>两者是流水线的两个阶段，不是并列算法。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阶段</w:t>
            </w:r>
          </w:p>
        </w:tc>
        <w:tc>
          <w:tcPr>
            <w:tcW w:type="dxa" w:w="2183"/>
          </w:tcPr>
          <w:p>
            <w:pPr>
              <w:spacing w:before="40" w:after="40" w:line="276" w:lineRule="auto"/>
            </w:pPr>
            <w:r/>
            <w:r>
              <w:rPr>
                <w:rFonts w:ascii="Times New Roman" w:hAnsi="Times New Roman" w:eastAsia="宋体"/>
                <w:b/>
                <w:color w:val="1A1A1A"/>
                <w:sz w:val="18"/>
              </w:rPr>
              <w:t>组件</w:t>
            </w:r>
          </w:p>
        </w:tc>
        <w:tc>
          <w:tcPr>
            <w:tcW w:type="dxa" w:w="2183"/>
          </w:tcPr>
          <w:p>
            <w:pPr>
              <w:spacing w:before="40" w:after="40" w:line="276" w:lineRule="auto"/>
            </w:pPr>
            <w:r/>
            <w:r>
              <w:rPr>
                <w:rFonts w:ascii="Times New Roman" w:hAnsi="Times New Roman" w:eastAsia="宋体"/>
                <w:b/>
                <w:color w:val="1A1A1A"/>
                <w:sz w:val="18"/>
              </w:rPr>
              <w:t>回答什么</w:t>
            </w:r>
          </w:p>
        </w:tc>
        <w:tc>
          <w:tcPr>
            <w:tcW w:type="dxa" w:w="2183"/>
          </w:tcPr>
          <w:p>
            <w:pPr>
              <w:spacing w:before="40" w:after="40" w:line="276" w:lineRule="auto"/>
            </w:pPr>
            <w:r/>
            <w:r>
              <w:rPr>
                <w:rFonts w:ascii="Times New Roman" w:hAnsi="Times New Roman" w:eastAsia="宋体"/>
                <w:b/>
                <w:color w:val="1A1A1A"/>
                <w:sz w:val="18"/>
              </w:rPr>
              <w:t>是否需训练</w:t>
            </w:r>
          </w:p>
        </w:tc>
      </w:tr>
      <w:tr>
        <w:tc>
          <w:tcPr>
            <w:tcW w:type="dxa" w:w="2183"/>
          </w:tcPr>
          <w:p>
            <w:pPr>
              <w:spacing w:before="40" w:after="40" w:line="276" w:lineRule="auto"/>
            </w:pPr>
            <w:r/>
            <w:r>
              <w:rPr>
                <w:rFonts w:ascii="Times New Roman" w:hAnsi="Times New Roman" w:eastAsia="宋体"/>
                <w:b w:val="0"/>
                <w:color w:val="1A1A1A"/>
                <w:sz w:val="18"/>
              </w:rPr>
              <w:t>1. 分组</w:t>
            </w:r>
          </w:p>
        </w:tc>
        <w:tc>
          <w:tcPr>
            <w:tcW w:type="dxa" w:w="2183"/>
          </w:tcPr>
          <w:p>
            <w:pPr>
              <w:spacing w:before="40" w:after="40" w:line="276" w:lineRule="auto"/>
            </w:pPr>
            <w:r/>
            <w:r>
              <w:rPr>
                <w:rFonts w:ascii="Times New Roman" w:hAnsi="Times New Roman" w:eastAsia="宋体"/>
                <w:b w:val="0"/>
                <w:color w:val="1A1A1A"/>
                <w:sz w:val="18"/>
              </w:rPr>
              <w:t>CACG（§4.5）</w:t>
            </w:r>
          </w:p>
        </w:tc>
        <w:tc>
          <w:tcPr>
            <w:tcW w:type="dxa" w:w="2183"/>
          </w:tcPr>
          <w:p>
            <w:pPr>
              <w:spacing w:before="40" w:after="40" w:line="276" w:lineRule="auto"/>
            </w:pPr>
            <w:r/>
            <w:r>
              <w:rPr>
                <w:rFonts w:ascii="Times New Roman" w:hAnsi="Times New Roman" w:eastAsia="宋体"/>
                <w:b w:val="0"/>
                <w:color w:val="1A1A1A"/>
                <w:sz w:val="18"/>
              </w:rPr>
              <w:t>哪些证据在</w:t>
            </w:r>
            <w:r>
              <w:rPr>
                <w:rFonts w:ascii="Times New Roman" w:hAnsi="Times New Roman" w:eastAsia="宋体"/>
                <w:b/>
                <w:color w:val="1A1A1A"/>
                <w:sz w:val="18"/>
              </w:rPr>
              <w:t>同一条件下</w:t>
            </w:r>
            <w:r>
              <w:rPr>
                <w:rFonts w:ascii="Times New Roman" w:hAnsi="Times New Roman" w:eastAsia="宋体"/>
                <w:b w:val="0"/>
                <w:color w:val="1A1A1A"/>
                <w:sz w:val="18"/>
              </w:rPr>
              <w:t>可比</w:t>
            </w:r>
          </w:p>
        </w:tc>
        <w:tc>
          <w:tcPr>
            <w:tcW w:type="dxa" w:w="2183"/>
          </w:tcPr>
          <w:p>
            <w:pPr>
              <w:spacing w:before="40" w:after="40" w:line="276" w:lineRule="auto"/>
            </w:pPr>
            <w:r/>
            <w:r>
              <w:rPr>
                <w:rFonts w:ascii="Times New Roman" w:hAnsi="Times New Roman" w:eastAsia="宋体"/>
                <w:b w:val="0"/>
                <w:color w:val="1A1A1A"/>
                <w:sz w:val="18"/>
              </w:rPr>
              <w:t>否，约 200 行规则+聚类</w:t>
            </w:r>
          </w:p>
        </w:tc>
      </w:tr>
      <w:tr>
        <w:tc>
          <w:tcPr>
            <w:tcW w:type="dxa" w:w="2183"/>
          </w:tcPr>
          <w:p>
            <w:pPr>
              <w:spacing w:before="40" w:after="40" w:line="276" w:lineRule="auto"/>
            </w:pPr>
            <w:r/>
            <w:r>
              <w:rPr>
                <w:rFonts w:ascii="Times New Roman" w:hAnsi="Times New Roman" w:eastAsia="宋体"/>
                <w:b w:val="0"/>
                <w:color w:val="1A1A1A"/>
                <w:sz w:val="18"/>
              </w:rPr>
              <w:t>2. 裁决</w:t>
            </w:r>
          </w:p>
        </w:tc>
        <w:tc>
          <w:tcPr>
            <w:tcW w:type="dxa" w:w="2183"/>
          </w:tcPr>
          <w:p>
            <w:pPr>
              <w:spacing w:before="40" w:after="40" w:line="276" w:lineRule="auto"/>
            </w:pPr>
            <w:r/>
            <w:r>
              <w:rPr>
                <w:rFonts w:ascii="Times New Roman" w:hAnsi="Times New Roman" w:eastAsia="宋体"/>
                <w:b w:val="0"/>
                <w:color w:val="1A1A1A"/>
                <w:sz w:val="18"/>
              </w:rPr>
              <w:t>CSCR（本节）</w:t>
            </w:r>
          </w:p>
        </w:tc>
        <w:tc>
          <w:tcPr>
            <w:tcW w:type="dxa" w:w="2183"/>
          </w:tcPr>
          <w:p>
            <w:pPr>
              <w:spacing w:before="40" w:after="40" w:line="276" w:lineRule="auto"/>
            </w:pPr>
            <w:r/>
            <w:r>
              <w:rPr>
                <w:rFonts w:ascii="Times New Roman" w:hAnsi="Times New Roman" w:eastAsia="宋体"/>
                <w:b w:val="0"/>
                <w:color w:val="1A1A1A"/>
                <w:sz w:val="18"/>
              </w:rPr>
              <w:t>给定条件下</w:t>
            </w:r>
            <w:r>
              <w:rPr>
                <w:rFonts w:ascii="Times New Roman" w:hAnsi="Times New Roman" w:eastAsia="宋体"/>
                <w:b/>
                <w:color w:val="1A1A1A"/>
                <w:sz w:val="18"/>
              </w:rPr>
              <w:t>哪个来源的判定更可信</w:t>
            </w:r>
            <w:r>
              <w:rPr>
                <w:rFonts w:ascii="Times New Roman" w:hAnsi="Times New Roman" w:eastAsia="宋体"/>
                <w:b w:val="0"/>
                <w:color w:val="1A1A1A"/>
                <w:sz w:val="18"/>
              </w:rPr>
              <w:t>，后验概率多少</w:t>
            </w:r>
          </w:p>
        </w:tc>
        <w:tc>
          <w:tcPr>
            <w:tcW w:type="dxa" w:w="2183"/>
          </w:tcPr>
          <w:p>
            <w:pPr>
              <w:spacing w:before="40" w:after="40" w:line="276" w:lineRule="auto"/>
            </w:pPr>
            <w:r/>
            <w:r>
              <w:rPr>
                <w:rFonts w:ascii="Times New Roman" w:hAnsi="Times New Roman" w:eastAsia="宋体"/>
                <w:b w:val="0"/>
                <w:color w:val="1A1A1A"/>
                <w:sz w:val="18"/>
              </w:rPr>
              <w:t>是，约 150—200 行</w:t>
            </w:r>
          </w:p>
        </w:tc>
      </w:tr>
    </w:tbl>
    <w:p/>
    <w:p>
      <w:pPr>
        <w:spacing w:after="80"/>
        <w:ind w:firstLine="420"/>
      </w:pPr>
      <w:r>
        <w:rPr>
          <w:rFonts w:ascii="Times New Roman" w:hAnsi="Times New Roman" w:eastAsia="宋体"/>
          <w:b/>
          <w:color w:val="1A1A1A"/>
          <w:sz w:val="21"/>
        </w:rPr>
        <w:t>必须记录的研究轨迹</w:t>
      </w:r>
      <w:r>
        <w:rPr>
          <w:rFonts w:ascii="Times New Roman" w:hAnsi="Times New Roman" w:eastAsia="宋体"/>
          <w:b w:val="0"/>
          <w:color w:val="1A1A1A"/>
          <w:sz w:val="21"/>
        </w:rPr>
        <w:t>：本报告曾设计「数值偏差校正」版本，经实测（验证 3）证伪后改为判定层校准。这一失败本身应写入论文的「方法演进」或「负结果」部分——它说明材料数据库之间的差异不能靠简单偏差校正消除，是理解冲突本质的一条证据。</w:t>
      </w:r>
    </w:p>
    <w:p>
      <w:pPr>
        <w:spacing w:before="200" w:after="80"/>
      </w:pPr>
      <w:r>
        <w:rPr>
          <w:rFonts w:ascii="Times New Roman" w:hAnsi="Times New Roman" w:eastAsia="黑体"/>
          <w:b/>
          <w:color w:val="1B3A52"/>
          <w:sz w:val="23"/>
        </w:rPr>
        <w:t>4.3 冲突基准构建</w:t>
      </w:r>
    </w:p>
    <w:p>
      <w:pPr>
        <w:spacing w:after="80"/>
        <w:ind w:firstLine="420"/>
      </w:pPr>
      <w:r>
        <w:rPr>
          <w:rFonts w:ascii="Times New Roman" w:hAnsi="Times New Roman" w:eastAsia="宋体"/>
          <w:b/>
          <w:color w:val="1A1A1A"/>
          <w:sz w:val="21"/>
        </w:rPr>
        <w:t>数据来源</w:t>
      </w:r>
      <w:r>
        <w:rPr>
          <w:rFonts w:ascii="Times New Roman" w:hAnsi="Times New Roman" w:eastAsia="宋体"/>
          <w:b w:val="0"/>
          <w:color w:val="1A1A1A"/>
          <w:sz w:val="21"/>
        </w:rPr>
        <w:t>：四个数据库的公开导出。跨库匹配采用成分 + 空间群 + 原型三级对齐；对同一成分的多个结构，按原型分组后再比较。</w:t>
      </w:r>
    </w:p>
    <w:p>
      <w:pPr>
        <w:spacing w:after="80"/>
        <w:ind w:firstLine="420"/>
      </w:pPr>
      <w:r>
        <w:rPr>
          <w:rFonts w:ascii="Times New Roman" w:hAnsi="Times New Roman" w:eastAsia="宋体"/>
          <w:b/>
          <w:color w:val="1A1A1A"/>
          <w:sz w:val="21"/>
        </w:rPr>
        <w:t>冲突类型标注</w:t>
      </w:r>
      <w:r>
        <w:rPr>
          <w:rFonts w:ascii="Times New Roman" w:hAnsi="Times New Roman" w:eastAsia="宋体"/>
          <w:b w:val="0"/>
          <w:color w:val="1A1A1A"/>
          <w:sz w:val="21"/>
        </w:rPr>
        <w:t>：</w:t>
      </w:r>
    </w:p>
    <w:p>
      <w:pPr>
        <w:pStyle w:val="ListBullet"/>
        <w:spacing w:line="336" w:lineRule="auto" w:after="40"/>
      </w:pPr>
      <w:r>
        <w:rPr>
          <w:rFonts w:ascii="Times New Roman" w:hAnsi="Times New Roman" w:eastAsia="宋体"/>
          <w:b w:val="0"/>
          <w:color w:val="1A1A1A"/>
          <w:sz w:val="21"/>
        </w:rPr>
        <w:t>数据库间：同一结构在两个库的标签差异超过阈值；</w:t>
      </w:r>
    </w:p>
    <w:p>
      <w:pPr>
        <w:pStyle w:val="ListBullet"/>
        <w:spacing w:line="336" w:lineRule="auto" w:after="40"/>
      </w:pPr>
      <w:r>
        <w:rPr>
          <w:rFonts w:ascii="Times New Roman" w:hAnsi="Times New Roman" w:eastAsia="宋体"/>
          <w:b w:val="0"/>
          <w:color w:val="1A1A1A"/>
          <w:sz w:val="21"/>
        </w:rPr>
        <w:t>时间冲突：以论文发表年份与数据库版本划分，比较旧结论与新计算；</w:t>
      </w:r>
    </w:p>
    <w:p>
      <w:pPr>
        <w:pStyle w:val="ListBullet"/>
        <w:spacing w:line="336" w:lineRule="auto" w:after="40"/>
      </w:pPr>
      <w:r>
        <w:rPr>
          <w:rFonts w:ascii="Times New Roman" w:hAnsi="Times New Roman" w:eastAsia="宋体"/>
          <w:b w:val="0"/>
          <w:color w:val="1A1A1A"/>
          <w:sz w:val="21"/>
        </w:rPr>
        <w:t>粒度冲突：计算值与实验值的差异，且实验条件可查。</w:t>
      </w:r>
    </w:p>
    <w:p>
      <w:pPr>
        <w:spacing w:after="80"/>
        <w:ind w:firstLine="420"/>
      </w:pPr>
      <w:r>
        <w:rPr>
          <w:rFonts w:ascii="Times New Roman" w:hAnsi="Times New Roman" w:eastAsia="宋体"/>
          <w:b/>
          <w:color w:val="1A1A1A"/>
          <w:sz w:val="21"/>
        </w:rPr>
        <w:t>条件元数据</w:t>
      </w:r>
      <w:r>
        <w:rPr>
          <w:rFonts w:ascii="Times New Roman" w:hAnsi="Times New Roman" w:eastAsia="宋体"/>
          <w:b w:val="0"/>
          <w:color w:val="1A1A1A"/>
          <w:sz w:val="21"/>
        </w:rPr>
        <w:t>：为每条证据记录泛函、U 值、温度、压力、数据版本。这些元数据是后续「条件化输出」的基础。</w:t>
      </w:r>
    </w:p>
    <w:p>
      <w:pPr>
        <w:spacing w:before="200" w:after="80"/>
      </w:pPr>
      <w:r>
        <w:rPr>
          <w:rFonts w:ascii="Times New Roman" w:hAnsi="Times New Roman" w:eastAsia="黑体"/>
          <w:b/>
          <w:color w:val="1B3A52"/>
          <w:sz w:val="23"/>
        </w:rPr>
        <w:t>4.4 模型评测协议</w:t>
      </w:r>
    </w:p>
    <w:p>
      <w:pPr>
        <w:spacing w:after="80"/>
        <w:ind w:firstLine="420"/>
      </w:pPr>
      <w:r>
        <w:rPr>
          <w:rFonts w:ascii="Times New Roman" w:hAnsi="Times New Roman" w:eastAsia="宋体"/>
          <w:b w:val="0"/>
          <w:color w:val="1A1A1A"/>
          <w:sz w:val="21"/>
        </w:rPr>
        <w:t>对每个冲突组，构造三类问题：</w:t>
      </w:r>
    </w:p>
    <w:p>
      <w:pPr>
        <w:spacing w:after="80"/>
        <w:ind w:firstLine="420"/>
      </w:pPr>
      <w:r>
        <w:rPr>
          <w:rFonts w:ascii="Times New Roman" w:hAnsi="Times New Roman" w:eastAsia="宋体"/>
          <w:b w:val="0"/>
          <w:color w:val="1A1A1A"/>
          <w:sz w:val="21"/>
        </w:rPr>
        <w:t>1. 直接问「该材料的带隙是多少」——测模型是否察觉冲突；</w:t>
      </w:r>
    </w:p>
    <w:p>
      <w:pPr>
        <w:spacing w:after="80"/>
        <w:ind w:firstLine="420"/>
      </w:pPr>
      <w:r>
        <w:rPr>
          <w:rFonts w:ascii="Times New Roman" w:hAnsi="Times New Roman" w:eastAsia="宋体"/>
          <w:b w:val="0"/>
          <w:color w:val="1A1A1A"/>
          <w:sz w:val="21"/>
        </w:rPr>
        <w:t>2. 给定两条冲突证据，问「哪个正确」——测选边行为；</w:t>
      </w:r>
    </w:p>
    <w:p>
      <w:pPr>
        <w:spacing w:after="80"/>
        <w:ind w:firstLine="420"/>
      </w:pPr>
      <w:r>
        <w:rPr>
          <w:rFonts w:ascii="Times New Roman" w:hAnsi="Times New Roman" w:eastAsia="宋体"/>
          <w:b w:val="0"/>
          <w:color w:val="1A1A1A"/>
          <w:sz w:val="21"/>
        </w:rPr>
        <w:t>3. 问「在 GGA+U 下是多少、在无 U 下是多少」——测条件化能力。</w:t>
      </w:r>
    </w:p>
    <w:p>
      <w:pPr>
        <w:spacing w:after="80"/>
        <w:ind w:firstLine="420"/>
      </w:pPr>
      <w:r>
        <w:rPr>
          <w:rFonts w:ascii="Times New Roman" w:hAnsi="Times New Roman" w:eastAsia="宋体"/>
          <w:b w:val="0"/>
          <w:color w:val="1A1A1A"/>
          <w:sz w:val="21"/>
        </w:rPr>
        <w:t>评测对象包括主流闭源与开源模型；同时评测 RAG 设置（检索到冲突文本时）与无 RAG 设置。</w:t>
      </w:r>
    </w:p>
    <w:p>
      <w:pPr>
        <w:spacing w:before="200" w:after="80"/>
      </w:pPr>
      <w:r>
        <w:rPr>
          <w:rFonts w:ascii="Times New Roman" w:hAnsi="Times New Roman" w:eastAsia="黑体"/>
          <w:b/>
          <w:color w:val="1B3A52"/>
          <w:sz w:val="23"/>
        </w:rPr>
        <w:t>4.5 前置组件：条件感知的冲突分组（CACG）</w:t>
      </w:r>
    </w:p>
    <w:p>
      <w:pPr>
        <w:spacing w:after="80"/>
        <w:ind w:firstLine="420"/>
      </w:pPr>
      <w:r>
        <w:rPr>
          <w:rFonts w:ascii="Times New Roman" w:hAnsi="Times New Roman" w:eastAsia="宋体"/>
          <w:b w:val="0"/>
          <w:color w:val="1A1A1A"/>
          <w:sz w:val="21"/>
        </w:rPr>
        <w:t>本课题的算法贡献是一个轻量规则加聚类的分组算法，它把「冲突证据」组织成「条件簇」，使后续推理可以在每个条件下单独给结论，而不是把所有证据压成一个数。</w:t>
      </w:r>
    </w:p>
    <w:p>
      <w:pPr>
        <w:spacing w:after="80"/>
        <w:ind w:firstLine="420"/>
      </w:pPr>
      <w:r>
        <w:rPr>
          <w:rFonts w:ascii="Times New Roman" w:hAnsi="Times New Roman" w:eastAsia="宋体"/>
          <w:b/>
          <w:color w:val="1A1A1A"/>
          <w:sz w:val="21"/>
        </w:rPr>
        <w:t>输入</w:t>
      </w:r>
      <w:r>
        <w:rPr>
          <w:rFonts w:ascii="Times New Roman" w:hAnsi="Times New Roman" w:eastAsia="宋体"/>
          <w:b w:val="0"/>
          <w:color w:val="1A1A1A"/>
          <w:sz w:val="21"/>
        </w:rPr>
        <w:t>：证据集合 E = {(entity, condition, value, source)}，其中 condition 含泛函、U 值、温度、压力。</w:t>
      </w:r>
    </w:p>
    <w:p>
      <w:pPr>
        <w:spacing w:after="80"/>
        <w:ind w:firstLine="420"/>
      </w:pPr>
      <w:r>
        <w:rPr>
          <w:rFonts w:ascii="Times New Roman" w:hAnsi="Times New Roman" w:eastAsia="宋体"/>
          <w:b/>
          <w:color w:val="1A1A1A"/>
          <w:sz w:val="21"/>
        </w:rPr>
        <w:t>步骤</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冲突边构建</w:t>
      </w:r>
      <w:r>
        <w:rPr>
          <w:rFonts w:ascii="Times New Roman" w:hAnsi="Times New Roman" w:eastAsia="宋体"/>
          <w:b w:val="0"/>
          <w:color w:val="1A1A1A"/>
          <w:sz w:val="21"/>
        </w:rPr>
        <w:t>：对任意 i ≠ j，若 entity_i = entity_j、条件可比、且 |value_i − value_j| &gt; τ，则在 i、j 之间连一条冲突边。</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条件相似度</w:t>
      </w:r>
      <w:r>
        <w:rPr>
          <w:rFonts w:ascii="Times New Roman" w:hAnsi="Times New Roman" w:eastAsia="宋体"/>
          <w:b w:val="0"/>
          <w:color w:val="1A1A1A"/>
          <w:sz w:val="21"/>
        </w:rPr>
        <w:t>：sim(c_i, c_j) = J(泛函族_i, 泛函族_j) · 1[|U_i − U_j| ≤ δ_U] · 1[|T_i − T_j| ≤ δ_T] · 1[同压力] · 1[同数据库版本]，其中 J 为泛函族的 Jaccard 相似度（PBE / PBE+U / r2SCAN / 其他），δ_U 为 U 值容差。U 值与数据库版本必须进条件向量——本报告背景已指出 U 值是带隙差异的主因，若条件相似度忽略 U，则「PBE+U 的 3.92 eV」与「无 U 的 0.38 eV」会被错分进同一簇。</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层次聚类</w:t>
      </w:r>
      <w:r>
        <w:rPr>
          <w:rFonts w:ascii="Times New Roman" w:hAnsi="Times New Roman" w:eastAsia="宋体"/>
          <w:b w:val="0"/>
          <w:color w:val="1A1A1A"/>
          <w:sz w:val="21"/>
        </w:rPr>
        <w:t>：以 sim 为相似度做凝聚层次聚类，切割阈值取「簇内条件不可区分」的最大 sim。</w:t>
      </w:r>
    </w:p>
    <w:p>
      <w:pPr>
        <w:spacing w:after="80"/>
        <w:ind w:firstLine="420"/>
      </w:pPr>
      <w:r>
        <w:rPr>
          <w:rFonts w:ascii="Times New Roman" w:hAnsi="Times New Roman" w:eastAsia="宋体"/>
          <w:b w:val="0"/>
          <w:color w:val="1A1A1A"/>
          <w:sz w:val="21"/>
        </w:rPr>
        <w:t xml:space="preserve">4. </w:t>
      </w:r>
      <w:r>
        <w:rPr>
          <w:rFonts w:ascii="Times New Roman" w:hAnsi="Times New Roman" w:eastAsia="宋体"/>
          <w:b/>
          <w:color w:val="1A1A1A"/>
          <w:sz w:val="21"/>
        </w:rPr>
        <w:t>簇内聚合</w:t>
      </w:r>
      <w:r>
        <w:rPr>
          <w:rFonts w:ascii="Times New Roman" w:hAnsi="Times New Roman" w:eastAsia="宋体"/>
          <w:b w:val="0"/>
          <w:color w:val="1A1A1A"/>
          <w:sz w:val="21"/>
        </w:rPr>
        <w:t>：每个簇内按来源可信度加权投票或取中位数，得到一个条件化结论。</w:t>
      </w:r>
    </w:p>
    <w:p>
      <w:pPr>
        <w:spacing w:after="80"/>
        <w:ind w:firstLine="420"/>
      </w:pPr>
      <w:r>
        <w:rPr>
          <w:rFonts w:ascii="Times New Roman" w:hAnsi="Times New Roman" w:eastAsia="宋体"/>
          <w:b w:val="0"/>
          <w:color w:val="1A1A1A"/>
          <w:sz w:val="21"/>
        </w:rPr>
        <w:t xml:space="preserve">5. </w:t>
      </w:r>
      <w:r>
        <w:rPr>
          <w:rFonts w:ascii="Times New Roman" w:hAnsi="Times New Roman" w:eastAsia="宋体"/>
          <w:b/>
          <w:color w:val="1A1A1A"/>
          <w:sz w:val="21"/>
        </w:rPr>
        <w:t>输出</w:t>
      </w:r>
      <w:r>
        <w:rPr>
          <w:rFonts w:ascii="Times New Roman" w:hAnsi="Times New Roman" w:eastAsia="宋体"/>
          <w:b w:val="0"/>
          <w:color w:val="1A1A1A"/>
          <w:sz w:val="21"/>
        </w:rPr>
        <w:t>：{(簇条件, 结论, 证据列表)}，并标注「跨簇分歧」。</w:t>
      </w:r>
    </w:p>
    <w:p>
      <w:pPr>
        <w:spacing w:after="80"/>
        <w:ind w:firstLine="420"/>
      </w:pPr>
      <w:r>
        <w:rPr>
          <w:rFonts w:ascii="Times New Roman" w:hAnsi="Times New Roman" w:eastAsia="宋体"/>
          <w:b/>
          <w:color w:val="1A1A1A"/>
          <w:sz w:val="21"/>
        </w:rPr>
        <w:t>复杂度</w:t>
      </w:r>
      <w:r>
        <w:rPr>
          <w:rFonts w:ascii="Times New Roman" w:hAnsi="Times New Roman" w:eastAsia="宋体"/>
          <w:b w:val="0"/>
          <w:color w:val="1A1A1A"/>
          <w:sz w:val="21"/>
        </w:rPr>
        <w:t>：冲突边 O(n²)，聚类 O(n² log n)，n 为证据条数（通常小于 20），单次推理毫秒级。</w:t>
      </w:r>
    </w:p>
    <w:p>
      <w:pPr>
        <w:spacing w:after="80"/>
        <w:ind w:firstLine="420"/>
      </w:pPr>
      <w:r>
        <w:rPr>
          <w:rFonts w:ascii="Times New Roman" w:hAnsi="Times New Roman" w:eastAsia="宋体"/>
          <w:b/>
          <w:color w:val="1A1A1A"/>
          <w:sz w:val="21"/>
        </w:rPr>
        <w:t>为什么这样设计</w:t>
      </w:r>
      <w:r>
        <w:rPr>
          <w:rFonts w:ascii="Times New Roman" w:hAnsi="Times New Roman" w:eastAsia="宋体"/>
          <w:b w:val="0"/>
          <w:color w:val="1A1A1A"/>
          <w:sz w:val="21"/>
        </w:rPr>
        <w:t>：直接按语义相似度聚类会把「同一材料、不同条件」的证据分到一起，因为它们在文本上高度相似（都在讨论这个材料）；只有用条件元数据才能把它们分开。这是本算法与通用冲突聚合方法的关键区别。</w:t>
      </w:r>
    </w:p>
    <w:p>
      <w:pPr>
        <w:spacing w:after="80"/>
        <w:ind w:firstLine="420"/>
      </w:pPr>
      <w:r>
        <w:rPr>
          <w:rFonts w:ascii="Times New Roman" w:hAnsi="Times New Roman" w:eastAsia="宋体"/>
          <w:b/>
          <w:color w:val="1A1A1A"/>
          <w:sz w:val="21"/>
        </w:rPr>
        <w:t>验证协议</w:t>
      </w:r>
      <w:r>
        <w:rPr>
          <w:rFonts w:ascii="Times New Roman" w:hAnsi="Times New Roman" w:eastAsia="宋体"/>
          <w:b w:val="0"/>
          <w:color w:val="1A1A1A"/>
          <w:sz w:val="21"/>
        </w:rPr>
        <w:t>：人工标注 200 组冲突证据作为金标准，比较 CACG 与三个基线的分组 F1——不分组（全部合并）、按来源分组、按语义相似度分组。同时报告条件化率与条件化后的答案准确率。</w:t>
      </w:r>
    </w:p>
    <w:p>
      <w:pPr>
        <w:spacing w:before="200" w:after="80"/>
      </w:pPr>
      <w:r>
        <w:rPr>
          <w:rFonts w:ascii="Times New Roman" w:hAnsi="Times New Roman" w:eastAsia="黑体"/>
          <w:b/>
          <w:color w:val="1B3A52"/>
          <w:sz w:val="23"/>
        </w:rPr>
        <w:t>4.6 技术路线</w:t>
      </w:r>
    </w:p>
    <w:p>
      <w:pPr>
        <w:spacing w:after="80"/>
        <w:ind w:firstLine="420"/>
      </w:pPr>
      <w:r>
        <w:rPr>
          <w:rFonts w:ascii="Consolas" w:hAnsi="Consolas" w:eastAsia="宋体"/>
          <w:b w:val="0"/>
          <w:color w:val="1A1A1A"/>
          <w:sz w:val="20"/>
        </w:rPr>
        <w:t>`</w:t>
      </w:r>
    </w:p>
    <w:p>
      <w:pPr>
        <w:spacing w:after="80"/>
        <w:ind w:firstLine="420"/>
      </w:pPr>
      <w:r>
        <w:rPr>
          <w:rFonts w:ascii="Times New Roman" w:hAnsi="Times New Roman" w:eastAsia="宋体"/>
          <w:b w:val="0"/>
          <w:color w:val="1A1A1A"/>
          <w:sz w:val="21"/>
        </w:rPr>
        <w:t>跨库匹配（成分 + 空间群 + 原型）</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冲突判定（L1/L2 阈值 + 条件元数据）</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冲突基准（类型标注 + 公认答案标注）</w:t>
      </w:r>
    </w:p>
    <w:p>
      <w:pPr>
        <w:spacing w:after="80"/>
        <w:ind w:firstLine="420"/>
      </w:pPr>
      <w:r>
        <w:rPr>
          <w:rFonts w:ascii="Times New Roman" w:hAnsi="Times New Roman" w:eastAsia="宋体"/>
          <w:b w:val="0"/>
          <w:color w:val="1A1A1A"/>
          <w:sz w:val="21"/>
        </w:rPr>
        <w:t>← 文献库辅助：条件核验、时间轴、合成记录</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模型评测（检测 / 选边 / 条件化 / 校准）</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冲突感知推理：CACG 分组 → CSCR 校准裁决 → 条件化输出</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消融与错误分析（含 CACG-only / CSCR-only 分离）</w:t>
      </w:r>
    </w:p>
    <w:p>
      <w:pPr>
        <w:spacing w:after="80"/>
        <w:ind w:firstLine="420"/>
      </w:pPr>
      <w:r>
        <w:rPr>
          <w:rFonts w:ascii="Consolas" w:hAnsi="Consolas" w:eastAsia="宋体"/>
          <w:b w:val="0"/>
          <w:color w:val="1A1A1A"/>
          <w:sz w:val="20"/>
        </w:rPr>
        <w:t>`</w:t>
      </w:r>
    </w:p>
    <w:p>
      <w:pPr>
        <w:spacing w:before="320" w:after="120"/>
      </w:pPr>
      <w:r>
        <w:rPr>
          <w:rFonts w:ascii="Times New Roman" w:hAnsi="Times New Roman" w:eastAsia="黑体"/>
          <w:b/>
          <w:color w:val="1B3A52"/>
          <w:sz w:val="30"/>
        </w:rPr>
        <w:t>5 实验设计</w:t>
      </w:r>
    </w:p>
    <w:p>
      <w:pPr>
        <w:spacing w:before="200" w:after="80"/>
      </w:pPr>
      <w:r>
        <w:rPr>
          <w:rFonts w:ascii="Times New Roman" w:hAnsi="Times New Roman" w:eastAsia="黑体"/>
          <w:b/>
          <w:color w:val="1B3A52"/>
          <w:sz w:val="23"/>
        </w:rPr>
        <w:t>5.1 数据与划分</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来源</w:t>
            </w:r>
          </w:p>
        </w:tc>
        <w:tc>
          <w:tcPr>
            <w:tcW w:type="dxa" w:w="2911"/>
          </w:tcPr>
          <w:p>
            <w:pPr>
              <w:spacing w:before="40" w:after="40" w:line="276" w:lineRule="auto"/>
            </w:pPr>
            <w:r/>
            <w:r>
              <w:rPr>
                <w:rFonts w:ascii="Times New Roman" w:hAnsi="Times New Roman" w:eastAsia="宋体"/>
                <w:b/>
                <w:color w:val="1A1A1A"/>
                <w:sz w:val="18"/>
              </w:rPr>
              <w:t>规模</w:t>
            </w:r>
          </w:p>
        </w:tc>
        <w:tc>
          <w:tcPr>
            <w:tcW w:type="dxa" w:w="2911"/>
          </w:tcPr>
          <w:p>
            <w:pPr>
              <w:spacing w:before="40" w:after="40" w:line="276" w:lineRule="auto"/>
            </w:pPr>
            <w:r/>
            <w:r>
              <w:rPr>
                <w:rFonts w:ascii="Times New Roman" w:hAnsi="Times New Roman" w:eastAsia="宋体"/>
                <w:b/>
                <w:color w:val="1A1A1A"/>
                <w:sz w:val="18"/>
              </w:rPr>
              <w:t>用途</w:t>
            </w:r>
          </w:p>
        </w:tc>
      </w:tr>
      <w:tr>
        <w:tc>
          <w:tcPr>
            <w:tcW w:type="dxa" w:w="2911"/>
          </w:tcPr>
          <w:p>
            <w:pPr>
              <w:spacing w:before="40" w:after="40" w:line="276" w:lineRule="auto"/>
            </w:pPr>
            <w:r/>
            <w:r>
              <w:rPr>
                <w:rFonts w:ascii="Times New Roman" w:hAnsi="Times New Roman" w:eastAsia="宋体"/>
                <w:b w:val="0"/>
                <w:color w:val="1A1A1A"/>
                <w:sz w:val="18"/>
              </w:rPr>
              <w:t>Materials Project</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主库</w:t>
            </w:r>
          </w:p>
        </w:tc>
      </w:tr>
      <w:tr>
        <w:tc>
          <w:tcPr>
            <w:tcW w:type="dxa" w:w="2911"/>
          </w:tcPr>
          <w:p>
            <w:pPr>
              <w:spacing w:before="40" w:after="40" w:line="276" w:lineRule="auto"/>
            </w:pPr>
            <w:r/>
            <w:r>
              <w:rPr>
                <w:rFonts w:ascii="Times New Roman" w:hAnsi="Times New Roman" w:eastAsia="宋体"/>
                <w:b w:val="0"/>
                <w:color w:val="1A1A1A"/>
                <w:sz w:val="18"/>
              </w:rPr>
              <w:t>OQMD</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r>
        <w:tc>
          <w:tcPr>
            <w:tcW w:type="dxa" w:w="2911"/>
          </w:tcPr>
          <w:p>
            <w:pPr>
              <w:spacing w:before="40" w:after="40" w:line="276" w:lineRule="auto"/>
            </w:pPr>
            <w:r/>
            <w:r>
              <w:rPr>
                <w:rFonts w:ascii="Times New Roman" w:hAnsi="Times New Roman" w:eastAsia="宋体"/>
                <w:b w:val="0"/>
                <w:color w:val="1A1A1A"/>
                <w:sz w:val="18"/>
              </w:rPr>
              <w:t>AFLOW</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r>
        <w:tc>
          <w:tcPr>
            <w:tcW w:type="dxa" w:w="2911"/>
          </w:tcPr>
          <w:p>
            <w:pPr>
              <w:spacing w:before="40" w:after="40" w:line="276" w:lineRule="auto"/>
            </w:pPr>
            <w:r/>
            <w:r>
              <w:rPr>
                <w:rFonts w:ascii="Times New Roman" w:hAnsi="Times New Roman" w:eastAsia="宋体"/>
                <w:b w:val="0"/>
                <w:color w:val="1A1A1A"/>
                <w:sz w:val="18"/>
              </w:rPr>
              <w:t>JARVIS-DFT</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bl>
    <w:p/>
    <w:p>
      <w:pPr>
        <w:spacing w:after="80"/>
        <w:ind w:firstLine="420"/>
      </w:pPr>
      <w:r>
        <w:rPr>
          <w:rFonts w:ascii="Times New Roman" w:hAnsi="Times New Roman" w:eastAsia="宋体"/>
          <w:b w:val="0"/>
          <w:color w:val="1A1A1A"/>
          <w:sz w:val="21"/>
        </w:rPr>
        <w:t>划分：按化学体系分组，确保同一体系的冲突组不跨训练/测试集。冲突基准的测试集人工抽检 200 组，核对冲突判定是否正确。</w:t>
      </w:r>
    </w:p>
    <w:p>
      <w:pPr>
        <w:spacing w:after="80"/>
        <w:ind w:firstLine="420"/>
      </w:pPr>
      <w:r>
        <w:rPr>
          <w:rFonts w:ascii="Times New Roman" w:hAnsi="Times New Roman" w:eastAsia="宋体"/>
          <w:b/>
          <w:color w:val="1A1A1A"/>
          <w:sz w:val="21"/>
        </w:rPr>
        <w:t>标注工作流（借助全文文献库，2026-10-19 补充）</w:t>
      </w:r>
      <w:r>
        <w:rPr>
          <w:rFonts w:ascii="Times New Roman" w:hAnsi="Times New Roman" w:eastAsia="宋体"/>
          <w:b w:val="0"/>
          <w:color w:val="1A1A1A"/>
          <w:sz w:val="21"/>
        </w:rPr>
        <w:t>：原方案是人工逐条查证 200 组冲突判定，成本高且慢。改为三步：① 对每组冲突，用文献库检索该化合物并提取「文献报告的实验条件与结论」；② 标注者只判断「库内证据是否支持该条件归因」，而非从头检索；③ 每组保留原文出处，供复核。若前提成立，预期把 200 组标注从数周压缩到 1—2 周，但</w:t>
      </w:r>
      <w:r>
        <w:rPr>
          <w:rFonts w:ascii="Times New Roman" w:hAnsi="Times New Roman" w:eastAsia="宋体"/>
          <w:b/>
          <w:color w:val="1A1A1A"/>
          <w:sz w:val="21"/>
        </w:rPr>
        <w:t>必须抽样 20% 做双人独立标注</w:t>
      </w:r>
      <w:r>
        <w:rPr>
          <w:rFonts w:ascii="Times New Roman" w:hAnsi="Times New Roman" w:eastAsia="宋体"/>
          <w:b w:val="0"/>
          <w:color w:val="1A1A1A"/>
          <w:sz w:val="21"/>
        </w:rPr>
        <w:t>以估计标注者间一致性（Cohen's κ），否则无法声称标注可靠。</w:t>
      </w:r>
    </w:p>
    <w:p>
      <w:pPr>
        <w:spacing w:before="200" w:after="80"/>
      </w:pPr>
      <w:r>
        <w:rPr>
          <w:rFonts w:ascii="Times New Roman" w:hAnsi="Times New Roman" w:eastAsia="黑体"/>
          <w:b/>
          <w:color w:val="1B3A52"/>
          <w:sz w:val="23"/>
        </w:rPr>
        <w:t>5.2 对比基线</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编号</w:t>
            </w:r>
          </w:p>
        </w:tc>
        <w:tc>
          <w:tcPr>
            <w:tcW w:type="dxa" w:w="2911"/>
          </w:tcPr>
          <w:p>
            <w:pPr>
              <w:spacing w:before="40" w:after="40" w:line="276" w:lineRule="auto"/>
            </w:pPr>
            <w:r/>
            <w:r>
              <w:rPr>
                <w:rFonts w:ascii="Times New Roman" w:hAnsi="Times New Roman" w:eastAsia="宋体"/>
                <w:b/>
                <w:color w:val="1A1A1A"/>
                <w:sz w:val="18"/>
              </w:rPr>
              <w:t>方法</w:t>
            </w:r>
          </w:p>
        </w:tc>
        <w:tc>
          <w:tcPr>
            <w:tcW w:type="dxa" w:w="2911"/>
          </w:tcPr>
          <w:p>
            <w:pPr>
              <w:spacing w:before="40" w:after="40" w:line="276" w:lineRule="auto"/>
            </w:pPr>
            <w:r/>
            <w:r>
              <w:rPr>
                <w:rFonts w:ascii="Times New Roman" w:hAnsi="Times New Roman" w:eastAsia="宋体"/>
                <w:b/>
                <w:color w:val="1A1A1A"/>
                <w:sz w:val="18"/>
              </w:rPr>
              <w:t>说明</w:t>
            </w:r>
          </w:p>
        </w:tc>
      </w:tr>
      <w:tr>
        <w:tc>
          <w:tcPr>
            <w:tcW w:type="dxa" w:w="2911"/>
          </w:tcPr>
          <w:p>
            <w:pPr>
              <w:spacing w:before="40" w:after="40" w:line="276" w:lineRule="auto"/>
            </w:pPr>
            <w:r/>
            <w:r>
              <w:rPr>
                <w:rFonts w:ascii="Times New Roman" w:hAnsi="Times New Roman" w:eastAsia="宋体"/>
                <w:b w:val="0"/>
                <w:color w:val="1A1A1A"/>
                <w:sz w:val="18"/>
              </w:rPr>
              <w:t>B0</w:t>
            </w:r>
          </w:p>
        </w:tc>
        <w:tc>
          <w:tcPr>
            <w:tcW w:type="dxa" w:w="2911"/>
          </w:tcPr>
          <w:p>
            <w:pPr>
              <w:spacing w:before="40" w:after="40" w:line="276" w:lineRule="auto"/>
            </w:pPr>
            <w:r/>
            <w:r>
              <w:rPr>
                <w:rFonts w:ascii="Times New Roman" w:hAnsi="Times New Roman" w:eastAsia="宋体"/>
                <w:b w:val="0"/>
                <w:color w:val="1A1A1A"/>
                <w:sz w:val="18"/>
              </w:rPr>
              <w:t>零样本模型</w:t>
            </w:r>
          </w:p>
        </w:tc>
        <w:tc>
          <w:tcPr>
            <w:tcW w:type="dxa" w:w="2911"/>
          </w:tcPr>
          <w:p>
            <w:pPr>
              <w:spacing w:before="40" w:after="40" w:line="276" w:lineRule="auto"/>
            </w:pPr>
            <w:r/>
            <w:r>
              <w:rPr>
                <w:rFonts w:ascii="Times New Roman" w:hAnsi="Times New Roman" w:eastAsia="宋体"/>
                <w:b w:val="0"/>
                <w:color w:val="1A1A1A"/>
                <w:sz w:val="18"/>
              </w:rPr>
              <w:t>直接回答</w:t>
            </w:r>
          </w:p>
        </w:tc>
      </w:tr>
      <w:tr>
        <w:tc>
          <w:tcPr>
            <w:tcW w:type="dxa" w:w="2911"/>
          </w:tcPr>
          <w:p>
            <w:pPr>
              <w:spacing w:before="40" w:after="40" w:line="276" w:lineRule="auto"/>
            </w:pPr>
            <w:r/>
            <w:r>
              <w:rPr>
                <w:rFonts w:ascii="Times New Roman" w:hAnsi="Times New Roman" w:eastAsia="宋体"/>
                <w:b w:val="0"/>
                <w:color w:val="1A1A1A"/>
                <w:sz w:val="18"/>
              </w:rPr>
              <w:t>B1</w:t>
            </w:r>
          </w:p>
        </w:tc>
        <w:tc>
          <w:tcPr>
            <w:tcW w:type="dxa" w:w="2911"/>
          </w:tcPr>
          <w:p>
            <w:pPr>
              <w:spacing w:before="40" w:after="40" w:line="276" w:lineRule="auto"/>
            </w:pPr>
            <w:r/>
            <w:r>
              <w:rPr>
                <w:rFonts w:ascii="Times New Roman" w:hAnsi="Times New Roman" w:eastAsia="宋体"/>
                <w:b w:val="0"/>
                <w:color w:val="1A1A1A"/>
                <w:sz w:val="18"/>
              </w:rPr>
              <w:t>RAG（检索冲突文本）</w:t>
            </w:r>
          </w:p>
        </w:tc>
        <w:tc>
          <w:tcPr>
            <w:tcW w:type="dxa" w:w="2911"/>
          </w:tcPr>
          <w:p>
            <w:pPr>
              <w:spacing w:before="40" w:after="40" w:line="276" w:lineRule="auto"/>
            </w:pPr>
            <w:r/>
            <w:r>
              <w:rPr>
                <w:rFonts w:ascii="Times New Roman" w:hAnsi="Times New Roman" w:eastAsia="宋体"/>
                <w:b w:val="0"/>
                <w:color w:val="1A1A1A"/>
                <w:sz w:val="18"/>
              </w:rPr>
              <w:t>看模型是否被误导</w:t>
            </w:r>
          </w:p>
        </w:tc>
      </w:tr>
      <w:tr>
        <w:tc>
          <w:tcPr>
            <w:tcW w:type="dxa" w:w="2911"/>
          </w:tcPr>
          <w:p>
            <w:pPr>
              <w:spacing w:before="40" w:after="40" w:line="276" w:lineRule="auto"/>
            </w:pPr>
            <w:r/>
            <w:r>
              <w:rPr>
                <w:rFonts w:ascii="Times New Roman" w:hAnsi="Times New Roman" w:eastAsia="宋体"/>
                <w:b w:val="0"/>
                <w:color w:val="1A1A1A"/>
                <w:sz w:val="18"/>
              </w:rPr>
              <w:t>B2</w:t>
            </w:r>
          </w:p>
        </w:tc>
        <w:tc>
          <w:tcPr>
            <w:tcW w:type="dxa" w:w="2911"/>
          </w:tcPr>
          <w:p>
            <w:pPr>
              <w:spacing w:before="40" w:after="40" w:line="276" w:lineRule="auto"/>
            </w:pPr>
            <w:r/>
            <w:r>
              <w:rPr>
                <w:rFonts w:ascii="Times New Roman" w:hAnsi="Times New Roman" w:eastAsia="宋体"/>
                <w:b w:val="0"/>
                <w:color w:val="1A1A1A"/>
                <w:sz w:val="18"/>
              </w:rPr>
              <w:t>多数投票</w:t>
            </w:r>
          </w:p>
        </w:tc>
        <w:tc>
          <w:tcPr>
            <w:tcW w:type="dxa" w:w="2911"/>
          </w:tcPr>
          <w:p>
            <w:pPr>
              <w:spacing w:before="40" w:after="40" w:line="276" w:lineRule="auto"/>
            </w:pPr>
            <w:r/>
            <w:r>
              <w:rPr>
                <w:rFonts w:ascii="Times New Roman" w:hAnsi="Times New Roman" w:eastAsia="宋体"/>
                <w:b w:val="0"/>
                <w:color w:val="1A1A1A"/>
                <w:sz w:val="18"/>
              </w:rPr>
              <w:t>把多源证据做投票</w:t>
            </w:r>
          </w:p>
        </w:tc>
      </w:tr>
      <w:tr>
        <w:tc>
          <w:tcPr>
            <w:tcW w:type="dxa" w:w="2911"/>
          </w:tcPr>
          <w:p>
            <w:pPr>
              <w:spacing w:before="40" w:after="40" w:line="276" w:lineRule="auto"/>
            </w:pPr>
            <w:r/>
            <w:r>
              <w:rPr>
                <w:rFonts w:ascii="Times New Roman" w:hAnsi="Times New Roman" w:eastAsia="宋体"/>
                <w:b w:val="0"/>
                <w:color w:val="1A1A1A"/>
                <w:sz w:val="18"/>
              </w:rPr>
              <w:t>B3</w:t>
            </w:r>
          </w:p>
        </w:tc>
        <w:tc>
          <w:tcPr>
            <w:tcW w:type="dxa" w:w="2911"/>
          </w:tcPr>
          <w:p>
            <w:pPr>
              <w:spacing w:before="40" w:after="40" w:line="276" w:lineRule="auto"/>
            </w:pPr>
            <w:r/>
            <w:r>
              <w:rPr>
                <w:rFonts w:ascii="Times New Roman" w:hAnsi="Times New Roman" w:eastAsia="宋体"/>
                <w:b w:val="0"/>
                <w:color w:val="1A1A1A"/>
                <w:sz w:val="18"/>
              </w:rPr>
              <w:t>提示「如遇冲突请报告」</w:t>
            </w:r>
          </w:p>
        </w:tc>
        <w:tc>
          <w:tcPr>
            <w:tcW w:type="dxa" w:w="2911"/>
          </w:tcPr>
          <w:p>
            <w:pPr>
              <w:spacing w:before="40" w:after="40" w:line="276" w:lineRule="auto"/>
            </w:pPr>
            <w:r/>
            <w:r>
              <w:rPr>
                <w:rFonts w:ascii="Times New Roman" w:hAnsi="Times New Roman" w:eastAsia="宋体"/>
                <w:b w:val="0"/>
                <w:color w:val="1A1A1A"/>
                <w:sz w:val="18"/>
              </w:rPr>
              <w:t>零样本的冲突提示版本</w:t>
            </w:r>
          </w:p>
        </w:tc>
      </w:tr>
      <w:tr>
        <w:tc>
          <w:tcPr>
            <w:tcW w:type="dxa" w:w="2911"/>
          </w:tcPr>
          <w:p>
            <w:pPr>
              <w:spacing w:before="40" w:after="40" w:line="276" w:lineRule="auto"/>
            </w:pPr>
            <w:r/>
            <w:r>
              <w:rPr>
                <w:rFonts w:ascii="Times New Roman" w:hAnsi="Times New Roman" w:eastAsia="宋体"/>
                <w:b w:val="0"/>
                <w:color w:val="1A1A1A"/>
                <w:sz w:val="18"/>
              </w:rPr>
              <w:t>B4</w:t>
            </w:r>
          </w:p>
        </w:tc>
        <w:tc>
          <w:tcPr>
            <w:tcW w:type="dxa" w:w="2911"/>
          </w:tcPr>
          <w:p>
            <w:pPr>
              <w:spacing w:before="40" w:after="40" w:line="276" w:lineRule="auto"/>
            </w:pPr>
            <w:r/>
            <w:r>
              <w:rPr>
                <w:rFonts w:ascii="Times New Roman" w:hAnsi="Times New Roman" w:eastAsia="宋体"/>
                <w:b w:val="0"/>
                <w:color w:val="1A1A1A"/>
                <w:sz w:val="18"/>
              </w:rPr>
              <w:t>仅 CACG</w:t>
            </w:r>
          </w:p>
        </w:tc>
        <w:tc>
          <w:tcPr>
            <w:tcW w:type="dxa" w:w="2911"/>
          </w:tcPr>
          <w:p>
            <w:pPr>
              <w:spacing w:before="40" w:after="40" w:line="276" w:lineRule="auto"/>
            </w:pPr>
            <w:r/>
            <w:r>
              <w:rPr>
                <w:rFonts w:ascii="Times New Roman" w:hAnsi="Times New Roman" w:eastAsia="宋体"/>
                <w:b w:val="0"/>
                <w:color w:val="1A1A1A"/>
                <w:sz w:val="18"/>
              </w:rPr>
              <w:t>分组后各自报结论，不做判定校准</w:t>
            </w:r>
          </w:p>
        </w:tc>
      </w:tr>
      <w:tr>
        <w:tc>
          <w:tcPr>
            <w:tcW w:type="dxa" w:w="2911"/>
          </w:tcPr>
          <w:p>
            <w:pPr>
              <w:spacing w:before="40" w:after="40" w:line="276" w:lineRule="auto"/>
            </w:pPr>
            <w:r/>
            <w:r>
              <w:rPr>
                <w:rFonts w:ascii="Times New Roman" w:hAnsi="Times New Roman" w:eastAsia="宋体"/>
                <w:b w:val="0"/>
                <w:color w:val="1A1A1A"/>
                <w:sz w:val="18"/>
              </w:rPr>
              <w:t>B5</w:t>
            </w:r>
          </w:p>
        </w:tc>
        <w:tc>
          <w:tcPr>
            <w:tcW w:type="dxa" w:w="2911"/>
          </w:tcPr>
          <w:p>
            <w:pPr>
              <w:spacing w:before="40" w:after="40" w:line="276" w:lineRule="auto"/>
            </w:pPr>
            <w:r/>
            <w:r>
              <w:rPr>
                <w:rFonts w:ascii="Times New Roman" w:hAnsi="Times New Roman" w:eastAsia="宋体"/>
                <w:b w:val="0"/>
                <w:color w:val="1A1A1A"/>
                <w:sz w:val="18"/>
              </w:rPr>
              <w:t>固定权重投票</w:t>
            </w:r>
          </w:p>
        </w:tc>
        <w:tc>
          <w:tcPr>
            <w:tcW w:type="dxa" w:w="2911"/>
          </w:tcPr>
          <w:p>
            <w:pPr>
              <w:spacing w:before="40" w:after="40" w:line="276" w:lineRule="auto"/>
            </w:pPr>
            <w:r/>
            <w:r>
              <w:rPr>
                <w:rFonts w:ascii="Times New Roman" w:hAnsi="Times New Roman" w:eastAsia="宋体"/>
                <w:b w:val="0"/>
                <w:color w:val="1A1A1A"/>
                <w:sz w:val="18"/>
              </w:rPr>
              <w:t>给每个来源固定可信度，不随条件变化</w:t>
            </w:r>
          </w:p>
        </w:tc>
      </w:tr>
      <w:tr>
        <w:tc>
          <w:tcPr>
            <w:tcW w:type="dxa" w:w="2911"/>
          </w:tcPr>
          <w:p>
            <w:pPr>
              <w:spacing w:before="40" w:after="40" w:line="276" w:lineRule="auto"/>
            </w:pPr>
            <w:r/>
            <w:r>
              <w:rPr>
                <w:rFonts w:ascii="Times New Roman" w:hAnsi="Times New Roman" w:eastAsia="宋体"/>
                <w:b w:val="0"/>
                <w:color w:val="1A1A1A"/>
                <w:sz w:val="18"/>
              </w:rPr>
              <w:t>B6</w:t>
            </w:r>
          </w:p>
        </w:tc>
        <w:tc>
          <w:tcPr>
            <w:tcW w:type="dxa" w:w="2911"/>
          </w:tcPr>
          <w:p>
            <w:pPr>
              <w:spacing w:before="40" w:after="40" w:line="276" w:lineRule="auto"/>
            </w:pPr>
            <w:r/>
            <w:r>
              <w:rPr>
                <w:rFonts w:ascii="Times New Roman" w:hAnsi="Times New Roman" w:eastAsia="宋体"/>
                <w:b w:val="0"/>
                <w:color w:val="1A1A1A"/>
                <w:sz w:val="18"/>
              </w:rPr>
              <w:t>本文方法（CACG + CSCR）</w:t>
            </w:r>
          </w:p>
        </w:tc>
        <w:tc>
          <w:tcPr>
            <w:tcW w:type="dxa" w:w="2911"/>
          </w:tcPr>
          <w:p>
            <w:pPr>
              <w:spacing w:before="40" w:after="40" w:line="276" w:lineRule="auto"/>
            </w:pPr>
            <w:r/>
            <w:r>
              <w:rPr>
                <w:rFonts w:ascii="Times New Roman" w:hAnsi="Times New Roman" w:eastAsia="宋体"/>
                <w:b w:val="0"/>
                <w:color w:val="1A1A1A"/>
                <w:sz w:val="18"/>
              </w:rPr>
              <w:t>分组 + 条件化判定校准 + 后验裁决</w:t>
            </w:r>
          </w:p>
        </w:tc>
      </w:tr>
    </w:tbl>
    <w:p/>
    <w:p>
      <w:pPr>
        <w:spacing w:before="200" w:after="80"/>
      </w:pPr>
      <w:r>
        <w:rPr>
          <w:rFonts w:ascii="Times New Roman" w:hAnsi="Times New Roman" w:eastAsia="黑体"/>
          <w:b/>
          <w:color w:val="1B3A52"/>
          <w:sz w:val="23"/>
        </w:rPr>
        <w:t>5.3 评价指标</w:t>
      </w:r>
    </w:p>
    <w:p>
      <w:pPr>
        <w:pStyle w:val="ListBullet"/>
        <w:spacing w:line="336" w:lineRule="auto" w:after="40"/>
      </w:pPr>
      <w:r>
        <w:rPr>
          <w:rFonts w:ascii="Times New Roman" w:hAnsi="Times New Roman" w:eastAsia="宋体"/>
          <w:b/>
          <w:color w:val="1A1A1A"/>
          <w:sz w:val="21"/>
        </w:rPr>
        <w:t>冲突检测率</w:t>
      </w:r>
      <w:r>
        <w:rPr>
          <w:rFonts w:ascii="Times New Roman" w:hAnsi="Times New Roman" w:eastAsia="宋体"/>
          <w:b w:val="0"/>
          <w:color w:val="1A1A1A"/>
          <w:sz w:val="21"/>
        </w:rPr>
        <w:t>：在冲突组上模型明确报告分歧的比例；</w:t>
      </w:r>
    </w:p>
    <w:p>
      <w:pPr>
        <w:pStyle w:val="ListBullet"/>
        <w:spacing w:line="336" w:lineRule="auto" w:after="40"/>
      </w:pPr>
      <w:r>
        <w:rPr>
          <w:rFonts w:ascii="Times New Roman" w:hAnsi="Times New Roman" w:eastAsia="宋体"/>
          <w:b/>
          <w:color w:val="1A1A1A"/>
          <w:sz w:val="21"/>
        </w:rPr>
        <w:t>选边准确率</w:t>
      </w:r>
      <w:r>
        <w:rPr>
          <w:rFonts w:ascii="Times New Roman" w:hAnsi="Times New Roman" w:eastAsia="宋体"/>
          <w:b w:val="0"/>
          <w:color w:val="1A1A1A"/>
          <w:sz w:val="21"/>
        </w:rPr>
        <w:t>：在有公认答案的子集上，模型选择正确一方的比例；</w:t>
      </w:r>
    </w:p>
    <w:p>
      <w:pPr>
        <w:pStyle w:val="ListBullet"/>
        <w:spacing w:line="336" w:lineRule="auto" w:after="40"/>
      </w:pPr>
      <w:r>
        <w:rPr>
          <w:rFonts w:ascii="Times New Roman" w:hAnsi="Times New Roman" w:eastAsia="宋体"/>
          <w:b/>
          <w:color w:val="1A1A1A"/>
          <w:sz w:val="21"/>
        </w:rPr>
        <w:t>条件化率</w:t>
      </w:r>
      <w:r>
        <w:rPr>
          <w:rFonts w:ascii="Times New Roman" w:hAnsi="Times New Roman" w:eastAsia="宋体"/>
          <w:b w:val="0"/>
          <w:color w:val="1A1A1A"/>
          <w:sz w:val="21"/>
        </w:rPr>
        <w:t>：输出中包含条件说明的比例；</w:t>
      </w:r>
    </w:p>
    <w:p>
      <w:pPr>
        <w:pStyle w:val="ListBullet"/>
        <w:spacing w:line="336" w:lineRule="auto" w:after="40"/>
      </w:pPr>
      <w:r>
        <w:rPr>
          <w:rFonts w:ascii="Times New Roman" w:hAnsi="Times New Roman" w:eastAsia="宋体"/>
          <w:b/>
          <w:color w:val="1A1A1A"/>
          <w:sz w:val="21"/>
        </w:rPr>
        <w:t>校准误差</w:t>
      </w:r>
      <w:r>
        <w:rPr>
          <w:rFonts w:ascii="Times New Roman" w:hAnsi="Times New Roman" w:eastAsia="宋体"/>
          <w:b w:val="0"/>
          <w:color w:val="1A1A1A"/>
          <w:sz w:val="21"/>
        </w:rPr>
        <w:t>：置信度与实际正确率的差距；</w:t>
      </w:r>
    </w:p>
    <w:p>
      <w:pPr>
        <w:pStyle w:val="ListBullet"/>
        <w:spacing w:line="336" w:lineRule="auto" w:after="40"/>
      </w:pPr>
      <w:r>
        <w:rPr>
          <w:rFonts w:ascii="Times New Roman" w:hAnsi="Times New Roman" w:eastAsia="宋体"/>
          <w:b/>
          <w:color w:val="1A1A1A"/>
          <w:sz w:val="21"/>
        </w:rPr>
        <w:t>无冲突正常率</w:t>
      </w:r>
      <w:r>
        <w:rPr>
          <w:rFonts w:ascii="Times New Roman" w:hAnsi="Times New Roman" w:eastAsia="宋体"/>
          <w:b w:val="0"/>
          <w:color w:val="1A1A1A"/>
          <w:sz w:val="21"/>
        </w:rPr>
        <w:t>：在无冲突组上给出正常答案的比例（防止「永远说不知道」）；</w:t>
      </w:r>
    </w:p>
    <w:p>
      <w:pPr>
        <w:pStyle w:val="ListBullet"/>
        <w:spacing w:line="336" w:lineRule="auto" w:after="40"/>
      </w:pPr>
      <w:r>
        <w:rPr>
          <w:rFonts w:ascii="Times New Roman" w:hAnsi="Times New Roman" w:eastAsia="宋体"/>
          <w:b/>
          <w:color w:val="1A1A1A"/>
          <w:sz w:val="21"/>
        </w:rPr>
        <w:t>校准参数稳定性</w:t>
      </w:r>
      <w:r>
        <w:rPr>
          <w:rFonts w:ascii="Times New Roman" w:hAnsi="Times New Roman" w:eastAsia="宋体"/>
          <w:b w:val="0"/>
          <w:color w:val="1A1A1A"/>
          <w:sz w:val="21"/>
        </w:rPr>
        <w:t>：留一来源交叉验证下，a_s 与 g_s 估计的方差与符号一致性；</w:t>
      </w:r>
    </w:p>
    <w:p>
      <w:pPr>
        <w:pStyle w:val="ListBullet"/>
        <w:spacing w:line="336" w:lineRule="auto" w:after="40"/>
      </w:pPr>
      <w:r>
        <w:rPr>
          <w:rFonts w:ascii="Times New Roman" w:hAnsi="Times New Roman" w:eastAsia="宋体"/>
          <w:b/>
          <w:color w:val="1A1A1A"/>
          <w:sz w:val="21"/>
        </w:rPr>
        <w:t>裁决准确率</w:t>
      </w:r>
      <w:r>
        <w:rPr>
          <w:rFonts w:ascii="Times New Roman" w:hAnsi="Times New Roman" w:eastAsia="宋体"/>
          <w:b w:val="0"/>
          <w:color w:val="1A1A1A"/>
          <w:sz w:val="21"/>
        </w:rPr>
        <w:t>：在有公认答案子集上，CSCR 输出的后验概率最大值是否指向正确一方；</w:t>
      </w:r>
    </w:p>
    <w:p>
      <w:pPr>
        <w:pStyle w:val="ListBullet"/>
        <w:spacing w:line="336" w:lineRule="auto" w:after="40"/>
      </w:pPr>
      <w:r>
        <w:rPr>
          <w:rFonts w:ascii="Times New Roman" w:hAnsi="Times New Roman" w:eastAsia="宋体"/>
          <w:b/>
          <w:color w:val="1A1A1A"/>
          <w:sz w:val="21"/>
        </w:rPr>
        <w:t>校准误差（裁决层）</w:t>
      </w:r>
      <w:r>
        <w:rPr>
          <w:rFonts w:ascii="Times New Roman" w:hAnsi="Times New Roman" w:eastAsia="宋体"/>
          <w:b w:val="0"/>
          <w:color w:val="1A1A1A"/>
          <w:sz w:val="21"/>
        </w:rPr>
        <w:t>：输出的裁决概率与实际正确率之差，检验「概率是否可信」。</w:t>
      </w:r>
    </w:p>
    <w:p>
      <w:pPr>
        <w:spacing w:before="200" w:after="80"/>
      </w:pPr>
      <w:r>
        <w:rPr>
          <w:rFonts w:ascii="Times New Roman" w:hAnsi="Times New Roman" w:eastAsia="黑体"/>
          <w:b/>
          <w:color w:val="1B3A52"/>
          <w:sz w:val="23"/>
        </w:rPr>
        <w:t>5.4 消融</w:t>
      </w:r>
    </w:p>
    <w:p>
      <w:pPr>
        <w:pStyle w:val="ListBullet"/>
        <w:spacing w:line="336" w:lineRule="auto" w:after="40"/>
      </w:pPr>
      <w:r>
        <w:rPr>
          <w:rFonts w:ascii="Times New Roman" w:hAnsi="Times New Roman" w:eastAsia="宋体"/>
          <w:b w:val="0"/>
          <w:color w:val="1A1A1A"/>
          <w:sz w:val="21"/>
        </w:rPr>
        <w:t>冲突类型：数据库间 / 时间 / 粒度</w:t>
      </w:r>
    </w:p>
    <w:p>
      <w:pPr>
        <w:pStyle w:val="ListBullet"/>
        <w:spacing w:line="336" w:lineRule="auto" w:after="40"/>
      </w:pPr>
      <w:r>
        <w:rPr>
          <w:rFonts w:ascii="Times New Roman" w:hAnsi="Times New Roman" w:eastAsia="宋体"/>
          <w:b w:val="0"/>
          <w:color w:val="1A1A1A"/>
          <w:sz w:val="21"/>
        </w:rPr>
        <w:t>证据数量：2 条 / 3—5 条 / 更多</w:t>
      </w:r>
    </w:p>
    <w:p>
      <w:pPr>
        <w:pStyle w:val="ListBullet"/>
        <w:spacing w:line="336" w:lineRule="auto" w:after="40"/>
      </w:pPr>
      <w:r>
        <w:rPr>
          <w:rFonts w:ascii="Times New Roman" w:hAnsi="Times New Roman" w:eastAsia="宋体"/>
          <w:b w:val="0"/>
          <w:color w:val="1A1A1A"/>
          <w:sz w:val="21"/>
        </w:rPr>
        <w:t>提示策略：零样本 / 显式要求报告 / few-shot</w:t>
      </w:r>
    </w:p>
    <w:p>
      <w:pPr>
        <w:pStyle w:val="ListBullet"/>
        <w:spacing w:line="336" w:lineRule="auto" w:after="40"/>
      </w:pPr>
      <w:r>
        <w:rPr>
          <w:rFonts w:ascii="Times New Roman" w:hAnsi="Times New Roman" w:eastAsia="宋体"/>
          <w:b w:val="0"/>
          <w:color w:val="1A1A1A"/>
          <w:sz w:val="21"/>
        </w:rPr>
        <w:t>是否提供条件元数据</w:t>
      </w:r>
    </w:p>
    <w:p>
      <w:pPr>
        <w:pStyle w:val="ListBullet"/>
        <w:spacing w:line="336" w:lineRule="auto" w:after="40"/>
      </w:pPr>
      <w:r>
        <w:rPr>
          <w:rFonts w:ascii="Times New Roman" w:hAnsi="Times New Roman" w:eastAsia="宋体"/>
          <w:b/>
          <w:color w:val="1A1A1A"/>
          <w:sz w:val="21"/>
        </w:rPr>
        <w:t>校准模型复杂度</w:t>
      </w:r>
      <w:r>
        <w:rPr>
          <w:rFonts w:ascii="Times New Roman" w:hAnsi="Times New Roman" w:eastAsia="宋体"/>
          <w:b w:val="0"/>
          <w:color w:val="1A1A1A"/>
          <w:sz w:val="21"/>
        </w:rPr>
        <w:t>：仅基础倾向（a_s）vs 条件化（a_s + g_s^T φ）——这是检验 CSCR 是否有价值的关键对照</w:t>
      </w:r>
    </w:p>
    <w:p>
      <w:pPr>
        <w:pStyle w:val="ListBullet"/>
        <w:spacing w:line="336" w:lineRule="auto" w:after="40"/>
      </w:pPr>
      <w:r>
        <w:rPr>
          <w:rFonts w:ascii="Times New Roman" w:hAnsi="Times New Roman" w:eastAsia="宋体"/>
          <w:b/>
          <w:color w:val="1A1A1A"/>
          <w:sz w:val="21"/>
        </w:rPr>
        <w:t>CACG 与 CSCR 的贡献分离</w:t>
      </w:r>
      <w:r>
        <w:rPr>
          <w:rFonts w:ascii="Times New Roman" w:hAnsi="Times New Roman" w:eastAsia="宋体"/>
          <w:b w:val="0"/>
          <w:color w:val="1A1A1A"/>
          <w:sz w:val="21"/>
        </w:rPr>
        <w:t>：仅 CACG、仅 CSCR（不做条件分组）、两者合用</w:t>
      </w:r>
    </w:p>
    <w:p>
      <w:pPr>
        <w:pStyle w:val="ListBullet"/>
        <w:spacing w:line="336" w:lineRule="auto" w:after="40"/>
      </w:pPr>
      <w:r>
        <w:rPr>
          <w:rFonts w:ascii="Times New Roman" w:hAnsi="Times New Roman" w:eastAsia="宋体"/>
          <w:b/>
          <w:color w:val="1A1A1A"/>
          <w:sz w:val="21"/>
        </w:rPr>
        <w:t>φ 特征集</w:t>
      </w:r>
      <w:r>
        <w:rPr>
          <w:rFonts w:ascii="Times New Roman" w:hAnsi="Times New Roman" w:eastAsia="宋体"/>
          <w:b w:val="0"/>
          <w:color w:val="1A1A1A"/>
          <w:sz w:val="21"/>
        </w:rPr>
        <w:t>：仅元素组 / 加 d 电子数 / 加是否含 3d 金属</w:t>
      </w:r>
    </w:p>
    <w:p>
      <w:pPr>
        <w:spacing w:before="200" w:after="80"/>
      </w:pPr>
      <w:r>
        <w:rPr>
          <w:rFonts w:ascii="Times New Roman" w:hAnsi="Times New Roman" w:eastAsia="黑体"/>
          <w:b/>
          <w:color w:val="1B3A52"/>
          <w:sz w:val="23"/>
        </w:rPr>
        <w:t>5.5 真实实验验证</w:t>
      </w:r>
    </w:p>
    <w:p>
      <w:pPr>
        <w:spacing w:after="80"/>
        <w:ind w:firstLine="420"/>
      </w:pPr>
      <w:r>
        <w:rPr>
          <w:rFonts w:ascii="Times New Roman" w:hAnsi="Times New Roman" w:eastAsia="宋体"/>
          <w:b/>
          <w:color w:val="1A1A1A"/>
          <w:sz w:val="21"/>
        </w:rPr>
        <w:t>定位</w:t>
      </w:r>
      <w:r>
        <w:rPr>
          <w:rFonts w:ascii="Times New Roman" w:hAnsi="Times New Roman" w:eastAsia="宋体"/>
          <w:b w:val="0"/>
          <w:color w:val="1A1A1A"/>
          <w:sz w:val="21"/>
        </w:rPr>
        <w:t>：本文条件是「实验用于验证论文结论」，不要求发现新材料。本方向的实验不追求做出新化合物，只回答一个可判定的问题：</w:t>
      </w:r>
      <w:r>
        <w:rPr>
          <w:rFonts w:ascii="Times New Roman" w:hAnsi="Times New Roman" w:eastAsia="宋体"/>
          <w:b/>
          <w:color w:val="1A1A1A"/>
          <w:sz w:val="21"/>
        </w:rPr>
        <w:t>当两个数据库对同一化合物给出相反的稳定性判定时，实验事实站在哪一边。</w:t>
      </w:r>
    </w:p>
    <w:p>
      <w:pPr>
        <w:spacing w:after="80"/>
        <w:ind w:firstLine="420"/>
      </w:pPr>
      <w:r>
        <w:rPr>
          <w:rFonts w:ascii="Times New Roman" w:hAnsi="Times New Roman" w:eastAsia="宋体"/>
          <w:b w:val="0"/>
          <w:color w:val="1A1A1A"/>
          <w:sz w:val="21"/>
        </w:rPr>
        <w:t>这个问题的价值在于：它把「跨库冲突」从一个数据现象，变成一个可以用实验裁决的分歧。若实验结果与某一库系统性地吻合，则冲突基准的判定规则得到外部支持；若两边都不吻合，则说明冲突的根源比「泛函选择」更复杂（例如数据库遗漏了某竞争相）。</w:t>
      </w:r>
    </w:p>
    <w:p>
      <w:pPr>
        <w:spacing w:after="80"/>
        <w:ind w:firstLine="420"/>
      </w:pPr>
      <w:r>
        <w:rPr>
          <w:rFonts w:ascii="Times New Roman" w:hAnsi="Times New Roman" w:eastAsia="宋体"/>
          <w:b w:val="0"/>
          <w:color w:val="1A1A1A"/>
          <w:sz w:val="21"/>
        </w:rPr>
        <w:t>#### 5.5.1 候选筛选（可预注册）</w:t>
      </w:r>
    </w:p>
    <w:tbl>
      <w:tblPr>
        <w:tblStyle w:val="TableGrid"/>
        <w:tblW w:type="auto" w:w="0"/>
        <w:jc w:val="center"/>
        <w:tblLook w:firstColumn="1" w:firstRow="1" w:lastColumn="0" w:lastRow="0" w:noHBand="0" w:noVBand="1" w:val="04A0"/>
      </w:tblPr>
      <w:tblGrid>
        <w:gridCol w:w="4366"/>
        <w:gridCol w:w="4366"/>
      </w:tblGrid>
      <w:tr>
        <w:tc>
          <w:tcPr>
            <w:tcW w:type="dxa" w:w="4366"/>
          </w:tcPr>
          <w:p>
            <w:pPr>
              <w:spacing w:before="40" w:after="40" w:line="276" w:lineRule="auto"/>
            </w:pPr>
            <w:r/>
            <w:r>
              <w:rPr>
                <w:rFonts w:ascii="Times New Roman" w:hAnsi="Times New Roman" w:eastAsia="宋体"/>
                <w:b/>
                <w:color w:val="1A1A1A"/>
                <w:sz w:val="18"/>
              </w:rPr>
              <w:t>步骤</w:t>
            </w:r>
          </w:p>
        </w:tc>
        <w:tc>
          <w:tcPr>
            <w:tcW w:type="dxa" w:w="4366"/>
          </w:tcPr>
          <w:p>
            <w:pPr>
              <w:spacing w:before="40" w:after="40" w:line="276" w:lineRule="auto"/>
            </w:pPr>
            <w:r/>
            <w:r>
              <w:rPr>
                <w:rFonts w:ascii="Times New Roman" w:hAnsi="Times New Roman" w:eastAsia="宋体"/>
                <w:b/>
                <w:color w:val="1A1A1A"/>
                <w:sz w:val="18"/>
              </w:rPr>
              <w:t>规则</w:t>
            </w:r>
          </w:p>
        </w:tc>
      </w:tr>
      <w:tr>
        <w:tc>
          <w:tcPr>
            <w:tcW w:type="dxa" w:w="4366"/>
          </w:tcPr>
          <w:p>
            <w:pPr>
              <w:spacing w:before="40" w:after="40" w:line="276" w:lineRule="auto"/>
            </w:pPr>
            <w:r/>
            <w:r>
              <w:rPr>
                <w:rFonts w:ascii="Times New Roman" w:hAnsi="Times New Roman" w:eastAsia="宋体"/>
                <w:b w:val="0"/>
                <w:color w:val="1A1A1A"/>
                <w:sz w:val="18"/>
              </w:rPr>
              <w:t>来源</w:t>
            </w:r>
          </w:p>
        </w:tc>
        <w:tc>
          <w:tcPr>
            <w:tcW w:type="dxa" w:w="4366"/>
          </w:tcPr>
          <w:p>
            <w:pPr>
              <w:spacing w:before="40" w:after="40" w:line="276" w:lineRule="auto"/>
            </w:pPr>
            <w:r/>
            <w:r>
              <w:rPr>
                <w:rFonts w:ascii="Times New Roman" w:hAnsi="Times New Roman" w:eastAsia="宋体"/>
                <w:b w:val="0"/>
                <w:color w:val="1A1A1A"/>
                <w:sz w:val="18"/>
              </w:rPr>
              <w:t>冲突基准中「一库判在凸包上、另一库判在凸包之上（L2 级，&gt;50 meV/atom）」的化合物</w:t>
            </w:r>
          </w:p>
        </w:tc>
      </w:tr>
      <w:tr>
        <w:tc>
          <w:tcPr>
            <w:tcW w:type="dxa" w:w="4366"/>
          </w:tcPr>
          <w:p>
            <w:pPr>
              <w:spacing w:before="40" w:after="40" w:line="276" w:lineRule="auto"/>
            </w:pPr>
            <w:r/>
            <w:r>
              <w:rPr>
                <w:rFonts w:ascii="Times New Roman" w:hAnsi="Times New Roman" w:eastAsia="宋体"/>
                <w:b w:val="0"/>
                <w:color w:val="1A1A1A"/>
                <w:sz w:val="18"/>
              </w:rPr>
              <w:t>文献门槛</w:t>
            </w:r>
          </w:p>
        </w:tc>
        <w:tc>
          <w:tcPr>
            <w:tcW w:type="dxa" w:w="4366"/>
          </w:tcPr>
          <w:p>
            <w:pPr>
              <w:spacing w:before="40" w:after="40" w:line="276" w:lineRule="auto"/>
            </w:pPr>
            <w:r/>
            <w:r>
              <w:rPr>
                <w:rFonts w:ascii="Times New Roman" w:hAnsi="Times New Roman" w:eastAsia="宋体"/>
                <w:b w:val="0"/>
                <w:color w:val="1A1A1A"/>
                <w:sz w:val="18"/>
              </w:rPr>
              <w:t>文献中有明确合成路线且报告了 XRD 物相确认，路线可复现。</w:t>
            </w:r>
            <w:r>
              <w:rPr>
                <w:rFonts w:ascii="Times New Roman" w:hAnsi="Times New Roman" w:eastAsia="宋体"/>
                <w:b/>
                <w:color w:val="1A1A1A"/>
                <w:sz w:val="18"/>
              </w:rPr>
              <w:t>筛选借助现有全文文献库完成</w:t>
            </w:r>
            <w:r>
              <w:rPr>
                <w:rFonts w:ascii="Times New Roman" w:hAnsi="Times New Roman" w:eastAsia="宋体"/>
                <w:b w:val="0"/>
                <w:color w:val="1A1A1A"/>
                <w:sz w:val="18"/>
              </w:rPr>
              <w:t>：先按化合物名检索，再核验其是否报告前驱体、温度与 XRD 结论；人工只做抽样复核</w:t>
            </w:r>
          </w:p>
        </w:tc>
      </w:tr>
      <w:tr>
        <w:tc>
          <w:tcPr>
            <w:tcW w:type="dxa" w:w="4366"/>
          </w:tcPr>
          <w:p>
            <w:pPr>
              <w:spacing w:before="40" w:after="40" w:line="276" w:lineRule="auto"/>
            </w:pPr>
            <w:r/>
            <w:r>
              <w:rPr>
                <w:rFonts w:ascii="Times New Roman" w:hAnsi="Times New Roman" w:eastAsia="宋体"/>
                <w:b w:val="0"/>
                <w:color w:val="1A1A1A"/>
                <w:sz w:val="18"/>
              </w:rPr>
              <w:t>元素限制</w:t>
            </w:r>
          </w:p>
        </w:tc>
        <w:tc>
          <w:tcPr>
            <w:tcW w:type="dxa" w:w="4366"/>
          </w:tcPr>
          <w:p>
            <w:pPr>
              <w:spacing w:before="40" w:after="40" w:line="276" w:lineRule="auto"/>
            </w:pPr>
            <w:r/>
            <w:r>
              <w:rPr>
                <w:rFonts w:ascii="Times New Roman" w:hAnsi="Times New Roman" w:eastAsia="宋体"/>
                <w:b w:val="0"/>
                <w:color w:val="1A1A1A"/>
                <w:sz w:val="18"/>
              </w:rPr>
              <w:t>不含放射性、稀有贵重或管控元素；不含需要高压/极端条件的体系</w:t>
            </w:r>
          </w:p>
        </w:tc>
      </w:tr>
      <w:tr>
        <w:tc>
          <w:tcPr>
            <w:tcW w:type="dxa" w:w="4366"/>
          </w:tcPr>
          <w:p>
            <w:pPr>
              <w:spacing w:before="40" w:after="40" w:line="276" w:lineRule="auto"/>
            </w:pPr>
            <w:r/>
            <w:r>
              <w:rPr>
                <w:rFonts w:ascii="Times New Roman" w:hAnsi="Times New Roman" w:eastAsia="宋体"/>
                <w:b w:val="0"/>
                <w:color w:val="1A1A1A"/>
                <w:sz w:val="18"/>
              </w:rPr>
              <w:t>排除</w:t>
            </w:r>
          </w:p>
        </w:tc>
        <w:tc>
          <w:tcPr>
            <w:tcW w:type="dxa" w:w="4366"/>
          </w:tcPr>
          <w:p>
            <w:pPr>
              <w:spacing w:before="40" w:after="40" w:line="276" w:lineRule="auto"/>
            </w:pPr>
            <w:r/>
            <w:r>
              <w:rPr>
                <w:rFonts w:ascii="Times New Roman" w:hAnsi="Times New Roman" w:eastAsia="宋体"/>
                <w:b w:val="0"/>
                <w:color w:val="1A1A1A"/>
                <w:sz w:val="18"/>
              </w:rPr>
              <w:t>已知亚稳相、多晶型争议体系、需水热/气氛精确控制的体系</w:t>
            </w:r>
          </w:p>
        </w:tc>
      </w:tr>
      <w:tr>
        <w:tc>
          <w:tcPr>
            <w:tcW w:type="dxa" w:w="4366"/>
          </w:tcPr>
          <w:p>
            <w:pPr>
              <w:spacing w:before="40" w:after="40" w:line="276" w:lineRule="auto"/>
            </w:pPr>
            <w:r/>
            <w:r>
              <w:rPr>
                <w:rFonts w:ascii="Times New Roman" w:hAnsi="Times New Roman" w:eastAsia="宋体"/>
                <w:b w:val="0"/>
                <w:color w:val="1A1A1A"/>
                <w:sz w:val="18"/>
              </w:rPr>
              <w:t>数量</w:t>
            </w:r>
          </w:p>
        </w:tc>
        <w:tc>
          <w:tcPr>
            <w:tcW w:type="dxa" w:w="4366"/>
          </w:tcPr>
          <w:p>
            <w:pPr>
              <w:spacing w:before="40" w:after="40" w:line="276" w:lineRule="auto"/>
            </w:pPr>
            <w:r/>
            <w:r>
              <w:rPr>
                <w:rFonts w:ascii="Times New Roman" w:hAnsi="Times New Roman" w:eastAsia="宋体"/>
                <w:b w:val="0"/>
                <w:color w:val="1A1A1A"/>
                <w:sz w:val="18"/>
              </w:rPr>
              <w:t>3—5 个化合物，</w:t>
            </w:r>
            <w:r>
              <w:rPr>
                <w:rFonts w:ascii="Times New Roman" w:hAnsi="Times New Roman" w:eastAsia="宋体"/>
                <w:b/>
                <w:color w:val="1A1A1A"/>
                <w:sz w:val="18"/>
              </w:rPr>
              <w:t>先固定名单再看结果</w:t>
            </w:r>
          </w:p>
        </w:tc>
      </w:tr>
    </w:tbl>
    <w:p/>
    <w:p>
      <w:pPr>
        <w:spacing w:after="80"/>
        <w:ind w:firstLine="420"/>
      </w:pPr>
      <w:r>
        <w:rPr>
          <w:rFonts w:ascii="Times New Roman" w:hAnsi="Times New Roman" w:eastAsia="宋体"/>
          <w:b w:val="0"/>
          <w:color w:val="1A1A1A"/>
          <w:sz w:val="21"/>
        </w:rPr>
        <w:t>#### 5.5.2 实验与判据</w:t>
      </w:r>
    </w:p>
    <w:p>
      <w:pPr>
        <w:pStyle w:val="ListBullet"/>
        <w:spacing w:line="336" w:lineRule="auto" w:after="40"/>
      </w:pPr>
      <w:r>
        <w:rPr>
          <w:rFonts w:ascii="Times New Roman" w:hAnsi="Times New Roman" w:eastAsia="宋体"/>
          <w:b/>
          <w:color w:val="1A1A1A"/>
          <w:sz w:val="21"/>
        </w:rPr>
        <w:t>实验</w:t>
      </w:r>
      <w:r>
        <w:rPr>
          <w:rFonts w:ascii="Times New Roman" w:hAnsi="Times New Roman" w:eastAsia="宋体"/>
          <w:b w:val="0"/>
          <w:color w:val="1A1A1A"/>
          <w:sz w:val="21"/>
        </w:rPr>
        <w:t>：按文献路线合成，XRD 物相确认（不做性能测量，降低门槛与失败面）</w:t>
      </w:r>
    </w:p>
    <w:p>
      <w:pPr>
        <w:pStyle w:val="ListBullet"/>
        <w:spacing w:line="336" w:lineRule="auto" w:after="40"/>
      </w:pPr>
      <w:r>
        <w:rPr>
          <w:rFonts w:ascii="Times New Roman" w:hAnsi="Times New Roman" w:eastAsia="宋体"/>
          <w:b/>
          <w:color w:val="1A1A1A"/>
          <w:sz w:val="21"/>
        </w:rPr>
        <w:t>判定表</w:t>
      </w:r>
      <w:r>
        <w:rPr>
          <w:rFonts w:ascii="Times New Roman" w:hAnsi="Times New Roman" w:eastAsia="宋体"/>
          <w:b w:val="0"/>
          <w:color w:val="1A1A1A"/>
          <w:sz w:val="21"/>
        </w:rPr>
        <w:t>：</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实验观察</w:t>
            </w:r>
          </w:p>
        </w:tc>
        <w:tc>
          <w:tcPr>
            <w:tcW w:type="dxa" w:w="2183"/>
          </w:tcPr>
          <w:p>
            <w:pPr>
              <w:spacing w:before="40" w:after="40" w:line="276" w:lineRule="auto"/>
            </w:pPr>
            <w:r/>
            <w:r>
              <w:rPr>
                <w:rFonts w:ascii="Times New Roman" w:hAnsi="Times New Roman" w:eastAsia="宋体"/>
                <w:b/>
                <w:color w:val="1A1A1A"/>
                <w:sz w:val="18"/>
              </w:rPr>
              <w:t>对「判稳定」一方</w:t>
            </w:r>
          </w:p>
        </w:tc>
        <w:tc>
          <w:tcPr>
            <w:tcW w:type="dxa" w:w="2183"/>
          </w:tcPr>
          <w:p>
            <w:pPr>
              <w:spacing w:before="40" w:after="40" w:line="276" w:lineRule="auto"/>
            </w:pPr>
            <w:r/>
            <w:r>
              <w:rPr>
                <w:rFonts w:ascii="Times New Roman" w:hAnsi="Times New Roman" w:eastAsia="宋体"/>
                <w:b/>
                <w:color w:val="1A1A1A"/>
                <w:sz w:val="18"/>
              </w:rPr>
              <w:t>对「判不稳定」一方</w:t>
            </w:r>
          </w:p>
        </w:tc>
        <w:tc>
          <w:tcPr>
            <w:tcW w:type="dxa" w:w="2183"/>
          </w:tcPr>
          <w:p>
            <w:pPr>
              <w:spacing w:before="40" w:after="40" w:line="276" w:lineRule="auto"/>
            </w:pPr>
            <w:r/>
            <w:r>
              <w:rPr>
                <w:rFonts w:ascii="Times New Roman" w:hAnsi="Times New Roman" w:eastAsia="宋体"/>
                <w:b/>
                <w:color w:val="1A1A1A"/>
                <w:sz w:val="18"/>
              </w:rPr>
              <w:t>论文结论</w:t>
            </w:r>
          </w:p>
        </w:tc>
      </w:tr>
      <w:tr>
        <w:tc>
          <w:tcPr>
            <w:tcW w:type="dxa" w:w="2183"/>
          </w:tcPr>
          <w:p>
            <w:pPr>
              <w:spacing w:before="40" w:after="40" w:line="276" w:lineRule="auto"/>
            </w:pPr>
            <w:r/>
            <w:r>
              <w:rPr>
                <w:rFonts w:ascii="Times New Roman" w:hAnsi="Times New Roman" w:eastAsia="宋体"/>
                <w:b w:val="0"/>
                <w:color w:val="1A1A1A"/>
                <w:sz w:val="18"/>
              </w:rPr>
              <w:t>目标相明确获得</w:t>
            </w:r>
          </w:p>
        </w:tc>
        <w:tc>
          <w:tcPr>
            <w:tcW w:type="dxa" w:w="2183"/>
          </w:tcPr>
          <w:p>
            <w:pPr>
              <w:spacing w:before="40" w:after="40" w:line="276" w:lineRule="auto"/>
            </w:pPr>
            <w:r/>
            <w:r>
              <w:rPr>
                <w:rFonts w:ascii="Times New Roman" w:hAnsi="Times New Roman" w:eastAsia="宋体"/>
                <w:b w:val="0"/>
                <w:color w:val="1A1A1A"/>
                <w:sz w:val="18"/>
              </w:rPr>
              <w:t>支持</w:t>
            </w:r>
          </w:p>
        </w:tc>
        <w:tc>
          <w:tcPr>
            <w:tcW w:type="dxa" w:w="2183"/>
          </w:tcPr>
          <w:p>
            <w:pPr>
              <w:spacing w:before="40" w:after="40" w:line="276" w:lineRule="auto"/>
            </w:pPr>
            <w:r/>
            <w:r>
              <w:rPr>
                <w:rFonts w:ascii="Times New Roman" w:hAnsi="Times New Roman" w:eastAsia="宋体"/>
                <w:b w:val="0"/>
                <w:color w:val="1A1A1A"/>
                <w:sz w:val="18"/>
              </w:rPr>
              <w:t>反对</w:t>
            </w:r>
          </w:p>
        </w:tc>
        <w:tc>
          <w:tcPr>
            <w:tcW w:type="dxa" w:w="2183"/>
          </w:tcPr>
          <w:p>
            <w:pPr>
              <w:spacing w:before="40" w:after="40" w:line="276" w:lineRule="auto"/>
            </w:pPr>
            <w:r/>
            <w:r>
              <w:rPr>
                <w:rFonts w:ascii="Times New Roman" w:hAnsi="Times New Roman" w:eastAsia="宋体"/>
                <w:b w:val="0"/>
                <w:color w:val="1A1A1A"/>
                <w:sz w:val="18"/>
              </w:rPr>
              <w:t>冲突来自建模选择，可裁决</w:t>
            </w:r>
          </w:p>
        </w:tc>
      </w:tr>
      <w:tr>
        <w:tc>
          <w:tcPr>
            <w:tcW w:type="dxa" w:w="2183"/>
          </w:tcPr>
          <w:p>
            <w:pPr>
              <w:spacing w:before="40" w:after="40" w:line="276" w:lineRule="auto"/>
            </w:pPr>
            <w:r/>
            <w:r>
              <w:rPr>
                <w:rFonts w:ascii="Times New Roman" w:hAnsi="Times New Roman" w:eastAsia="宋体"/>
                <w:b w:val="0"/>
                <w:color w:val="1A1A1A"/>
                <w:sz w:val="18"/>
              </w:rPr>
              <w:t>目标相未获得，出现竞争相</w:t>
            </w:r>
          </w:p>
        </w:tc>
        <w:tc>
          <w:tcPr>
            <w:tcW w:type="dxa" w:w="2183"/>
          </w:tcPr>
          <w:p>
            <w:pPr>
              <w:spacing w:before="40" w:after="40" w:line="276" w:lineRule="auto"/>
            </w:pPr>
            <w:r/>
            <w:r>
              <w:rPr>
                <w:rFonts w:ascii="Times New Roman" w:hAnsi="Times New Roman" w:eastAsia="宋体"/>
                <w:b w:val="0"/>
                <w:color w:val="1A1A1A"/>
                <w:sz w:val="18"/>
              </w:rPr>
              <w:t>反对</w:t>
            </w:r>
          </w:p>
        </w:tc>
        <w:tc>
          <w:tcPr>
            <w:tcW w:type="dxa" w:w="2183"/>
          </w:tcPr>
          <w:p>
            <w:pPr>
              <w:spacing w:before="40" w:after="40" w:line="276" w:lineRule="auto"/>
            </w:pPr>
            <w:r/>
            <w:r>
              <w:rPr>
                <w:rFonts w:ascii="Times New Roman" w:hAnsi="Times New Roman" w:eastAsia="宋体"/>
                <w:b w:val="0"/>
                <w:color w:val="1A1A1A"/>
                <w:sz w:val="18"/>
              </w:rPr>
              <w:t>支持</w:t>
            </w:r>
          </w:p>
        </w:tc>
        <w:tc>
          <w:tcPr>
            <w:tcW w:type="dxa" w:w="2183"/>
          </w:tcPr>
          <w:p>
            <w:pPr>
              <w:spacing w:before="40" w:after="40" w:line="276" w:lineRule="auto"/>
            </w:pPr>
            <w:r/>
            <w:r>
              <w:rPr>
                <w:rFonts w:ascii="Times New Roman" w:hAnsi="Times New Roman" w:eastAsia="宋体"/>
                <w:b w:val="0"/>
                <w:color w:val="1A1A1A"/>
                <w:sz w:val="18"/>
              </w:rPr>
              <w:t>同上，方向相反</w:t>
            </w:r>
          </w:p>
        </w:tc>
      </w:tr>
      <w:tr>
        <w:tc>
          <w:tcPr>
            <w:tcW w:type="dxa" w:w="2183"/>
          </w:tcPr>
          <w:p>
            <w:pPr>
              <w:spacing w:before="40" w:after="40" w:line="276" w:lineRule="auto"/>
            </w:pPr>
            <w:r/>
            <w:r>
              <w:rPr>
                <w:rFonts w:ascii="Times New Roman" w:hAnsi="Times New Roman" w:eastAsia="宋体"/>
                <w:b w:val="0"/>
                <w:color w:val="1A1A1A"/>
                <w:sz w:val="18"/>
              </w:rPr>
              <w:t>目标相未获得，但未出现竞争相</w:t>
            </w:r>
          </w:p>
        </w:tc>
        <w:tc>
          <w:tcPr>
            <w:tcW w:type="dxa" w:w="2183"/>
          </w:tcPr>
          <w:p>
            <w:pPr>
              <w:spacing w:before="40" w:after="40" w:line="276" w:lineRule="auto"/>
            </w:pPr>
            <w:r/>
            <w:r>
              <w:rPr>
                <w:rFonts w:ascii="Times New Roman" w:hAnsi="Times New Roman" w:eastAsia="宋体"/>
                <w:b w:val="0"/>
                <w:color w:val="1A1A1A"/>
                <w:sz w:val="18"/>
              </w:rPr>
              <w:t>无结论</w:t>
            </w:r>
          </w:p>
        </w:tc>
        <w:tc>
          <w:tcPr>
            <w:tcW w:type="dxa" w:w="2183"/>
          </w:tcPr>
          <w:p>
            <w:pPr>
              <w:spacing w:before="40" w:after="40" w:line="276" w:lineRule="auto"/>
            </w:pPr>
            <w:r/>
            <w:r>
              <w:rPr>
                <w:rFonts w:ascii="Times New Roman" w:hAnsi="Times New Roman" w:eastAsia="宋体"/>
                <w:b w:val="0"/>
                <w:color w:val="1A1A1A"/>
                <w:sz w:val="18"/>
              </w:rPr>
              <w:t>无结论</w:t>
            </w:r>
          </w:p>
        </w:tc>
        <w:tc>
          <w:tcPr>
            <w:tcW w:type="dxa" w:w="2183"/>
          </w:tcPr>
          <w:p>
            <w:pPr>
              <w:spacing w:before="40" w:after="40" w:line="276" w:lineRule="auto"/>
            </w:pPr>
            <w:r/>
            <w:r>
              <w:rPr>
                <w:rFonts w:ascii="Times New Roman" w:hAnsi="Times New Roman" w:eastAsia="宋体"/>
                <w:b w:val="0"/>
                <w:color w:val="1A1A1A"/>
                <w:sz w:val="18"/>
              </w:rPr>
              <w:t>归因于动力学，不计入统计</w:t>
            </w:r>
          </w:p>
        </w:tc>
      </w:tr>
      <w:tr>
        <w:tc>
          <w:tcPr>
            <w:tcW w:type="dxa" w:w="2183"/>
          </w:tcPr>
          <w:p>
            <w:pPr>
              <w:spacing w:before="40" w:after="40" w:line="276" w:lineRule="auto"/>
            </w:pPr>
            <w:r/>
            <w:r>
              <w:rPr>
                <w:rFonts w:ascii="Times New Roman" w:hAnsi="Times New Roman" w:eastAsia="宋体"/>
                <w:b w:val="0"/>
                <w:color w:val="1A1A1A"/>
                <w:sz w:val="18"/>
              </w:rPr>
              <w:t>产物非晶或多相混合</w:t>
            </w:r>
          </w:p>
        </w:tc>
        <w:tc>
          <w:tcPr>
            <w:tcW w:type="dxa" w:w="2183"/>
          </w:tcPr>
          <w:p>
            <w:pPr>
              <w:spacing w:before="40" w:after="40" w:line="276" w:lineRule="auto"/>
            </w:pPr>
            <w:r/>
            <w:r>
              <w:rPr>
                <w:rFonts w:ascii="Times New Roman" w:hAnsi="Times New Roman" w:eastAsia="宋体"/>
                <w:b w:val="0"/>
                <w:color w:val="1A1A1A"/>
                <w:sz w:val="18"/>
              </w:rPr>
              <w:t>无结论</w:t>
            </w:r>
          </w:p>
        </w:tc>
        <w:tc>
          <w:tcPr>
            <w:tcW w:type="dxa" w:w="2183"/>
          </w:tcPr>
          <w:p>
            <w:pPr>
              <w:spacing w:before="40" w:after="40" w:line="276" w:lineRule="auto"/>
            </w:pPr>
            <w:r/>
            <w:r>
              <w:rPr>
                <w:rFonts w:ascii="Times New Roman" w:hAnsi="Times New Roman" w:eastAsia="宋体"/>
                <w:b w:val="0"/>
                <w:color w:val="1A1A1A"/>
                <w:sz w:val="18"/>
              </w:rPr>
              <w:t>无结论</w:t>
            </w:r>
          </w:p>
        </w:tc>
        <w:tc>
          <w:tcPr>
            <w:tcW w:type="dxa" w:w="2183"/>
          </w:tcPr>
          <w:p>
            <w:pPr>
              <w:spacing w:before="40" w:after="40" w:line="276" w:lineRule="auto"/>
            </w:pPr>
            <w:r/>
            <w:r>
              <w:rPr>
                <w:rFonts w:ascii="Times New Roman" w:hAnsi="Times New Roman" w:eastAsia="宋体"/>
                <w:b w:val="0"/>
                <w:color w:val="1A1A1A"/>
                <w:sz w:val="18"/>
              </w:rPr>
              <w:t>计入「不确定」并如实报告</w:t>
            </w:r>
          </w:p>
        </w:tc>
      </w:tr>
    </w:tbl>
    <w:p/>
    <w:p>
      <w:pPr>
        <w:spacing w:after="80"/>
        <w:ind w:firstLine="420"/>
      </w:pPr>
      <w:r>
        <w:rPr>
          <w:rFonts w:ascii="Times New Roman" w:hAnsi="Times New Roman" w:eastAsia="宋体"/>
          <w:b w:val="0"/>
          <w:color w:val="1A1A1A"/>
          <w:sz w:val="21"/>
        </w:rPr>
        <w:t>#### 5.5.3 可判定的结论边界</w:t>
      </w:r>
    </w:p>
    <w:p>
      <w:pPr>
        <w:spacing w:after="80"/>
        <w:ind w:firstLine="420"/>
      </w:pPr>
      <w:r>
        <w:rPr>
          <w:rFonts w:ascii="Times New Roman" w:hAnsi="Times New Roman" w:eastAsia="宋体"/>
          <w:b w:val="0"/>
          <w:color w:val="1A1A1A"/>
          <w:sz w:val="21"/>
        </w:rPr>
        <w:t>3—5 个样本</w:t>
      </w:r>
      <w:r>
        <w:rPr>
          <w:rFonts w:ascii="Times New Roman" w:hAnsi="Times New Roman" w:eastAsia="宋体"/>
          <w:b/>
          <w:color w:val="1A1A1A"/>
          <w:sz w:val="21"/>
        </w:rPr>
        <w:t>不足以做统计推断</w:t>
      </w:r>
      <w:r>
        <w:rPr>
          <w:rFonts w:ascii="Times New Roman" w:hAnsi="Times New Roman" w:eastAsia="宋体"/>
          <w:b w:val="0"/>
          <w:color w:val="1A1A1A"/>
          <w:sz w:val="21"/>
        </w:rPr>
        <w:t>。本实验能支持的最强结论只有一句：</w:t>
      </w:r>
      <w:r>
        <w:rPr>
          <w:rFonts w:ascii="Times New Roman" w:hAnsi="Times New Roman" w:eastAsia="宋体"/>
          <w:b/>
          <w:color w:val="1A1A1A"/>
          <w:sz w:val="21"/>
        </w:rPr>
        <w:t>「在 n 个案例中，实验事实与 X 库一致的有 k 个」</w:t>
      </w:r>
      <w:r>
        <w:rPr>
          <w:rFonts w:ascii="Times New Roman" w:hAnsi="Times New Roman" w:eastAsia="宋体"/>
          <w:b w:val="0"/>
          <w:color w:val="1A1A1A"/>
          <w:sz w:val="21"/>
        </w:rPr>
        <w:t>，并据此讨论冲突基准的判定规则是否需要调整。</w:t>
      </w:r>
    </w:p>
    <w:p>
      <w:pPr>
        <w:spacing w:after="80"/>
        <w:ind w:firstLine="420"/>
      </w:pPr>
      <w:r>
        <w:rPr>
          <w:rFonts w:ascii="Times New Roman" w:hAnsi="Times New Roman" w:eastAsia="宋体"/>
          <w:b w:val="0"/>
          <w:color w:val="1A1A1A"/>
          <w:sz w:val="21"/>
        </w:rPr>
        <w:t>不得用它证明「17%—18% 的冲突率」，也不得用它证明 CACG 方法的整体有效性——前者是总体统计量，后者需要大规模评测。</w:t>
      </w:r>
    </w:p>
    <w:p>
      <w:pPr>
        <w:spacing w:after="80"/>
        <w:ind w:firstLine="420"/>
      </w:pPr>
      <w:r>
        <w:rPr>
          <w:rFonts w:ascii="Times New Roman" w:hAnsi="Times New Roman" w:eastAsia="宋体"/>
          <w:b w:val="0"/>
          <w:color w:val="1A1A1A"/>
          <w:sz w:val="21"/>
        </w:rPr>
        <w:t>#### 5.5.4 预注册要求</w:t>
      </w:r>
    </w:p>
    <w:p>
      <w:pPr>
        <w:spacing w:after="80"/>
        <w:ind w:firstLine="420"/>
      </w:pPr>
      <w:r>
        <w:rPr>
          <w:rFonts w:ascii="Times New Roman" w:hAnsi="Times New Roman" w:eastAsia="宋体"/>
          <w:b w:val="0"/>
          <w:color w:val="1A1A1A"/>
          <w:sz w:val="21"/>
        </w:rPr>
        <w:t>第 9—10 月必须冻结：化合物名单、合成路线、判定规则（上表）、成功与失败的定义。</w:t>
      </w:r>
      <w:r>
        <w:rPr>
          <w:rFonts w:ascii="Times New Roman" w:hAnsi="Times New Roman" w:eastAsia="宋体"/>
          <w:b/>
          <w:color w:val="1A1A1A"/>
          <w:sz w:val="21"/>
        </w:rPr>
        <w:t>冻结后才做实验</w:t>
      </w:r>
      <w:r>
        <w:rPr>
          <w:rFonts w:ascii="Times New Roman" w:hAnsi="Times New Roman" w:eastAsia="宋体"/>
          <w:b w:val="0"/>
          <w:color w:val="1A1A1A"/>
          <w:sz w:val="21"/>
        </w:rPr>
        <w:t>，避免看到结果再解释。</w:t>
      </w:r>
    </w:p>
    <w:p>
      <w:pPr>
        <w:spacing w:after="80"/>
        <w:ind w:firstLine="420"/>
      </w:pPr>
      <w:r>
        <w:rPr>
          <w:rFonts w:ascii="Times New Roman" w:hAnsi="Times New Roman" w:eastAsia="宋体"/>
          <w:b w:val="0"/>
          <w:color w:val="1A1A1A"/>
          <w:sz w:val="21"/>
        </w:rPr>
        <w:t>#### 5.5.5 若实验不可得</w:t>
      </w:r>
    </w:p>
    <w:p>
      <w:pPr>
        <w:spacing w:after="80"/>
        <w:ind w:firstLine="420"/>
      </w:pPr>
      <w:r>
        <w:rPr>
          <w:rFonts w:ascii="Times New Roman" w:hAnsi="Times New Roman" w:eastAsia="宋体"/>
          <w:b w:val="0"/>
          <w:color w:val="1A1A1A"/>
          <w:sz w:val="21"/>
        </w:rPr>
        <w:t>本方向仍可完成，但须把结论从「冲突可被实验裁决」降为「冲突可被条件归因」，并在局限性中写明缺少外部裁决。</w:t>
      </w:r>
    </w:p>
    <w:p>
      <w:pPr>
        <w:spacing w:before="320" w:after="120"/>
      </w:pPr>
      <w:r>
        <w:rPr>
          <w:rFonts w:ascii="Times New Roman" w:hAnsi="Times New Roman" w:eastAsia="黑体"/>
          <w:b/>
          <w:color w:val="1B3A52"/>
          <w:sz w:val="30"/>
        </w:rPr>
        <w:t>6 特色与创新</w:t>
      </w:r>
    </w:p>
    <w:p>
      <w:pPr>
        <w:spacing w:after="80"/>
        <w:ind w:firstLine="420"/>
      </w:pPr>
      <w:r>
        <w:rPr>
          <w:rFonts w:ascii="Times New Roman" w:hAnsi="Times New Roman" w:eastAsia="宋体"/>
          <w:b/>
          <w:color w:val="1A1A1A"/>
          <w:sz w:val="21"/>
        </w:rPr>
        <w:t>方法组件一：条件化判定校准与冲突裁决（CSCR）。</w:t>
      </w:r>
      <w:r>
        <w:rPr>
          <w:rFonts w:ascii="Times New Roman" w:hAnsi="Times New Roman" w:eastAsia="宋体"/>
          <w:b w:val="0"/>
          <w:color w:val="1A1A1A"/>
          <w:sz w:val="21"/>
        </w:rPr>
        <w:t xml:space="preserve"> 约 150—200 行可训练部分。</w:t>
      </w:r>
      <w:r>
        <w:rPr>
          <w:rFonts w:ascii="Times New Roman" w:hAnsi="Times New Roman" w:eastAsia="宋体"/>
          <w:b/>
          <w:color w:val="1A1A1A"/>
          <w:sz w:val="21"/>
        </w:rPr>
        <w:t>定位说明（2026-10-19 复核后调整）</w:t>
      </w:r>
      <w:r>
        <w:rPr>
          <w:rFonts w:ascii="Times New Roman" w:hAnsi="Times New Roman" w:eastAsia="宋体"/>
          <w:b w:val="0"/>
          <w:color w:val="1A1A1A"/>
          <w:sz w:val="21"/>
        </w:rPr>
        <w:t>：CSCR 不列为本课题的「主要算法贡献」，理由见下——</w:t>
      </w:r>
    </w:p>
    <w:p>
      <w:pPr>
        <w:spacing w:after="80"/>
        <w:ind w:firstLine="420"/>
      </w:pPr>
      <w:r>
        <w:rPr>
          <w:rFonts w:ascii="Times New Roman" w:hAnsi="Times New Roman" w:eastAsia="宋体"/>
          <w:b w:val="0"/>
          <w:color w:val="1A1A1A"/>
          <w:sz w:val="21"/>
        </w:rPr>
        <w:t xml:space="preserve">初步测算显示其增益空间有限：三库齐全的 26,337 组样本中 </w:t>
      </w:r>
      <w:r>
        <w:rPr>
          <w:rFonts w:ascii="Times New Roman" w:hAnsi="Times New Roman" w:eastAsia="宋体"/>
          <w:b/>
          <w:color w:val="1A1A1A"/>
          <w:sz w:val="21"/>
        </w:rPr>
        <w:t>73.30% 三库判定完全一致，无裁决空间</w:t>
      </w:r>
      <w:r>
        <w:rPr>
          <w:rFonts w:ascii="Times New Roman" w:hAnsi="Times New Roman" w:eastAsia="宋体"/>
          <w:b w:val="0"/>
          <w:color w:val="1A1A1A"/>
          <w:sz w:val="21"/>
        </w:rPr>
        <w:t>，仅 26.70%（7,032 组）存在分歧；三对库两两一致率 82.67%/82.24%/81.84% 几乎相同，说明</w:t>
      </w:r>
      <w:r>
        <w:rPr>
          <w:rFonts w:ascii="Times New Roman" w:hAnsi="Times New Roman" w:eastAsia="宋体"/>
          <w:b/>
          <w:color w:val="1A1A1A"/>
          <w:sz w:val="21"/>
        </w:rPr>
        <w:t>没有系统性偏坏的来源</w:t>
      </w:r>
      <w:r>
        <w:rPr>
          <w:rFonts w:ascii="Times New Roman" w:hAnsi="Times New Roman" w:eastAsia="宋体"/>
          <w:b w:val="0"/>
          <w:color w:val="1A1A1A"/>
          <w:sz w:val="21"/>
        </w:rPr>
        <w:t xml:space="preserve">，故基础倾向项学不到稳定优势；条件依赖项在 3d 金属特征上的差异作用到这 7,032 组上，理论可纠正上限约 </w:t>
      </w:r>
      <w:r>
        <w:rPr>
          <w:rFonts w:ascii="Times New Roman" w:hAnsi="Times New Roman" w:eastAsia="宋体"/>
          <w:b/>
          <w:color w:val="1A1A1A"/>
          <w:sz w:val="21"/>
        </w:rPr>
        <w:t>1.3%</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因此 CSCR 的现实定位是</w:t>
      </w:r>
      <w:r>
        <w:rPr>
          <w:rFonts w:ascii="Times New Roman" w:hAnsi="Times New Roman" w:eastAsia="宋体"/>
          <w:b/>
          <w:color w:val="1A1A1A"/>
          <w:sz w:val="21"/>
        </w:rPr>
        <w:t>校准与裁决层</w:t>
      </w:r>
      <w:r>
        <w:rPr>
          <w:rFonts w:ascii="Times New Roman" w:hAnsi="Times New Roman" w:eastAsia="宋体"/>
          <w:b w:val="0"/>
          <w:color w:val="1A1A1A"/>
          <w:sz w:val="21"/>
        </w:rPr>
        <w:t>：它的价值在于给出概率化裁决与「无公认答案」识别，而非显著提升准确率。</w:t>
      </w:r>
      <w:r>
        <w:rPr>
          <w:rFonts w:ascii="Times New Roman" w:hAnsi="Times New Roman" w:eastAsia="宋体"/>
          <w:b/>
          <w:color w:val="1A1A1A"/>
          <w:sz w:val="21"/>
        </w:rPr>
        <w:t>本论文的主贡献应表述为「首个材料知识冲突基准 + 条件化评测协议」</w:t>
      </w:r>
      <w:r>
        <w:rPr>
          <w:rFonts w:ascii="Times New Roman" w:hAnsi="Times New Roman" w:eastAsia="宋体"/>
          <w:b w:val="0"/>
          <w:color w:val="1A1A1A"/>
          <w:sz w:val="21"/>
        </w:rPr>
        <w:t>，CSCR 与 CACG 作为该基准上的方法组件。它不做数值偏差校正（该思路已用完整数据实测证伪，见 §4.2），而是学习各来源判定倾向随成分与条件的变化，并据此输出可校准的后验裁决概率。相比「给每个库一个固定可信度」，它多了「倾向随条件变化」这一层；相比一般多数投票，它多了概率校准与「无公认答案」的识别。实现约 500—700 行（含数据对齐与评测）。</w:t>
      </w:r>
    </w:p>
    <w:p>
      <w:pPr>
        <w:spacing w:after="80"/>
        <w:ind w:firstLine="420"/>
      </w:pPr>
      <w:r>
        <w:rPr>
          <w:rFonts w:ascii="Times New Roman" w:hAnsi="Times New Roman" w:eastAsia="宋体"/>
          <w:b/>
          <w:color w:val="1A1A1A"/>
          <w:sz w:val="21"/>
        </w:rPr>
        <w:t>方法组件二：条件感知的冲突分组（CACG）。</w:t>
      </w:r>
      <w:r>
        <w:rPr>
          <w:rFonts w:ascii="Times New Roman" w:hAnsi="Times New Roman" w:eastAsia="宋体"/>
          <w:b w:val="0"/>
          <w:color w:val="1A1A1A"/>
          <w:sz w:val="21"/>
        </w:rPr>
        <w:t xml:space="preserve"> CSCR 的前置组件。现有冲突聚合方法按语义相似度或来源分组；本课题按条件元数据（泛函、温度、压力、U 值、库版本）分组。约 200 行规则加层次聚类，不需训练；验证方式是人工标注 200 组的 F1，与「不分组」「按来源分组」「按语义相似度分组」三个基线对比。它与中英文证据冲突分组方法（如 X-MADAM-RAG）的区别在于：后者依据语言与来源，本课题依据物理条件元数据——「GGA+U 下的 3.92 eV」与「无 U 下的 0.38 eV」在文本上不矛盾，只有读条件才能判断它们本就不该被合并。</w:t>
      </w:r>
    </w:p>
    <w:p>
      <w:pPr>
        <w:spacing w:after="80"/>
        <w:ind w:firstLine="420"/>
      </w:pPr>
      <w:r>
        <w:rPr>
          <w:rFonts w:ascii="Times New Roman" w:hAnsi="Times New Roman" w:eastAsia="宋体"/>
          <w:b/>
          <w:color w:val="1A1A1A"/>
          <w:sz w:val="21"/>
        </w:rPr>
        <w:t>评测创新：首个材料知识冲突基准。</w:t>
      </w:r>
      <w:r>
        <w:rPr>
          <w:rFonts w:ascii="Times New Roman" w:hAnsi="Times New Roman" w:eastAsia="宋体"/>
          <w:b w:val="0"/>
          <w:color w:val="1A1A1A"/>
          <w:sz w:val="21"/>
        </w:rPr>
        <w:t xml:space="preserve"> 通用冲突基准的冲突类型无法覆盖材料冲突的主因（建模选择差异）[2–5]。本课题的基准以「同一实体、可比条件、不同取值」为判定核心，并保留条件元数据。</w:t>
      </w:r>
    </w:p>
    <w:p>
      <w:pPr>
        <w:spacing w:after="80"/>
        <w:ind w:firstLine="420"/>
      </w:pPr>
      <w:r>
        <w:rPr>
          <w:rFonts w:ascii="Times New Roman" w:hAnsi="Times New Roman" w:eastAsia="宋体"/>
          <w:b/>
          <w:color w:val="1A1A1A"/>
          <w:sz w:val="21"/>
        </w:rPr>
        <w:t>方法创新：条件化输出。</w:t>
      </w:r>
      <w:r>
        <w:rPr>
          <w:rFonts w:ascii="Times New Roman" w:hAnsi="Times New Roman" w:eastAsia="宋体"/>
          <w:b w:val="0"/>
          <w:color w:val="1A1A1A"/>
          <w:sz w:val="21"/>
        </w:rPr>
        <w:t xml:space="preserve"> 现有冲突研究大多评估模型能否选出正确一方 [5, 8]；材料冲突常常没有唯一正确方，本课题把「输出条件化的多结论」作为目标，并给出对应的评价指标（条件化率、分组准确率、答案准确率）。</w:t>
      </w:r>
    </w:p>
    <w:p>
      <w:pPr>
        <w:spacing w:before="320" w:after="120"/>
      </w:pPr>
      <w:r>
        <w:rPr>
          <w:rFonts w:ascii="Times New Roman" w:hAnsi="Times New Roman" w:eastAsia="黑体"/>
          <w:b/>
          <w:color w:val="1B3A52"/>
          <w:sz w:val="30"/>
        </w:rPr>
        <w:t>7 预期成果</w:t>
      </w:r>
    </w:p>
    <w:p>
      <w:pPr>
        <w:spacing w:after="80"/>
        <w:ind w:firstLine="420"/>
      </w:pPr>
      <w:r>
        <w:rPr>
          <w:rFonts w:ascii="Times New Roman" w:hAnsi="Times New Roman" w:eastAsia="宋体"/>
          <w:b w:val="0"/>
          <w:color w:val="1A1A1A"/>
          <w:sz w:val="21"/>
        </w:rPr>
        <w:t>1. 硕士学位论文一篇。</w:t>
      </w:r>
    </w:p>
    <w:p>
      <w:pPr>
        <w:spacing w:after="80"/>
        <w:ind w:firstLine="420"/>
      </w:pPr>
      <w:r>
        <w:rPr>
          <w:rFonts w:ascii="Times New Roman" w:hAnsi="Times New Roman" w:eastAsia="宋体"/>
          <w:b w:val="0"/>
          <w:color w:val="1A1A1A"/>
          <w:sz w:val="21"/>
        </w:rPr>
        <w:t>2. SCI 论文一篇，拟投 npj Computational Materials、Journal of Chemical Information and Modeling 或 Digital Discovery。</w:t>
      </w:r>
    </w:p>
    <w:p>
      <w:pPr>
        <w:spacing w:after="80"/>
        <w:ind w:firstLine="420"/>
      </w:pPr>
      <w:r>
        <w:rPr>
          <w:rFonts w:ascii="Times New Roman" w:hAnsi="Times New Roman" w:eastAsia="宋体"/>
          <w:b w:val="0"/>
          <w:color w:val="1A1A1A"/>
          <w:sz w:val="21"/>
        </w:rPr>
        <w:t>3. 开源基准与评测代码。</w:t>
      </w:r>
    </w:p>
    <w:p>
      <w:pPr>
        <w:spacing w:after="80"/>
        <w:ind w:firstLine="420"/>
      </w:pPr>
      <w:r>
        <w:rPr>
          <w:rFonts w:ascii="Times New Roman" w:hAnsi="Times New Roman" w:eastAsia="宋体"/>
          <w:b w:val="0"/>
          <w:color w:val="1A1A1A"/>
          <w:sz w:val="21"/>
        </w:rPr>
        <w:t>4. 冲突感知推理的参考实现。</w:t>
      </w:r>
    </w:p>
    <w:p>
      <w:pPr>
        <w:spacing w:before="320" w:after="120"/>
      </w:pPr>
      <w:r>
        <w:rPr>
          <w:rFonts w:ascii="Times New Roman" w:hAnsi="Times New Roman" w:eastAsia="黑体"/>
          <w:b/>
          <w:color w:val="1B3A52"/>
          <w:sz w:val="30"/>
        </w:rPr>
        <w:t>8 进度安排</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阶段</w:t>
            </w:r>
          </w:p>
        </w:tc>
        <w:tc>
          <w:tcPr>
            <w:tcW w:type="dxa" w:w="2183"/>
          </w:tcPr>
          <w:p>
            <w:pPr>
              <w:spacing w:before="40" w:after="40" w:line="276" w:lineRule="auto"/>
            </w:pPr>
            <w:r/>
            <w:r>
              <w:rPr>
                <w:rFonts w:ascii="Times New Roman" w:hAnsi="Times New Roman" w:eastAsia="宋体"/>
                <w:b/>
                <w:color w:val="1A1A1A"/>
                <w:sz w:val="18"/>
              </w:rPr>
              <w:t>时间</w:t>
            </w:r>
          </w:p>
        </w:tc>
        <w:tc>
          <w:tcPr>
            <w:tcW w:type="dxa" w:w="2183"/>
          </w:tcPr>
          <w:p>
            <w:pPr>
              <w:spacing w:before="40" w:after="40" w:line="276" w:lineRule="auto"/>
            </w:pPr>
            <w:r/>
            <w:r>
              <w:rPr>
                <w:rFonts w:ascii="Times New Roman" w:hAnsi="Times New Roman" w:eastAsia="宋体"/>
                <w:b/>
                <w:color w:val="1A1A1A"/>
                <w:sz w:val="18"/>
              </w:rPr>
              <w:t>主要工作</w:t>
            </w:r>
          </w:p>
        </w:tc>
        <w:tc>
          <w:tcPr>
            <w:tcW w:type="dxa" w:w="2183"/>
          </w:tcPr>
          <w:p>
            <w:pPr>
              <w:spacing w:before="40" w:after="40" w:line="276" w:lineRule="auto"/>
            </w:pPr>
            <w:r/>
            <w:r>
              <w:rPr>
                <w:rFonts w:ascii="Times New Roman" w:hAnsi="Times New Roman" w:eastAsia="宋体"/>
                <w:b/>
                <w:color w:val="1A1A1A"/>
                <w:sz w:val="18"/>
              </w:rPr>
              <w:t>里程碑与判据</w:t>
            </w:r>
          </w:p>
        </w:tc>
      </w:tr>
      <w:tr>
        <w:tc>
          <w:tcPr>
            <w:tcW w:type="dxa" w:w="2183"/>
          </w:tcPr>
          <w:p>
            <w:pPr>
              <w:spacing w:before="40" w:after="40" w:line="276" w:lineRule="auto"/>
            </w:pPr>
            <w:r/>
            <w:r>
              <w:rPr>
                <w:rFonts w:ascii="Times New Roman" w:hAnsi="Times New Roman" w:eastAsia="宋体"/>
                <w:b w:val="0"/>
                <w:color w:val="1A1A1A"/>
                <w:sz w:val="18"/>
              </w:rPr>
              <w:t>第一阶段</w:t>
            </w:r>
          </w:p>
        </w:tc>
        <w:tc>
          <w:tcPr>
            <w:tcW w:type="dxa" w:w="2183"/>
          </w:tcPr>
          <w:p>
            <w:pPr>
              <w:spacing w:before="40" w:after="40" w:line="276" w:lineRule="auto"/>
            </w:pPr>
            <w:r/>
            <w:r>
              <w:rPr>
                <w:rFonts w:ascii="Times New Roman" w:hAnsi="Times New Roman" w:eastAsia="宋体"/>
                <w:b w:val="0"/>
                <w:color w:val="1A1A1A"/>
                <w:sz w:val="18"/>
              </w:rPr>
              <w:t>第 1—2 月</w:t>
            </w:r>
          </w:p>
        </w:tc>
        <w:tc>
          <w:tcPr>
            <w:tcW w:type="dxa" w:w="2183"/>
          </w:tcPr>
          <w:p>
            <w:pPr>
              <w:spacing w:before="40" w:after="40" w:line="276" w:lineRule="auto"/>
            </w:pPr>
            <w:r/>
            <w:r>
              <w:rPr>
                <w:rFonts w:ascii="Times New Roman" w:hAnsi="Times New Roman" w:eastAsia="宋体"/>
                <w:b w:val="0"/>
                <w:color w:val="1A1A1A"/>
                <w:sz w:val="18"/>
              </w:rPr>
              <w:t>四库导出、跨库匹配、冲突判定规则；</w:t>
            </w:r>
            <w:r>
              <w:rPr>
                <w:rFonts w:ascii="Times New Roman" w:hAnsi="Times New Roman" w:eastAsia="宋体"/>
                <w:b/>
                <w:color w:val="1A1A1A"/>
                <w:sz w:val="18"/>
              </w:rPr>
              <w:t>文献库四项能力核实</w:t>
            </w:r>
          </w:p>
        </w:tc>
        <w:tc>
          <w:tcPr>
            <w:tcW w:type="dxa" w:w="2183"/>
          </w:tcPr>
          <w:p>
            <w:pPr>
              <w:spacing w:before="40" w:after="40" w:line="276" w:lineRule="auto"/>
            </w:pPr>
            <w:r/>
            <w:r>
              <w:rPr>
                <w:rFonts w:ascii="Times New Roman" w:hAnsi="Times New Roman" w:eastAsia="宋体"/>
                <w:b w:val="0"/>
                <w:color w:val="1A1A1A"/>
                <w:sz w:val="18"/>
              </w:rPr>
              <w:t>冲突对数量达标；文献可溯源与含合成路线两项确认</w:t>
            </w:r>
          </w:p>
        </w:tc>
      </w:tr>
      <w:tr>
        <w:tc>
          <w:tcPr>
            <w:tcW w:type="dxa" w:w="2183"/>
          </w:tcPr>
          <w:p>
            <w:pPr>
              <w:spacing w:before="40" w:after="40" w:line="276" w:lineRule="auto"/>
            </w:pPr>
            <w:r/>
            <w:r>
              <w:rPr>
                <w:rFonts w:ascii="Times New Roman" w:hAnsi="Times New Roman" w:eastAsia="宋体"/>
                <w:b w:val="0"/>
                <w:color w:val="1A1A1A"/>
                <w:sz w:val="18"/>
              </w:rPr>
              <w:t>第二阶段</w:t>
            </w:r>
          </w:p>
        </w:tc>
        <w:tc>
          <w:tcPr>
            <w:tcW w:type="dxa" w:w="2183"/>
          </w:tcPr>
          <w:p>
            <w:pPr>
              <w:spacing w:before="40" w:after="40" w:line="276" w:lineRule="auto"/>
            </w:pPr>
            <w:r/>
            <w:r>
              <w:rPr>
                <w:rFonts w:ascii="Times New Roman" w:hAnsi="Times New Roman" w:eastAsia="宋体"/>
                <w:b w:val="0"/>
                <w:color w:val="1A1A1A"/>
                <w:sz w:val="18"/>
              </w:rPr>
              <w:t>第 3—4 月</w:t>
            </w:r>
          </w:p>
        </w:tc>
        <w:tc>
          <w:tcPr>
            <w:tcW w:type="dxa" w:w="2183"/>
          </w:tcPr>
          <w:p>
            <w:pPr>
              <w:spacing w:before="40" w:after="40" w:line="276" w:lineRule="auto"/>
            </w:pPr>
            <w:r/>
            <w:r>
              <w:rPr>
                <w:rFonts w:ascii="Times New Roman" w:hAnsi="Times New Roman" w:eastAsia="宋体"/>
                <w:b w:val="0"/>
                <w:color w:val="1A1A1A"/>
                <w:sz w:val="18"/>
              </w:rPr>
              <w:t>冲突基准构建、</w:t>
            </w:r>
            <w:r>
              <w:rPr>
                <w:rFonts w:ascii="Times New Roman" w:hAnsi="Times New Roman" w:eastAsia="宋体"/>
                <w:b/>
                <w:color w:val="1A1A1A"/>
                <w:sz w:val="18"/>
              </w:rPr>
              <w:t>文献库辅助标注</w:t>
            </w:r>
            <w:r>
              <w:rPr>
                <w:rFonts w:ascii="Times New Roman" w:hAnsi="Times New Roman" w:eastAsia="宋体"/>
                <w:b w:val="0"/>
                <w:color w:val="1A1A1A"/>
                <w:sz w:val="18"/>
              </w:rPr>
              <w:t>、CSCR 校准训练；O1 时间冲突（可选）</w:t>
            </w:r>
          </w:p>
        </w:tc>
        <w:tc>
          <w:tcPr>
            <w:tcW w:type="dxa" w:w="2183"/>
          </w:tcPr>
          <w:p>
            <w:pPr>
              <w:spacing w:before="40" w:after="40" w:line="276" w:lineRule="auto"/>
            </w:pPr>
            <w:r/>
            <w:r>
              <w:rPr>
                <w:rFonts w:ascii="Times New Roman" w:hAnsi="Times New Roman" w:eastAsia="宋体"/>
                <w:b w:val="0"/>
                <w:color w:val="1A1A1A"/>
                <w:sz w:val="18"/>
              </w:rPr>
              <w:t>抽检 200 组判定准确率 &gt; 90%，20% 双人独立标注 κ 达标；校准参数在留一交叉验证下符号一致</w:t>
            </w:r>
          </w:p>
        </w:tc>
      </w:tr>
      <w:tr>
        <w:tc>
          <w:tcPr>
            <w:tcW w:type="dxa" w:w="2183"/>
          </w:tcPr>
          <w:p>
            <w:pPr>
              <w:spacing w:before="40" w:after="40" w:line="276" w:lineRule="auto"/>
            </w:pPr>
            <w:r/>
            <w:r>
              <w:rPr>
                <w:rFonts w:ascii="Times New Roman" w:hAnsi="Times New Roman" w:eastAsia="宋体"/>
                <w:b w:val="0"/>
                <w:color w:val="1A1A1A"/>
                <w:sz w:val="18"/>
              </w:rPr>
              <w:t>第三阶段</w:t>
            </w:r>
          </w:p>
        </w:tc>
        <w:tc>
          <w:tcPr>
            <w:tcW w:type="dxa" w:w="2183"/>
          </w:tcPr>
          <w:p>
            <w:pPr>
              <w:spacing w:before="40" w:after="40" w:line="276" w:lineRule="auto"/>
            </w:pPr>
            <w:r/>
            <w:r>
              <w:rPr>
                <w:rFonts w:ascii="Times New Roman" w:hAnsi="Times New Roman" w:eastAsia="宋体"/>
                <w:b w:val="0"/>
                <w:color w:val="1A1A1A"/>
                <w:sz w:val="18"/>
              </w:rPr>
              <w:t>第 5—6 月</w:t>
            </w:r>
          </w:p>
        </w:tc>
        <w:tc>
          <w:tcPr>
            <w:tcW w:type="dxa" w:w="2183"/>
          </w:tcPr>
          <w:p>
            <w:pPr>
              <w:spacing w:before="40" w:after="40" w:line="276" w:lineRule="auto"/>
            </w:pPr>
            <w:r/>
            <w:r>
              <w:rPr>
                <w:rFonts w:ascii="Times New Roman" w:hAnsi="Times New Roman" w:eastAsia="宋体"/>
                <w:b w:val="0"/>
                <w:color w:val="1A1A1A"/>
                <w:sz w:val="18"/>
              </w:rPr>
              <w:t>模型评测（检测/选边/条件化）</w:t>
            </w:r>
          </w:p>
        </w:tc>
        <w:tc>
          <w:tcPr>
            <w:tcW w:type="dxa" w:w="2183"/>
          </w:tcPr>
          <w:p>
            <w:pPr>
              <w:spacing w:before="40" w:after="40" w:line="276" w:lineRule="auto"/>
            </w:pPr>
            <w:r/>
            <w:r>
              <w:rPr>
                <w:rFonts w:ascii="Times New Roman" w:hAnsi="Times New Roman" w:eastAsia="宋体"/>
                <w:b w:val="0"/>
                <w:color w:val="1A1A1A"/>
                <w:sz w:val="18"/>
              </w:rPr>
              <w:t>得到基线数字</w:t>
            </w:r>
          </w:p>
        </w:tc>
      </w:tr>
      <w:tr>
        <w:tc>
          <w:tcPr>
            <w:tcW w:type="dxa" w:w="2183"/>
          </w:tcPr>
          <w:p>
            <w:pPr>
              <w:spacing w:before="40" w:after="40" w:line="276" w:lineRule="auto"/>
            </w:pPr>
            <w:r/>
            <w:r>
              <w:rPr>
                <w:rFonts w:ascii="Times New Roman" w:hAnsi="Times New Roman" w:eastAsia="宋体"/>
                <w:b w:val="0"/>
                <w:color w:val="1A1A1A"/>
                <w:sz w:val="18"/>
              </w:rPr>
              <w:t>第四阶段</w:t>
            </w:r>
          </w:p>
        </w:tc>
        <w:tc>
          <w:tcPr>
            <w:tcW w:type="dxa" w:w="2183"/>
          </w:tcPr>
          <w:p>
            <w:pPr>
              <w:spacing w:before="40" w:after="40" w:line="276" w:lineRule="auto"/>
            </w:pPr>
            <w:r/>
            <w:r>
              <w:rPr>
                <w:rFonts w:ascii="Times New Roman" w:hAnsi="Times New Roman" w:eastAsia="宋体"/>
                <w:b w:val="0"/>
                <w:color w:val="1A1A1A"/>
                <w:sz w:val="18"/>
              </w:rPr>
              <w:t>第 7—8 月</w:t>
            </w:r>
          </w:p>
        </w:tc>
        <w:tc>
          <w:tcPr>
            <w:tcW w:type="dxa" w:w="2183"/>
          </w:tcPr>
          <w:p>
            <w:pPr>
              <w:spacing w:before="40" w:after="40" w:line="276" w:lineRule="auto"/>
            </w:pPr>
            <w:r/>
            <w:r>
              <w:rPr>
                <w:rFonts w:ascii="Times New Roman" w:hAnsi="Times New Roman" w:eastAsia="宋体"/>
                <w:b w:val="0"/>
                <w:color w:val="1A1A1A"/>
                <w:sz w:val="18"/>
              </w:rPr>
              <w:t>冲突感知方法、消融</w:t>
            </w:r>
          </w:p>
        </w:tc>
        <w:tc>
          <w:tcPr>
            <w:tcW w:type="dxa" w:w="2183"/>
          </w:tcPr>
          <w:p>
            <w:pPr>
              <w:spacing w:before="40" w:after="40" w:line="276" w:lineRule="auto"/>
            </w:pPr>
            <w:r/>
            <w:r>
              <w:rPr>
                <w:rFonts w:ascii="Times New Roman" w:hAnsi="Times New Roman" w:eastAsia="宋体"/>
                <w:b w:val="0"/>
                <w:color w:val="1A1A1A"/>
                <w:sz w:val="18"/>
              </w:rPr>
              <w:t>相对 B3 有稳定增益</w:t>
            </w:r>
          </w:p>
        </w:tc>
      </w:tr>
      <w:tr>
        <w:tc>
          <w:tcPr>
            <w:tcW w:type="dxa" w:w="2183"/>
          </w:tcPr>
          <w:p>
            <w:pPr>
              <w:spacing w:before="40" w:after="40" w:line="276" w:lineRule="auto"/>
            </w:pPr>
            <w:r/>
            <w:r>
              <w:rPr>
                <w:rFonts w:ascii="Times New Roman" w:hAnsi="Times New Roman" w:eastAsia="宋体"/>
                <w:b w:val="0"/>
                <w:color w:val="1A1A1A"/>
                <w:sz w:val="18"/>
              </w:rPr>
              <w:t>第五阶段</w:t>
            </w:r>
          </w:p>
        </w:tc>
        <w:tc>
          <w:tcPr>
            <w:tcW w:type="dxa" w:w="2183"/>
          </w:tcPr>
          <w:p>
            <w:pPr>
              <w:spacing w:before="40" w:after="40" w:line="276" w:lineRule="auto"/>
            </w:pPr>
            <w:r/>
            <w:r>
              <w:rPr>
                <w:rFonts w:ascii="Times New Roman" w:hAnsi="Times New Roman" w:eastAsia="宋体"/>
                <w:b w:val="0"/>
                <w:color w:val="1A1A1A"/>
                <w:sz w:val="18"/>
              </w:rPr>
              <w:t>第 9—10 月</w:t>
            </w:r>
          </w:p>
        </w:tc>
        <w:tc>
          <w:tcPr>
            <w:tcW w:type="dxa" w:w="2183"/>
          </w:tcPr>
          <w:p>
            <w:pPr>
              <w:spacing w:before="40" w:after="40" w:line="276" w:lineRule="auto"/>
            </w:pPr>
            <w:r/>
            <w:r>
              <w:rPr>
                <w:rFonts w:ascii="Times New Roman" w:hAnsi="Times New Roman" w:eastAsia="宋体"/>
                <w:b w:val="0"/>
                <w:color w:val="1A1A1A"/>
                <w:sz w:val="18"/>
              </w:rPr>
              <w:t>论文撰写</w:t>
            </w:r>
          </w:p>
        </w:tc>
        <w:tc>
          <w:tcPr>
            <w:tcW w:type="dxa" w:w="2183"/>
          </w:tcPr>
          <w:p>
            <w:pPr>
              <w:spacing w:before="40" w:after="40" w:line="276" w:lineRule="auto"/>
            </w:pPr>
            <w:r/>
            <w:r>
              <w:rPr>
                <w:rFonts w:ascii="Times New Roman" w:hAnsi="Times New Roman" w:eastAsia="宋体"/>
                <w:b w:val="0"/>
                <w:color w:val="1A1A1A"/>
                <w:sz w:val="18"/>
              </w:rPr>
              <w:t>初稿完成</w:t>
            </w:r>
          </w:p>
        </w:tc>
      </w:tr>
      <w:tr>
        <w:tc>
          <w:tcPr>
            <w:tcW w:type="dxa" w:w="2183"/>
          </w:tcPr>
          <w:p>
            <w:pPr>
              <w:spacing w:before="40" w:after="40" w:line="276" w:lineRule="auto"/>
            </w:pPr>
            <w:r/>
            <w:r>
              <w:rPr>
                <w:rFonts w:ascii="Times New Roman" w:hAnsi="Times New Roman" w:eastAsia="宋体"/>
                <w:b w:val="0"/>
                <w:color w:val="1A1A1A"/>
                <w:sz w:val="18"/>
              </w:rPr>
              <w:t>第六阶段</w:t>
            </w:r>
          </w:p>
        </w:tc>
        <w:tc>
          <w:tcPr>
            <w:tcW w:type="dxa" w:w="2183"/>
          </w:tcPr>
          <w:p>
            <w:pPr>
              <w:spacing w:before="40" w:after="40" w:line="276" w:lineRule="auto"/>
            </w:pPr>
            <w:r/>
            <w:r>
              <w:rPr>
                <w:rFonts w:ascii="Times New Roman" w:hAnsi="Times New Roman" w:eastAsia="宋体"/>
                <w:b w:val="0"/>
                <w:color w:val="1A1A1A"/>
                <w:sz w:val="18"/>
              </w:rPr>
              <w:t>第 11—12 月</w:t>
            </w:r>
          </w:p>
        </w:tc>
        <w:tc>
          <w:tcPr>
            <w:tcW w:type="dxa" w:w="2183"/>
          </w:tcPr>
          <w:p>
            <w:pPr>
              <w:spacing w:before="40" w:after="40" w:line="276" w:lineRule="auto"/>
            </w:pPr>
            <w:r/>
            <w:r>
              <w:rPr>
                <w:rFonts w:ascii="Times New Roman" w:hAnsi="Times New Roman" w:eastAsia="宋体"/>
                <w:b w:val="0"/>
                <w:color w:val="1A1A1A"/>
                <w:sz w:val="18"/>
              </w:rPr>
              <w:t>投稿、修改、答辩</w:t>
            </w:r>
          </w:p>
        </w:tc>
        <w:tc>
          <w:tcPr>
            <w:tcW w:type="dxa" w:w="2183"/>
          </w:tcPr>
          <w:p>
            <w:pPr>
              <w:spacing w:before="40" w:after="40" w:line="276" w:lineRule="auto"/>
            </w:pPr>
            <w:r/>
            <w:r>
              <w:rPr>
                <w:rFonts w:ascii="Times New Roman" w:hAnsi="Times New Roman" w:eastAsia="宋体"/>
                <w:b w:val="0"/>
                <w:color w:val="1A1A1A"/>
                <w:sz w:val="18"/>
              </w:rPr>
              <w:t>论文投出，学位论文通过</w:t>
            </w:r>
          </w:p>
        </w:tc>
      </w:tr>
    </w:tbl>
    <w:p/>
    <w:p>
      <w:pPr>
        <w:spacing w:after="80"/>
        <w:ind w:firstLine="420"/>
      </w:pPr>
      <w:r>
        <w:rPr>
          <w:rFonts w:ascii="Times New Roman" w:hAnsi="Times New Roman" w:eastAsia="宋体"/>
          <w:b/>
          <w:color w:val="1A1A1A"/>
          <w:sz w:val="21"/>
        </w:rPr>
        <w:t>阶段判据。</w:t>
      </w:r>
      <w:r>
        <w:rPr>
          <w:rFonts w:ascii="Times New Roman" w:hAnsi="Times New Roman" w:eastAsia="宋体"/>
          <w:b w:val="0"/>
          <w:color w:val="1A1A1A"/>
          <w:sz w:val="21"/>
        </w:rPr>
        <w:t xml:space="preserve"> 第 2 月末检查：判据不使用「匹配率百分比」，因为四个数据库各自的条目量相差一个数量级以上，分母怎么选都会得到无意义的数字。改用</w:t>
      </w:r>
      <w:r>
        <w:rPr>
          <w:rFonts w:ascii="Times New Roman" w:hAnsi="Times New Roman" w:eastAsia="宋体"/>
          <w:b/>
          <w:color w:val="1A1A1A"/>
          <w:sz w:val="21"/>
        </w:rPr>
        <w:t>可用冲突对的绝对数量</w:t>
      </w:r>
      <w:r>
        <w:rPr>
          <w:rFonts w:ascii="Times New Roman" w:hAnsi="Times New Roman" w:eastAsia="宋体"/>
          <w:b w:val="0"/>
          <w:color w:val="1A1A1A"/>
          <w:sz w:val="21"/>
        </w:rPr>
        <w:t>：</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判据</w:t>
            </w:r>
          </w:p>
        </w:tc>
        <w:tc>
          <w:tcPr>
            <w:tcW w:type="dxa" w:w="2911"/>
          </w:tcPr>
          <w:p>
            <w:pPr>
              <w:spacing w:before="40" w:after="40" w:line="276" w:lineRule="auto"/>
            </w:pPr>
            <w:r/>
            <w:r>
              <w:rPr>
                <w:rFonts w:ascii="Times New Roman" w:hAnsi="Times New Roman" w:eastAsia="宋体"/>
                <w:b/>
                <w:color w:val="1A1A1A"/>
                <w:sz w:val="18"/>
              </w:rPr>
              <w:t>门槛</w:t>
            </w:r>
          </w:p>
        </w:tc>
        <w:tc>
          <w:tcPr>
            <w:tcW w:type="dxa" w:w="2911"/>
          </w:tcPr>
          <w:p>
            <w:pPr>
              <w:spacing w:before="40" w:after="40" w:line="276" w:lineRule="auto"/>
            </w:pPr>
            <w:r/>
            <w:r>
              <w:rPr>
                <w:rFonts w:ascii="Times New Roman" w:hAnsi="Times New Roman" w:eastAsia="宋体"/>
                <w:b/>
                <w:color w:val="1A1A1A"/>
                <w:sz w:val="18"/>
              </w:rPr>
              <w:t>理由</w:t>
            </w:r>
          </w:p>
        </w:tc>
      </w:tr>
      <w:tr>
        <w:tc>
          <w:tcPr>
            <w:tcW w:type="dxa" w:w="2911"/>
          </w:tcPr>
          <w:p>
            <w:pPr>
              <w:spacing w:before="40" w:after="40" w:line="276" w:lineRule="auto"/>
            </w:pPr>
            <w:r/>
            <w:r>
              <w:rPr>
                <w:rFonts w:ascii="Times New Roman" w:hAnsi="Times New Roman" w:eastAsia="宋体"/>
                <w:b w:val="0"/>
                <w:color w:val="1A1A1A"/>
                <w:sz w:val="18"/>
              </w:rPr>
              <w:t>L2 级冲突组数</w:t>
            </w:r>
          </w:p>
        </w:tc>
        <w:tc>
          <w:tcPr>
            <w:tcW w:type="dxa" w:w="2911"/>
          </w:tcPr>
          <w:p>
            <w:pPr>
              <w:spacing w:before="40" w:after="40" w:line="276" w:lineRule="auto"/>
            </w:pPr>
            <w:r/>
            <w:r>
              <w:rPr>
                <w:rFonts w:ascii="Times New Roman" w:hAnsi="Times New Roman" w:eastAsia="宋体"/>
                <w:b w:val="0"/>
                <w:color w:val="1A1A1A"/>
                <w:sz w:val="18"/>
              </w:rPr>
              <w:t>≥ 500 组</w:t>
            </w:r>
          </w:p>
        </w:tc>
        <w:tc>
          <w:tcPr>
            <w:tcW w:type="dxa" w:w="2911"/>
          </w:tcPr>
          <w:p>
            <w:pPr>
              <w:spacing w:before="40" w:after="40" w:line="276" w:lineRule="auto"/>
            </w:pPr>
            <w:r/>
            <w:r>
              <w:rPr>
                <w:rFonts w:ascii="Times New Roman" w:hAnsi="Times New Roman" w:eastAsia="宋体"/>
                <w:b w:val="0"/>
                <w:color w:val="1A1A1A"/>
                <w:sz w:val="18"/>
              </w:rPr>
              <w:t>支撑分组评测与统计检验的最低量。</w:t>
            </w:r>
            <w:r>
              <w:rPr>
                <w:rFonts w:ascii="Times New Roman" w:hAnsi="Times New Roman" w:eastAsia="宋体"/>
                <w:b/>
                <w:color w:val="1A1A1A"/>
                <w:sz w:val="18"/>
              </w:rPr>
              <w:t>已用完整数据实测</w:t>
            </w:r>
            <w:r>
              <w:rPr>
                <w:rFonts w:ascii="Times New Roman" w:hAnsi="Times New Roman" w:eastAsia="宋体"/>
                <w:b w:val="0"/>
                <w:color w:val="1A1A1A"/>
                <w:sz w:val="18"/>
              </w:rPr>
              <w:t>：MP–OQMD 库对可得 2,720 组、MP–JARVIS 1,480 组，达标余量为 3—5 倍</w:t>
            </w:r>
          </w:p>
        </w:tc>
      </w:tr>
      <w:tr>
        <w:tc>
          <w:tcPr>
            <w:tcW w:type="dxa" w:w="2911"/>
          </w:tcPr>
          <w:p>
            <w:pPr>
              <w:spacing w:before="40" w:after="40" w:line="276" w:lineRule="auto"/>
            </w:pPr>
            <w:r/>
            <w:r>
              <w:rPr>
                <w:rFonts w:ascii="Times New Roman" w:hAnsi="Times New Roman" w:eastAsia="宋体"/>
                <w:b w:val="0"/>
                <w:color w:val="1A1A1A"/>
                <w:sz w:val="18"/>
              </w:rPr>
              <w:t>覆盖冲突类型</w:t>
            </w:r>
          </w:p>
        </w:tc>
        <w:tc>
          <w:tcPr>
            <w:tcW w:type="dxa" w:w="2911"/>
          </w:tcPr>
          <w:p>
            <w:pPr>
              <w:spacing w:before="40" w:after="40" w:line="276" w:lineRule="auto"/>
            </w:pPr>
            <w:r/>
            <w:r>
              <w:rPr>
                <w:rFonts w:ascii="Times New Roman" w:hAnsi="Times New Roman" w:eastAsia="宋体"/>
                <w:b w:val="0"/>
                <w:color w:val="1A1A1A"/>
                <w:sz w:val="18"/>
              </w:rPr>
              <w:t>≥ 3 类（数据库间、时间、粒度）</w:t>
            </w:r>
          </w:p>
        </w:tc>
        <w:tc>
          <w:tcPr>
            <w:tcW w:type="dxa" w:w="2911"/>
          </w:tcPr>
          <w:p>
            <w:pPr>
              <w:spacing w:before="40" w:after="40" w:line="276" w:lineRule="auto"/>
            </w:pPr>
            <w:r/>
            <w:r>
              <w:rPr>
                <w:rFonts w:ascii="Times New Roman" w:hAnsi="Times New Roman" w:eastAsia="宋体"/>
                <w:b w:val="0"/>
                <w:color w:val="1A1A1A"/>
                <w:sz w:val="18"/>
              </w:rPr>
              <w:t>避免基准退化为单一类型</w:t>
            </w:r>
          </w:p>
        </w:tc>
      </w:tr>
      <w:tr>
        <w:tc>
          <w:tcPr>
            <w:tcW w:type="dxa" w:w="2911"/>
          </w:tcPr>
          <w:p>
            <w:pPr>
              <w:spacing w:before="40" w:after="40" w:line="276" w:lineRule="auto"/>
            </w:pPr>
            <w:r/>
            <w:r>
              <w:rPr>
                <w:rFonts w:ascii="Times New Roman" w:hAnsi="Times New Roman" w:eastAsia="宋体"/>
                <w:b w:val="0"/>
                <w:color w:val="1A1A1A"/>
                <w:sz w:val="18"/>
              </w:rPr>
              <w:t>覆盖化学体系</w:t>
            </w:r>
          </w:p>
        </w:tc>
        <w:tc>
          <w:tcPr>
            <w:tcW w:type="dxa" w:w="2911"/>
          </w:tcPr>
          <w:p>
            <w:pPr>
              <w:spacing w:before="40" w:after="40" w:line="276" w:lineRule="auto"/>
            </w:pPr>
            <w:r/>
            <w:r>
              <w:rPr>
                <w:rFonts w:ascii="Times New Roman" w:hAnsi="Times New Roman" w:eastAsia="宋体"/>
                <w:b w:val="0"/>
                <w:color w:val="1A1A1A"/>
                <w:sz w:val="18"/>
              </w:rPr>
              <w:t>≥ 20 个体系</w:t>
            </w:r>
          </w:p>
        </w:tc>
        <w:tc>
          <w:tcPr>
            <w:tcW w:type="dxa" w:w="2911"/>
          </w:tcPr>
          <w:p>
            <w:pPr>
              <w:spacing w:before="40" w:after="40" w:line="276" w:lineRule="auto"/>
            </w:pPr>
            <w:r/>
            <w:r>
              <w:rPr>
                <w:rFonts w:ascii="Times New Roman" w:hAnsi="Times New Roman" w:eastAsia="宋体"/>
                <w:b w:val="0"/>
                <w:color w:val="1A1A1A"/>
                <w:sz w:val="18"/>
              </w:rPr>
              <w:t>支撑按体系分组划分</w:t>
            </w:r>
          </w:p>
        </w:tc>
      </w:tr>
    </w:tbl>
    <w:p/>
    <w:p>
      <w:pPr>
        <w:spacing w:after="80"/>
        <w:ind w:firstLine="420"/>
      </w:pPr>
      <w:r>
        <w:rPr>
          <w:rFonts w:ascii="Times New Roman" w:hAnsi="Times New Roman" w:eastAsia="宋体"/>
          <w:b w:val="0"/>
          <w:color w:val="1A1A1A"/>
          <w:sz w:val="21"/>
        </w:rPr>
        <w:t>若 L2 冲突组数不足 500，说明三级对齐规则不适用，退回成分 + 空间群两级对齐，或改用 MP–OQMD 这一共有成分最多的库对。</w:t>
      </w:r>
    </w:p>
    <w:p>
      <w:pPr>
        <w:spacing w:before="320" w:after="120"/>
      </w:pPr>
      <w:r>
        <w:rPr>
          <w:rFonts w:ascii="Times New Roman" w:hAnsi="Times New Roman" w:eastAsia="黑体"/>
          <w:b/>
          <w:color w:val="1B3A52"/>
          <w:sz w:val="30"/>
        </w:rPr>
        <w:t>9 研究基础与条件</w:t>
      </w:r>
    </w:p>
    <w:p>
      <w:pPr>
        <w:spacing w:after="80"/>
        <w:ind w:firstLine="420"/>
      </w:pPr>
      <w:r>
        <w:rPr>
          <w:rFonts w:ascii="Times New Roman" w:hAnsi="Times New Roman" w:eastAsia="宋体"/>
          <w:b w:val="0"/>
          <w:color w:val="1A1A1A"/>
          <w:sz w:val="21"/>
        </w:rPr>
        <w:t>本人为计算机科学与技术专业硕士研究生，具备 Python 与 PyTorch 编程能力，熟悉数据处理与模型评测流程，能够完成数据库导出、跨库匹配与评测脚本编写。</w:t>
      </w:r>
    </w:p>
    <w:p>
      <w:pPr>
        <w:spacing w:after="80"/>
        <w:ind w:firstLine="420"/>
      </w:pPr>
      <w:r>
        <w:rPr>
          <w:rFonts w:ascii="Times New Roman" w:hAnsi="Times New Roman" w:eastAsia="宋体"/>
          <w:b w:val="0"/>
          <w:color w:val="1A1A1A"/>
          <w:sz w:val="21"/>
        </w:rPr>
        <w:t>算力条件为单张 RTX 5090（32 GB 显存），足以支撑 8B 模型的推理与 LoRA 微调；闭源模型通过 API 调用。四个数据库均可公开获取或通过 API 访问。</w:t>
      </w:r>
    </w:p>
    <w:p>
      <w:pPr>
        <w:spacing w:after="80"/>
        <w:ind w:firstLine="420"/>
      </w:pPr>
      <w:r>
        <w:rPr>
          <w:rFonts w:ascii="Times New Roman" w:hAnsi="Times New Roman" w:eastAsia="宋体"/>
          <w:b/>
          <w:color w:val="1A1A1A"/>
          <w:sz w:val="21"/>
        </w:rPr>
        <w:t>已具备的材料文献检索条件（重要研究基础）</w:t>
      </w:r>
      <w:r>
        <w:rPr>
          <w:rFonts w:ascii="Times New Roman" w:hAnsi="Times New Roman" w:eastAsia="宋体"/>
          <w:b w:val="0"/>
          <w:color w:val="1A1A1A"/>
          <w:sz w:val="21"/>
        </w:rPr>
        <w:t>：课题组已建成一个</w:t>
      </w:r>
      <w:r>
        <w:rPr>
          <w:rFonts w:ascii="Times New Roman" w:hAnsi="Times New Roman" w:eastAsia="宋体"/>
          <w:b/>
          <w:color w:val="1A1A1A"/>
          <w:sz w:val="21"/>
        </w:rPr>
        <w:t>约 2 万篇材料文献的 RAG 全文知识库</w:t>
      </w:r>
      <w:r>
        <w:rPr>
          <w:rFonts w:ascii="Times New Roman" w:hAnsi="Times New Roman" w:eastAsia="宋体"/>
          <w:b w:val="0"/>
          <w:color w:val="1A1A1A"/>
          <w:sz w:val="21"/>
        </w:rPr>
        <w:t>，具备以下三项已确认能力：</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属性</w:t>
            </w:r>
          </w:p>
        </w:tc>
        <w:tc>
          <w:tcPr>
            <w:tcW w:type="dxa" w:w="2911"/>
          </w:tcPr>
          <w:p>
            <w:pPr>
              <w:spacing w:before="40" w:after="40" w:line="276" w:lineRule="auto"/>
            </w:pPr>
            <w:r/>
            <w:r>
              <w:rPr>
                <w:rFonts w:ascii="Times New Roman" w:hAnsi="Times New Roman" w:eastAsia="宋体"/>
                <w:b/>
                <w:color w:val="1A1A1A"/>
                <w:sz w:val="18"/>
              </w:rPr>
              <w:t>状态</w:t>
            </w:r>
          </w:p>
        </w:tc>
        <w:tc>
          <w:tcPr>
            <w:tcW w:type="dxa" w:w="2911"/>
          </w:tcPr>
          <w:p>
            <w:pPr>
              <w:spacing w:before="40" w:after="40" w:line="276" w:lineRule="auto"/>
            </w:pPr>
            <w:r/>
            <w:r>
              <w:rPr>
                <w:rFonts w:ascii="Times New Roman" w:hAnsi="Times New Roman" w:eastAsia="宋体"/>
                <w:b/>
                <w:color w:val="1A1A1A"/>
                <w:sz w:val="18"/>
              </w:rPr>
              <w:t>对本课题的作用</w:t>
            </w:r>
          </w:p>
        </w:tc>
      </w:tr>
      <w:tr>
        <w:tc>
          <w:tcPr>
            <w:tcW w:type="dxa" w:w="2911"/>
          </w:tcPr>
          <w:p>
            <w:pPr>
              <w:spacing w:before="40" w:after="40" w:line="276" w:lineRule="auto"/>
            </w:pPr>
            <w:r/>
            <w:r>
              <w:rPr>
                <w:rFonts w:ascii="Times New Roman" w:hAnsi="Times New Roman" w:eastAsia="宋体"/>
                <w:b w:val="0"/>
                <w:color w:val="1A1A1A"/>
                <w:sz w:val="18"/>
              </w:rPr>
              <w:t>全文（非仅摘要）</w:t>
            </w:r>
          </w:p>
        </w:tc>
        <w:tc>
          <w:tcPr>
            <w:tcW w:type="dxa" w:w="2911"/>
          </w:tcPr>
          <w:p>
            <w:pPr>
              <w:spacing w:before="40" w:after="40" w:line="276" w:lineRule="auto"/>
            </w:pPr>
            <w:r/>
            <w:r>
              <w:rPr>
                <w:rFonts w:ascii="Times New Roman" w:hAnsi="Times New Roman" w:eastAsia="宋体"/>
                <w:b w:val="0"/>
                <w:color w:val="1A1A1A"/>
                <w:sz w:val="18"/>
              </w:rPr>
              <w:t>已确认</w:t>
            </w:r>
          </w:p>
        </w:tc>
        <w:tc>
          <w:tcPr>
            <w:tcW w:type="dxa" w:w="2911"/>
          </w:tcPr>
          <w:p>
            <w:pPr>
              <w:spacing w:before="40" w:after="40" w:line="276" w:lineRule="auto"/>
            </w:pPr>
            <w:r/>
            <w:r>
              <w:rPr>
                <w:rFonts w:ascii="Times New Roman" w:hAnsi="Times New Roman" w:eastAsia="宋体"/>
                <w:b w:val="0"/>
                <w:color w:val="1A1A1A"/>
                <w:sz w:val="18"/>
              </w:rPr>
              <w:t>可提取合成路线、前驱体、温度与 XRD 结论</w:t>
            </w:r>
          </w:p>
        </w:tc>
      </w:tr>
      <w:tr>
        <w:tc>
          <w:tcPr>
            <w:tcW w:type="dxa" w:w="2911"/>
          </w:tcPr>
          <w:p>
            <w:pPr>
              <w:spacing w:before="40" w:after="40" w:line="276" w:lineRule="auto"/>
            </w:pPr>
            <w:r/>
            <w:r>
              <w:rPr>
                <w:rFonts w:ascii="Times New Roman" w:hAnsi="Times New Roman" w:eastAsia="宋体"/>
                <w:b w:val="0"/>
                <w:color w:val="1A1A1A"/>
                <w:sz w:val="18"/>
              </w:rPr>
              <w:t>论文发表年份元数据</w:t>
            </w:r>
          </w:p>
        </w:tc>
        <w:tc>
          <w:tcPr>
            <w:tcW w:type="dxa" w:w="2911"/>
          </w:tcPr>
          <w:p>
            <w:pPr>
              <w:spacing w:before="40" w:after="40" w:line="276" w:lineRule="auto"/>
            </w:pPr>
            <w:r/>
            <w:r>
              <w:rPr>
                <w:rFonts w:ascii="Times New Roman" w:hAnsi="Times New Roman" w:eastAsia="宋体"/>
                <w:b/>
                <w:color w:val="1A1A1A"/>
                <w:sz w:val="18"/>
              </w:rPr>
              <w:t>已确认</w:t>
            </w:r>
            <w:r>
              <w:rPr>
                <w:rFonts w:ascii="Times New Roman" w:hAnsi="Times New Roman" w:eastAsia="宋体"/>
                <w:b w:val="0"/>
                <w:color w:val="1A1A1A"/>
                <w:sz w:val="18"/>
              </w:rPr>
              <w:t>（2026-10-19 核实）</w:t>
            </w:r>
          </w:p>
        </w:tc>
        <w:tc>
          <w:tcPr>
            <w:tcW w:type="dxa" w:w="2911"/>
          </w:tcPr>
          <w:p>
            <w:pPr>
              <w:spacing w:before="40" w:after="40" w:line="276" w:lineRule="auto"/>
            </w:pPr>
            <w:r/>
            <w:r>
              <w:rPr>
                <w:rFonts w:ascii="Times New Roman" w:hAnsi="Times New Roman" w:eastAsia="宋体"/>
                <w:b w:val="0"/>
                <w:color w:val="1A1A1A"/>
                <w:sz w:val="18"/>
              </w:rPr>
              <w:t>支撑 O1「时间冲突」的时序构造</w:t>
            </w:r>
          </w:p>
        </w:tc>
      </w:tr>
      <w:tr>
        <w:tc>
          <w:tcPr>
            <w:tcW w:type="dxa" w:w="2911"/>
          </w:tcPr>
          <w:p>
            <w:pPr>
              <w:spacing w:before="40" w:after="40" w:line="276" w:lineRule="auto"/>
            </w:pPr>
            <w:r/>
            <w:r>
              <w:rPr>
                <w:rFonts w:ascii="Times New Roman" w:hAnsi="Times New Roman" w:eastAsia="宋体"/>
                <w:b w:val="0"/>
                <w:color w:val="1A1A1A"/>
                <w:sz w:val="18"/>
              </w:rPr>
              <w:t>检索返回可溯源</w:t>
            </w:r>
          </w:p>
        </w:tc>
        <w:tc>
          <w:tcPr>
            <w:tcW w:type="dxa" w:w="2911"/>
          </w:tcPr>
          <w:p>
            <w:pPr>
              <w:spacing w:before="40" w:after="40" w:line="276" w:lineRule="auto"/>
            </w:pPr>
            <w:r/>
            <w:r>
              <w:rPr>
                <w:rFonts w:ascii="Times New Roman" w:hAnsi="Times New Roman" w:eastAsia="宋体"/>
                <w:b w:val="0"/>
                <w:color w:val="1A1A1A"/>
                <w:sz w:val="18"/>
              </w:rPr>
              <w:t>待第 1 月核实</w:t>
            </w:r>
          </w:p>
        </w:tc>
        <w:tc>
          <w:tcPr>
            <w:tcW w:type="dxa" w:w="2911"/>
          </w:tcPr>
          <w:p>
            <w:pPr>
              <w:spacing w:before="40" w:after="40" w:line="276" w:lineRule="auto"/>
            </w:pPr>
            <w:r/>
            <w:r>
              <w:rPr>
                <w:rFonts w:ascii="Times New Roman" w:hAnsi="Times New Roman" w:eastAsia="宋体"/>
                <w:b w:val="0"/>
                <w:color w:val="1A1A1A"/>
                <w:sz w:val="18"/>
              </w:rPr>
              <w:t>决定文献能否作为</w:t>
            </w:r>
            <w:r>
              <w:rPr>
                <w:rFonts w:ascii="Times New Roman" w:hAnsi="Times New Roman" w:eastAsia="宋体"/>
                <w:b/>
                <w:color w:val="1A1A1A"/>
                <w:sz w:val="18"/>
              </w:rPr>
              <w:t>证据</w:t>
            </w:r>
            <w:r>
              <w:rPr>
                <w:rFonts w:ascii="Times New Roman" w:hAnsi="Times New Roman" w:eastAsia="宋体"/>
                <w:b w:val="0"/>
                <w:color w:val="1A1A1A"/>
                <w:sz w:val="18"/>
              </w:rPr>
              <w:t>而非仅线索</w:t>
            </w:r>
          </w:p>
        </w:tc>
      </w:tr>
    </w:tbl>
    <w:p/>
    <w:p>
      <w:pPr>
        <w:spacing w:after="80"/>
        <w:ind w:firstLine="420"/>
      </w:pPr>
      <w:r>
        <w:rPr>
          <w:rFonts w:ascii="Times New Roman" w:hAnsi="Times New Roman" w:eastAsia="宋体"/>
          <w:b w:val="0"/>
          <w:color w:val="1A1A1A"/>
          <w:sz w:val="21"/>
        </w:rPr>
        <w:t>该知识库直接承担本课题三项原属人工的工作：① 200 组冲突判定标注的证据检索；② 真实实验 3—5 个候选化合物的合成路线筛选；③ O1 时间冲突的年代划分。</w:t>
      </w:r>
      <w:r>
        <w:rPr>
          <w:rFonts w:ascii="Times New Roman" w:hAnsi="Times New Roman" w:eastAsia="宋体"/>
          <w:b/>
          <w:color w:val="1A1A1A"/>
          <w:sz w:val="21"/>
        </w:rPr>
        <w:t>若覆盖度与可溯源两项前提成立</w:t>
      </w:r>
      <w:r>
        <w:rPr>
          <w:rFonts w:ascii="Times New Roman" w:hAnsi="Times New Roman" w:eastAsia="宋体"/>
          <w:b w:val="0"/>
          <w:color w:val="1A1A1A"/>
          <w:sz w:val="21"/>
        </w:rPr>
        <w:t>，它可把标注周期从数周压缩到 1—2 周；若不成立则退回人工。这是本课题相对原方案较实质的条件改善，但</w:t>
      </w:r>
      <w:r>
        <w:rPr>
          <w:rFonts w:ascii="Times New Roman" w:hAnsi="Times New Roman" w:eastAsia="宋体"/>
          <w:b/>
          <w:color w:val="1A1A1A"/>
          <w:sz w:val="21"/>
        </w:rPr>
        <w:t>不宜宣称「数天」</w:t>
      </w:r>
      <w:r>
        <w:rPr>
          <w:rFonts w:ascii="Times New Roman" w:hAnsi="Times New Roman" w:eastAsia="宋体"/>
          <w:b w:val="0"/>
          <w:color w:val="1A1A1A"/>
          <w:sz w:val="21"/>
        </w:rPr>
        <w:t>。</w:t>
      </w:r>
    </w:p>
    <w:p>
      <w:pPr>
        <w:spacing w:after="80"/>
        <w:ind w:firstLine="420"/>
      </w:pPr>
      <w:r>
        <w:rPr>
          <w:rFonts w:ascii="Times New Roman" w:hAnsi="Times New Roman" w:eastAsia="宋体"/>
          <w:b/>
          <w:color w:val="1A1A1A"/>
          <w:sz w:val="21"/>
        </w:rPr>
        <w:t>须在第 1 月核实的四项</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库内覆盖 MP–OQMD 冲突组所涉化合物体系的比例；</w:t>
      </w:r>
    </w:p>
    <w:p>
      <w:pPr>
        <w:spacing w:after="80"/>
        <w:ind w:firstLine="420"/>
      </w:pPr>
      <w:r>
        <w:rPr>
          <w:rFonts w:ascii="Times New Roman" w:hAnsi="Times New Roman" w:eastAsia="宋体"/>
          <w:b w:val="0"/>
          <w:color w:val="1A1A1A"/>
          <w:sz w:val="21"/>
        </w:rPr>
        <w:t>2. 检索结果是否可追溯至原文片段与页码；</w:t>
      </w:r>
    </w:p>
    <w:p>
      <w:pPr>
        <w:spacing w:after="80"/>
        <w:ind w:firstLine="420"/>
      </w:pPr>
      <w:r>
        <w:rPr>
          <w:rFonts w:ascii="Times New Roman" w:hAnsi="Times New Roman" w:eastAsia="宋体"/>
          <w:b w:val="0"/>
          <w:color w:val="1A1A1A"/>
          <w:sz w:val="21"/>
        </w:rPr>
        <w:t>3. 全文是否包含合成路线与实验条件段落（决定真实实验筛选能否落地）；</w:t>
      </w:r>
    </w:p>
    <w:p>
      <w:pPr>
        <w:spacing w:after="80"/>
        <w:ind w:firstLine="420"/>
      </w:pPr>
      <w:r>
        <w:rPr>
          <w:rFonts w:ascii="Times New Roman" w:hAnsi="Times New Roman" w:eastAsia="宋体"/>
          <w:b w:val="0"/>
          <w:color w:val="1A1A1A"/>
          <w:sz w:val="21"/>
        </w:rPr>
        <w:t>4. 取数时严格使用</w:t>
      </w:r>
      <w:r>
        <w:rPr>
          <w:rFonts w:ascii="Times New Roman" w:hAnsi="Times New Roman" w:eastAsia="宋体"/>
          <w:b/>
          <w:color w:val="1A1A1A"/>
          <w:sz w:val="21"/>
        </w:rPr>
        <w:t>论文发表年份</w:t>
      </w:r>
      <w:r>
        <w:rPr>
          <w:rFonts w:ascii="Times New Roman" w:hAnsi="Times New Roman" w:eastAsia="宋体"/>
          <w:b w:val="0"/>
          <w:color w:val="1A1A1A"/>
          <w:sz w:val="21"/>
        </w:rPr>
        <w:t>，不得混用入库时间（后者会造成时间轴错误且不易察觉）。</w:t>
      </w:r>
    </w:p>
    <w:p>
      <w:pPr>
        <w:spacing w:after="80"/>
        <w:ind w:firstLine="420"/>
      </w:pPr>
      <w:r>
        <w:rPr>
          <w:rFonts w:ascii="Times New Roman" w:hAnsi="Times New Roman" w:eastAsia="宋体"/>
          <w:b w:val="0"/>
          <w:color w:val="1A1A1A"/>
          <w:sz w:val="21"/>
        </w:rPr>
        <w:t>尚未完成的准备工作包括：各数据库的许可与导出限制确认、跨库匹配的原型对齐规则细化、冲突判定阈值的人工校准，以及上述知识库四项核实。</w:t>
      </w:r>
    </w:p>
    <w:p>
      <w:pPr>
        <w:spacing w:before="320" w:after="120"/>
      </w:pPr>
      <w:r>
        <w:rPr>
          <w:rFonts w:ascii="Times New Roman" w:hAnsi="Times New Roman" w:eastAsia="黑体"/>
          <w:b/>
          <w:color w:val="1B3A52"/>
          <w:sz w:val="30"/>
        </w:rPr>
        <w:t>10 可行性分析</w:t>
      </w:r>
    </w:p>
    <w:p>
      <w:pPr>
        <w:spacing w:after="80"/>
        <w:ind w:firstLine="420"/>
      </w:pPr>
      <w:r>
        <w:rPr>
          <w:rFonts w:ascii="Times New Roman" w:hAnsi="Times New Roman" w:eastAsia="宋体"/>
          <w:b/>
          <w:color w:val="1A1A1A"/>
          <w:sz w:val="21"/>
        </w:rPr>
        <w:t>数据可行性。</w:t>
      </w:r>
      <w:r>
        <w:rPr>
          <w:rFonts w:ascii="Times New Roman" w:hAnsi="Times New Roman" w:eastAsia="宋体"/>
          <w:b w:val="0"/>
          <w:color w:val="1A1A1A"/>
          <w:sz w:val="21"/>
        </w:rPr>
        <w:t xml:space="preserve"> 四个数据库均公开，跨库匹配所需字段（成分、空间群、形成能、带隙）齐全。</w:t>
      </w:r>
    </w:p>
    <w:p>
      <w:pPr>
        <w:spacing w:after="80"/>
        <w:ind w:firstLine="420"/>
      </w:pPr>
      <w:r>
        <w:rPr>
          <w:rFonts w:ascii="Times New Roman" w:hAnsi="Times New Roman" w:eastAsia="宋体"/>
          <w:b/>
          <w:color w:val="1A1A1A"/>
          <w:sz w:val="21"/>
        </w:rPr>
        <w:t>方法可行性。</w:t>
      </w:r>
      <w:r>
        <w:rPr>
          <w:rFonts w:ascii="Times New Roman" w:hAnsi="Times New Roman" w:eastAsia="宋体"/>
          <w:b w:val="0"/>
          <w:color w:val="1A1A1A"/>
          <w:sz w:val="21"/>
        </w:rPr>
        <w:t xml:space="preserve"> 冲突检测与条件化输出都可以在现有模型上用提示工程实现零样本版本，再用微调提升。</w:t>
      </w:r>
    </w:p>
    <w:p>
      <w:pPr>
        <w:spacing w:after="80"/>
        <w:ind w:firstLine="420"/>
      </w:pPr>
      <w:r>
        <w:rPr>
          <w:rFonts w:ascii="Times New Roman" w:hAnsi="Times New Roman" w:eastAsia="宋体"/>
          <w:b/>
          <w:color w:val="1A1A1A"/>
          <w:sz w:val="21"/>
        </w:rPr>
        <w:t>时间可行性。</w:t>
      </w:r>
      <w:r>
        <w:rPr>
          <w:rFonts w:ascii="Times New Roman" w:hAnsi="Times New Roman" w:eastAsia="宋体"/>
          <w:b w:val="0"/>
          <w:color w:val="1A1A1A"/>
          <w:sz w:val="21"/>
        </w:rPr>
        <w:t xml:space="preserve"> 前四个月完成数据与基准，中间四个月做方法与实验，后四个月写作。已有 2 万篇全文文献库显著缓解了标注与文献筛选的时间压力，使 O1（时间冲突）从「偏紧」变为「可纳入主计划」。</w:t>
      </w:r>
    </w:p>
    <w:p>
      <w:pPr>
        <w:spacing w:after="80"/>
        <w:ind w:firstLine="420"/>
      </w:pPr>
      <w:r>
        <w:rPr>
          <w:rFonts w:ascii="Times New Roman" w:hAnsi="Times New Roman" w:eastAsia="宋体"/>
          <w:b/>
          <w:color w:val="1A1A1A"/>
          <w:sz w:val="21"/>
        </w:rPr>
        <w:t>文献证据可行性。</w:t>
      </w:r>
      <w:r>
        <w:rPr>
          <w:rFonts w:ascii="Times New Roman" w:hAnsi="Times New Roman" w:eastAsia="宋体"/>
          <w:b w:val="0"/>
          <w:color w:val="1A1A1A"/>
          <w:sz w:val="21"/>
        </w:rPr>
        <w:t xml:space="preserve"> 依赖知识库的两项前提——可溯源、含合成路线段落——若不成立，标注工作退回人工逐条查证（周期从 1—2 周回到数周），真实实验候选筛选也需另找途径。这两项是本课题时间安排的关键风险点，故置于第 1 月优先核实。</w:t>
      </w:r>
    </w:p>
    <w:p>
      <w:pPr>
        <w:spacing w:after="80"/>
        <w:ind w:firstLine="420"/>
      </w:pPr>
      <w:r>
        <w:rPr>
          <w:rFonts w:ascii="Times New Roman" w:hAnsi="Times New Roman" w:eastAsia="宋体"/>
          <w:b/>
          <w:color w:val="1A1A1A"/>
          <w:sz w:val="21"/>
        </w:rPr>
        <w:t>主要不确定性。</w:t>
      </w:r>
      <w:r>
        <w:rPr>
          <w:rFonts w:ascii="Times New Roman" w:hAnsi="Times New Roman" w:eastAsia="宋体"/>
          <w:b w:val="0"/>
          <w:color w:val="1A1A1A"/>
          <w:sz w:val="21"/>
        </w:rPr>
        <w:t xml:space="preserve"> 最大风险是「冲突基准的判定是否站得住」。这需要人工抽检，并在论文中公开判定规则与抽检结果。</w:t>
      </w:r>
    </w:p>
    <w:p>
      <w:pPr>
        <w:spacing w:before="320" w:after="120"/>
      </w:pPr>
      <w:r>
        <w:rPr>
          <w:rFonts w:ascii="Times New Roman" w:hAnsi="Times New Roman" w:eastAsia="黑体"/>
          <w:b/>
          <w:color w:val="1B3A52"/>
          <w:sz w:val="30"/>
        </w:rPr>
        <w:t>11 风险、退出条件与应对</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风险</w:t>
            </w:r>
          </w:p>
        </w:tc>
        <w:tc>
          <w:tcPr>
            <w:tcW w:type="dxa" w:w="2911"/>
          </w:tcPr>
          <w:p>
            <w:pPr>
              <w:spacing w:before="40" w:after="40" w:line="276" w:lineRule="auto"/>
            </w:pPr>
            <w:r/>
            <w:r>
              <w:rPr>
                <w:rFonts w:ascii="Times New Roman" w:hAnsi="Times New Roman" w:eastAsia="宋体"/>
                <w:b/>
                <w:color w:val="1A1A1A"/>
                <w:sz w:val="18"/>
              </w:rPr>
              <w:t>表现</w:t>
            </w:r>
          </w:p>
        </w:tc>
        <w:tc>
          <w:tcPr>
            <w:tcW w:type="dxa" w:w="2911"/>
          </w:tcPr>
          <w:p>
            <w:pPr>
              <w:spacing w:before="40" w:after="40" w:line="276" w:lineRule="auto"/>
            </w:pPr>
            <w:r/>
            <w:r>
              <w:rPr>
                <w:rFonts w:ascii="Times New Roman" w:hAnsi="Times New Roman" w:eastAsia="宋体"/>
                <w:b/>
                <w:color w:val="1A1A1A"/>
                <w:sz w:val="18"/>
              </w:rPr>
              <w:t>应对</w:t>
            </w:r>
          </w:p>
        </w:tc>
      </w:tr>
      <w:tr>
        <w:tc>
          <w:tcPr>
            <w:tcW w:type="dxa" w:w="2911"/>
          </w:tcPr>
          <w:p>
            <w:pPr>
              <w:spacing w:before="40" w:after="40" w:line="276" w:lineRule="auto"/>
            </w:pPr>
            <w:r/>
            <w:r>
              <w:rPr>
                <w:rFonts w:ascii="Times New Roman" w:hAnsi="Times New Roman" w:eastAsia="宋体"/>
                <w:b w:val="0"/>
                <w:color w:val="1A1A1A"/>
                <w:sz w:val="18"/>
              </w:rPr>
              <w:t>冲突对数量不足</w:t>
            </w:r>
          </w:p>
        </w:tc>
        <w:tc>
          <w:tcPr>
            <w:tcW w:type="dxa" w:w="2911"/>
          </w:tcPr>
          <w:p>
            <w:pPr>
              <w:spacing w:before="40" w:after="40" w:line="276" w:lineRule="auto"/>
            </w:pPr>
            <w:r/>
            <w:r>
              <w:rPr>
                <w:rFonts w:ascii="Times New Roman" w:hAnsi="Times New Roman" w:eastAsia="宋体"/>
                <w:b w:val="0"/>
                <w:color w:val="1A1A1A"/>
                <w:sz w:val="18"/>
              </w:rPr>
              <w:t>L2 级冲突组 &lt; 500</w:t>
            </w:r>
          </w:p>
        </w:tc>
        <w:tc>
          <w:tcPr>
            <w:tcW w:type="dxa" w:w="2911"/>
          </w:tcPr>
          <w:p>
            <w:pPr>
              <w:spacing w:before="40" w:after="40" w:line="276" w:lineRule="auto"/>
            </w:pPr>
            <w:r/>
            <w:r>
              <w:rPr>
                <w:rFonts w:ascii="Times New Roman" w:hAnsi="Times New Roman" w:eastAsia="宋体"/>
                <w:b w:val="0"/>
                <w:color w:val="1A1A1A"/>
                <w:sz w:val="18"/>
              </w:rPr>
              <w:t>退回成分 + 空间群两级对齐，或换 MP–OQMD 库对</w:t>
            </w:r>
          </w:p>
        </w:tc>
      </w:tr>
      <w:tr>
        <w:tc>
          <w:tcPr>
            <w:tcW w:type="dxa" w:w="2911"/>
          </w:tcPr>
          <w:p>
            <w:pPr>
              <w:spacing w:before="40" w:after="40" w:line="276" w:lineRule="auto"/>
            </w:pPr>
            <w:r/>
            <w:r>
              <w:rPr>
                <w:rFonts w:ascii="Times New Roman" w:hAnsi="Times New Roman" w:eastAsia="宋体"/>
                <w:b w:val="0"/>
                <w:color w:val="1A1A1A"/>
                <w:sz w:val="18"/>
              </w:rPr>
              <w:t>冲突判定争议</w:t>
            </w:r>
          </w:p>
        </w:tc>
        <w:tc>
          <w:tcPr>
            <w:tcW w:type="dxa" w:w="2911"/>
          </w:tcPr>
          <w:p>
            <w:pPr>
              <w:spacing w:before="40" w:after="40" w:line="276" w:lineRule="auto"/>
            </w:pPr>
            <w:r/>
            <w:r>
              <w:rPr>
                <w:rFonts w:ascii="Times New Roman" w:hAnsi="Times New Roman" w:eastAsia="宋体"/>
                <w:b w:val="0"/>
                <w:color w:val="1A1A1A"/>
                <w:sz w:val="18"/>
              </w:rPr>
              <w:t>审稿人认为某些「冲突」其实是不同条件</w:t>
            </w:r>
          </w:p>
        </w:tc>
        <w:tc>
          <w:tcPr>
            <w:tcW w:type="dxa" w:w="2911"/>
          </w:tcPr>
          <w:p>
            <w:pPr>
              <w:spacing w:before="40" w:after="40" w:line="276" w:lineRule="auto"/>
            </w:pPr>
            <w:r/>
            <w:r>
              <w:rPr>
                <w:rFonts w:ascii="Times New Roman" w:hAnsi="Times New Roman" w:eastAsia="宋体"/>
                <w:b w:val="0"/>
                <w:color w:val="1A1A1A"/>
                <w:sz w:val="18"/>
              </w:rPr>
              <w:t>公开条件元数据，把「无可比条件」的条目排除</w:t>
            </w:r>
          </w:p>
        </w:tc>
      </w:tr>
      <w:tr>
        <w:tc>
          <w:tcPr>
            <w:tcW w:type="dxa" w:w="2911"/>
          </w:tcPr>
          <w:p>
            <w:pPr>
              <w:spacing w:before="40" w:after="40" w:line="276" w:lineRule="auto"/>
            </w:pPr>
            <w:r/>
            <w:r>
              <w:rPr>
                <w:rFonts w:ascii="Times New Roman" w:hAnsi="Times New Roman" w:eastAsia="宋体"/>
                <w:b w:val="0"/>
                <w:color w:val="1A1A1A"/>
                <w:sz w:val="18"/>
              </w:rPr>
              <w:t>模型全部失败</w:t>
            </w:r>
          </w:p>
        </w:tc>
        <w:tc>
          <w:tcPr>
            <w:tcW w:type="dxa" w:w="2911"/>
          </w:tcPr>
          <w:p>
            <w:pPr>
              <w:spacing w:before="40" w:after="40" w:line="276" w:lineRule="auto"/>
            </w:pPr>
            <w:r/>
            <w:r>
              <w:rPr>
                <w:rFonts w:ascii="Times New Roman" w:hAnsi="Times New Roman" w:eastAsia="宋体"/>
                <w:b w:val="0"/>
                <w:color w:val="1A1A1A"/>
                <w:sz w:val="18"/>
              </w:rPr>
              <w:t>所有模型都不报告冲突</w:t>
            </w:r>
          </w:p>
        </w:tc>
        <w:tc>
          <w:tcPr>
            <w:tcW w:type="dxa" w:w="2911"/>
          </w:tcPr>
          <w:p>
            <w:pPr>
              <w:spacing w:before="40" w:after="40" w:line="276" w:lineRule="auto"/>
            </w:pPr>
            <w:r/>
            <w:r>
              <w:rPr>
                <w:rFonts w:ascii="Times New Roman" w:hAnsi="Times New Roman" w:eastAsia="宋体"/>
                <w:b w:val="0"/>
                <w:color w:val="1A1A1A"/>
                <w:sz w:val="18"/>
              </w:rPr>
              <w:t>这本身是有价值的发现，转为「能力缺失分析」</w:t>
            </w:r>
          </w:p>
        </w:tc>
      </w:tr>
      <w:tr>
        <w:tc>
          <w:tcPr>
            <w:tcW w:type="dxa" w:w="2911"/>
          </w:tcPr>
          <w:p>
            <w:pPr>
              <w:spacing w:before="40" w:after="40" w:line="276" w:lineRule="auto"/>
            </w:pPr>
            <w:r/>
            <w:r>
              <w:rPr>
                <w:rFonts w:ascii="Times New Roman" w:hAnsi="Times New Roman" w:eastAsia="宋体"/>
                <w:b w:val="0"/>
                <w:color w:val="1A1A1A"/>
                <w:sz w:val="18"/>
              </w:rPr>
              <w:t>基准被质疑为「人工构造」</w:t>
            </w:r>
          </w:p>
        </w:tc>
        <w:tc>
          <w:tcPr>
            <w:tcW w:type="dxa" w:w="2911"/>
          </w:tcPr>
          <w:p>
            <w:pPr>
              <w:spacing w:before="40" w:after="40" w:line="276" w:lineRule="auto"/>
            </w:pPr>
            <w:r/>
            <w:r>
              <w:rPr>
                <w:rFonts w:ascii="Times New Roman" w:hAnsi="Times New Roman" w:eastAsia="宋体"/>
                <w:b w:val="0"/>
                <w:color w:val="1A1A1A"/>
                <w:sz w:val="18"/>
              </w:rPr>
              <w:t>审稿人认为冲突不自然</w:t>
            </w:r>
          </w:p>
        </w:tc>
        <w:tc>
          <w:tcPr>
            <w:tcW w:type="dxa" w:w="2911"/>
          </w:tcPr>
          <w:p>
            <w:pPr>
              <w:spacing w:before="40" w:after="40" w:line="276" w:lineRule="auto"/>
            </w:pPr>
            <w:r/>
            <w:r>
              <w:rPr>
                <w:rFonts w:ascii="Times New Roman" w:hAnsi="Times New Roman" w:eastAsia="宋体"/>
                <w:b w:val="0"/>
                <w:color w:val="1A1A1A"/>
                <w:sz w:val="18"/>
              </w:rPr>
              <w:t>全部冲突来自真实数据库差异，不做人工编造</w:t>
            </w:r>
          </w:p>
        </w:tc>
      </w:tr>
      <w:tr>
        <w:tc>
          <w:tcPr>
            <w:tcW w:type="dxa" w:w="2911"/>
          </w:tcPr>
          <w:p>
            <w:pPr>
              <w:spacing w:before="40" w:after="40" w:line="276" w:lineRule="auto"/>
            </w:pPr>
            <w:r/>
            <w:r>
              <w:rPr>
                <w:rFonts w:ascii="Times New Roman" w:hAnsi="Times New Roman" w:eastAsia="宋体"/>
                <w:b w:val="0"/>
                <w:color w:val="1A1A1A"/>
                <w:sz w:val="18"/>
              </w:rPr>
              <w:t>条件化输出难以自动评分</w:t>
            </w:r>
          </w:p>
        </w:tc>
        <w:tc>
          <w:tcPr>
            <w:tcW w:type="dxa" w:w="2911"/>
          </w:tcPr>
          <w:p>
            <w:pPr>
              <w:spacing w:before="40" w:after="40" w:line="276" w:lineRule="auto"/>
            </w:pPr>
            <w:r/>
            <w:r>
              <w:rPr>
                <w:rFonts w:ascii="Times New Roman" w:hAnsi="Times New Roman" w:eastAsia="宋体"/>
                <w:b w:val="0"/>
                <w:color w:val="1A1A1A"/>
                <w:sz w:val="18"/>
              </w:rPr>
              <w:t>自由文本无法精确匹配</w:t>
            </w:r>
          </w:p>
        </w:tc>
        <w:tc>
          <w:tcPr>
            <w:tcW w:type="dxa" w:w="2911"/>
          </w:tcPr>
          <w:p>
            <w:pPr>
              <w:spacing w:before="40" w:after="40" w:line="276" w:lineRule="auto"/>
            </w:pPr>
            <w:r/>
            <w:r>
              <w:rPr>
                <w:rFonts w:ascii="Times New Roman" w:hAnsi="Times New Roman" w:eastAsia="宋体"/>
                <w:b w:val="0"/>
                <w:color w:val="1A1A1A"/>
                <w:sz w:val="18"/>
              </w:rPr>
              <w:t>设计结构化输出格式，用规则评分 + 人工抽检</w:t>
            </w:r>
          </w:p>
        </w:tc>
      </w:tr>
    </w:tbl>
    <w:p/>
    <w:p>
      <w:pPr>
        <w:spacing w:after="80"/>
        <w:ind w:firstLine="420"/>
      </w:pPr>
      <w:r>
        <w:rPr>
          <w:rFonts w:ascii="Times New Roman" w:hAnsi="Times New Roman" w:eastAsia="宋体"/>
          <w:b/>
          <w:color w:val="1A1A1A"/>
          <w:sz w:val="21"/>
        </w:rPr>
        <w:t>方向退出条件。</w:t>
      </w:r>
      <w:r>
        <w:rPr>
          <w:rFonts w:ascii="Times New Roman" w:hAnsi="Times New Roman" w:eastAsia="宋体"/>
          <w:b w:val="0"/>
          <w:color w:val="1A1A1A"/>
          <w:sz w:val="21"/>
        </w:rPr>
        <w:t xml:space="preserve"> 满足以下任一条件时停止当前方向：</w:t>
      </w:r>
    </w:p>
    <w:p>
      <w:pPr>
        <w:spacing w:after="80"/>
        <w:ind w:firstLine="420"/>
      </w:pPr>
      <w:r>
        <w:rPr>
          <w:rFonts w:ascii="Times New Roman" w:hAnsi="Times New Roman" w:eastAsia="宋体"/>
          <w:b w:val="0"/>
          <w:color w:val="1A1A1A"/>
          <w:sz w:val="21"/>
        </w:rPr>
        <w:t>1. 第 2 月末，L2 级冲突组数不足 500，且放宽对齐规则后仍不足；</w:t>
      </w:r>
    </w:p>
    <w:p>
      <w:pPr>
        <w:spacing w:after="80"/>
        <w:ind w:firstLine="420"/>
      </w:pPr>
      <w:r>
        <w:rPr>
          <w:rFonts w:ascii="Times New Roman" w:hAnsi="Times New Roman" w:eastAsia="宋体"/>
          <w:b w:val="0"/>
          <w:color w:val="1A1A1A"/>
          <w:sz w:val="21"/>
        </w:rPr>
        <w:t>2. 第 4 月末，人工抽检的冲突判定准确率低于 80%（80%—90% 区间须修订规则后复测，≥90% 通过，见 §8）；</w:t>
      </w:r>
    </w:p>
    <w:p>
      <w:pPr>
        <w:spacing w:after="80"/>
        <w:ind w:firstLine="420"/>
      </w:pPr>
      <w:r>
        <w:rPr>
          <w:rFonts w:ascii="Times New Roman" w:hAnsi="Times New Roman" w:eastAsia="宋体"/>
          <w:b w:val="0"/>
          <w:color w:val="1A1A1A"/>
          <w:sz w:val="21"/>
        </w:rPr>
        <w:t>3. 第 6 月末，所有模型在冲突检测上接近零分且无改进空间，说明任务设置有问题。</w:t>
      </w:r>
    </w:p>
    <w:p>
      <w:pPr>
        <w:spacing w:before="320" w:after="120"/>
      </w:pPr>
      <w:r>
        <w:rPr>
          <w:rFonts w:ascii="Times New Roman" w:hAnsi="Times New Roman" w:eastAsia="黑体"/>
          <w:b/>
          <w:color w:val="1B3A52"/>
          <w:sz w:val="30"/>
        </w:rPr>
        <w:t>参考文献</w:t>
      </w:r>
    </w:p>
    <w:p>
      <w:pPr>
        <w:spacing w:after="80"/>
        <w:ind w:firstLine="420"/>
      </w:pPr>
      <w:r>
        <w:rPr>
          <w:rFonts w:ascii="Times New Roman" w:hAnsi="Times New Roman" w:eastAsia="宋体"/>
          <w:b w:val="0"/>
          <w:color w:val="1A1A1A"/>
          <w:sz w:val="21"/>
        </w:rPr>
        <w:t xml:space="preserve">[1] How Much Do Materials Databases Disagree? Materials Project vs JARVIS vs AFLOW vs OQMD. LatticeGraph Atlas, 2026. </w:t>
      </w:r>
      <w:r>
        <w:rPr>
          <w:rFonts w:ascii="Times New Roman" w:hAnsi="Times New Roman" w:eastAsia="宋体"/>
          <w:b w:val="0"/>
          <w:color w:val="1F4E79"/>
          <w:sz w:val="19"/>
        </w:rPr>
        <w:t>https://latticegraph.com/atlas/dft-database-disagreement</w:t>
      </w:r>
    </w:p>
    <w:p>
      <w:pPr>
        <w:spacing w:after="80"/>
        <w:ind w:firstLine="420"/>
      </w:pPr>
      <w:r>
        <w:rPr>
          <w:rFonts w:ascii="Times New Roman" w:hAnsi="Times New Roman" w:eastAsia="宋体"/>
          <w:b w:val="0"/>
          <w:color w:val="1A1A1A"/>
          <w:sz w:val="21"/>
        </w:rPr>
        <w:t xml:space="preserve">[2] Su Z, Zhang J, Qu X, Zhu T, et al. ConflictBank: A Benchmark for Evaluating the Influence of Knowledge Conflicts in LLM. arXiv:2408.12076, 2024. </w:t>
      </w:r>
      <w:r>
        <w:rPr>
          <w:rFonts w:ascii="Times New Roman" w:hAnsi="Times New Roman" w:eastAsia="宋体"/>
          <w:b w:val="0"/>
          <w:color w:val="1F4E79"/>
          <w:sz w:val="19"/>
        </w:rPr>
        <w:t>https://arxiv.org/html/2408.12076</w:t>
      </w:r>
    </w:p>
    <w:p>
      <w:pPr>
        <w:spacing w:after="80"/>
        <w:ind w:firstLine="420"/>
      </w:pPr>
      <w:r>
        <w:rPr>
          <w:rFonts w:ascii="Times New Roman" w:hAnsi="Times New Roman" w:eastAsia="宋体"/>
          <w:b w:val="0"/>
          <w:color w:val="1A1A1A"/>
          <w:sz w:val="21"/>
        </w:rPr>
        <w:t xml:space="preserve">[3] Who's Who: Large Language Models Meet Knowledge Conflicts in Practice. arXiv:2410.15737, 2024. </w:t>
      </w:r>
      <w:r>
        <w:rPr>
          <w:rFonts w:ascii="Times New Roman" w:hAnsi="Times New Roman" w:eastAsia="宋体"/>
          <w:b w:val="0"/>
          <w:color w:val="1F4E79"/>
          <w:sz w:val="19"/>
        </w:rPr>
        <w:t>https://arxiv.org/html/2410.15737v1</w:t>
      </w:r>
    </w:p>
    <w:p>
      <w:pPr>
        <w:spacing w:after="80"/>
        <w:ind w:firstLine="420"/>
      </w:pPr>
      <w:r>
        <w:rPr>
          <w:rFonts w:ascii="Times New Roman" w:hAnsi="Times New Roman" w:eastAsia="宋体"/>
          <w:b w:val="0"/>
          <w:color w:val="1A1A1A"/>
          <w:sz w:val="21"/>
        </w:rPr>
        <w:t xml:space="preserve">[4] KC-Bench: A Dynamic Interactive Benchmark for Evaluating Knowledge Conflicts in LLM Agents. arXiv:2609.03588, 2026. </w:t>
      </w:r>
      <w:r>
        <w:rPr>
          <w:rFonts w:ascii="Times New Roman" w:hAnsi="Times New Roman" w:eastAsia="宋体"/>
          <w:b w:val="0"/>
          <w:color w:val="1F4E79"/>
          <w:sz w:val="19"/>
        </w:rPr>
        <w:t>https://arxiv.org/pdf/2609.03588</w:t>
      </w:r>
    </w:p>
    <w:p>
      <w:pPr>
        <w:spacing w:after="80"/>
        <w:ind w:firstLine="420"/>
      </w:pPr>
      <w:r>
        <w:rPr>
          <w:rFonts w:ascii="Times New Roman" w:hAnsi="Times New Roman" w:eastAsia="宋体"/>
          <w:b w:val="0"/>
          <w:color w:val="1A1A1A"/>
          <w:sz w:val="21"/>
        </w:rPr>
        <w:t xml:space="preserve">[5] Tracking the Limits of Knowledge Propagation: How LLMs Fail at Multi-Step Reasoning with Conflicting Knowledge. arXiv:2601.15495, 2026. </w:t>
      </w:r>
      <w:r>
        <w:rPr>
          <w:rFonts w:ascii="Times New Roman" w:hAnsi="Times New Roman" w:eastAsia="宋体"/>
          <w:b w:val="0"/>
          <w:color w:val="1F4E79"/>
          <w:sz w:val="19"/>
        </w:rPr>
        <w:t>https://arxiv.org/pdf/2601.15495v1</w:t>
      </w:r>
    </w:p>
    <w:p>
      <w:pPr>
        <w:spacing w:after="80"/>
        <w:ind w:firstLine="420"/>
      </w:pPr>
      <w:r>
        <w:rPr>
          <w:rFonts w:ascii="Times New Roman" w:hAnsi="Times New Roman" w:eastAsia="宋体"/>
          <w:b w:val="0"/>
          <w:color w:val="1A1A1A"/>
          <w:sz w:val="21"/>
        </w:rPr>
        <w:t>[6] 宿彦京, 付华栋, 白洋, 姜雪, 谢建新. 中国材料基因工程研究进展. 金属学报, 2020, 56(10): 1313–1323.</w:t>
      </w:r>
    </w:p>
    <w:p>
      <w:pPr>
        <w:spacing w:after="80"/>
        <w:ind w:firstLine="420"/>
      </w:pPr>
      <w:r>
        <w:rPr>
          <w:rFonts w:ascii="Times New Roman" w:hAnsi="Times New Roman" w:eastAsia="宋体"/>
          <w:b w:val="0"/>
          <w:color w:val="1A1A1A"/>
          <w:sz w:val="21"/>
        </w:rPr>
        <w:t>[7] 刘章赫, 陈新宇, 周跫桦, 王金兰. 目标性质导向的材料生成: 迈向按需构筑的材料逆向设计. 物理学报, 2025, 74(24): 240701.</w:t>
      </w:r>
    </w:p>
    <w:p>
      <w:pPr>
        <w:spacing w:after="80"/>
        <w:ind w:firstLine="420"/>
      </w:pPr>
      <w:r>
        <w:rPr>
          <w:rFonts w:ascii="Times New Roman" w:hAnsi="Times New Roman" w:eastAsia="宋体"/>
          <w:b w:val="0"/>
          <w:color w:val="1A1A1A"/>
          <w:sz w:val="21"/>
        </w:rPr>
        <w:t xml:space="preserve">[8] Disentangling Reasoning Logic to Resolve Explicit Knowledge Conflicts. arXiv:2508.01273, 2025. </w:t>
      </w:r>
      <w:r>
        <w:rPr>
          <w:rFonts w:ascii="Times New Roman" w:hAnsi="Times New Roman" w:eastAsia="宋体"/>
          <w:b w:val="0"/>
          <w:color w:val="1F4E79"/>
          <w:sz w:val="19"/>
        </w:rPr>
        <w:t>https://arxiv.org/html/2508.01273v3</w:t>
      </w:r>
    </w:p>
    <w:p>
      <w:pPr>
        <w:spacing w:after="80"/>
        <w:ind w:firstLine="420"/>
      </w:pPr>
      <w:r>
        <w:rPr>
          <w:rFonts w:ascii="Times New Roman" w:hAnsi="Times New Roman" w:eastAsia="宋体"/>
          <w:b w:val="0"/>
          <w:color w:val="1A1A1A"/>
          <w:sz w:val="21"/>
        </w:rPr>
        <w:t xml:space="preserve">[9] MATCOR, a program for the cross-validation of material properties between databases. Computational Materials Science, 2021. </w:t>
      </w:r>
      <w:r>
        <w:rPr>
          <w:rFonts w:ascii="Times New Roman" w:hAnsi="Times New Roman" w:eastAsia="宋体"/>
          <w:b w:val="0"/>
          <w:color w:val="1F4E79"/>
          <w:sz w:val="19"/>
        </w:rPr>
        <w:t>https://sciencedirect.com/science/article/pii/S0927025620305942</w:t>
      </w:r>
    </w:p>
    <w:p>
      <w:pPr>
        <w:spacing w:after="80"/>
        <w:ind w:firstLine="420"/>
      </w:pPr>
      <w:r>
        <w:rPr>
          <w:rFonts w:ascii="Times New Roman" w:hAnsi="Times New Roman" w:eastAsia="宋体"/>
          <w:b w:val="0"/>
          <w:color w:val="1A1A1A"/>
          <w:sz w:val="21"/>
        </w:rPr>
        <w:t xml:space="preserve">[10] Physics as the label for measuring and correcting materials reasoning in multimodal models. arXiv:2609.12181, 2026. </w:t>
      </w:r>
      <w:r>
        <w:rPr>
          <w:rFonts w:ascii="Times New Roman" w:hAnsi="Times New Roman" w:eastAsia="宋体"/>
          <w:b w:val="0"/>
          <w:color w:val="1F4E79"/>
          <w:sz w:val="19"/>
        </w:rPr>
        <w:t>https://arxiv.org/html/2609.12181</w:t>
      </w:r>
    </w:p>
    <w:p>
      <w:pPr>
        <w:spacing w:after="80"/>
        <w:ind w:firstLine="420"/>
      </w:pPr>
      <w:r>
        <w:rPr>
          <w:rFonts w:ascii="Times New Roman" w:hAnsi="Times New Roman" w:eastAsia="宋体"/>
          <w:b w:val="0"/>
          <w:color w:val="1A1A1A"/>
          <w:sz w:val="21"/>
        </w:rPr>
        <w:t xml:space="preserve">[11] Grounded verification of chemical and materials reasoning: detection is the bottleneck. arXiv:2607.17417, 2026. </w:t>
      </w:r>
      <w:r>
        <w:rPr>
          <w:rFonts w:ascii="Times New Roman" w:hAnsi="Times New Roman" w:eastAsia="宋体"/>
          <w:b w:val="0"/>
          <w:color w:val="1F4E79"/>
          <w:sz w:val="19"/>
        </w:rPr>
        <w:t>https://arxiv.org/abs/2607.17417</w:t>
      </w:r>
    </w:p>
    <w:p>
      <w:pPr>
        <w:spacing w:after="80"/>
        <w:ind w:firstLine="420"/>
      </w:pPr>
      <w:r>
        <w:rPr>
          <w:rFonts w:ascii="Times New Roman" w:hAnsi="Times New Roman" w:eastAsia="宋体"/>
          <w:b w:val="0"/>
          <w:color w:val="1A1A1A"/>
          <w:sz w:val="21"/>
        </w:rPr>
        <w:t>[12] Faber F A, Lindmaa A, von Lilienfeld O A, Armiento R. Machine Learning Energies of 2 M Elpasolite (ABC₂D₆) Crystals. Physical Review Letters, 2016, 117: 135502. arXiv:1508.05315. （Elpasolite 数据集来源）</w:t>
      </w:r>
    </w:p>
    <w:p>
      <w:pPr>
        <w:spacing w:after="80"/>
        <w:ind w:firstLine="420"/>
      </w:pPr>
      <w:r>
        <w:rPr>
          <w:rFonts w:ascii="Times New Roman" w:hAnsi="Times New Roman" w:eastAsia="宋体"/>
          <w:b w:val="0"/>
          <w:color w:val="1A1A1A"/>
          <w:sz w:val="21"/>
        </w:rPr>
        <w:t>[13] Hegde V I, Borg C K H, del Rosario Z, Kim Y, Hutchinson M, Antono E, Ling J, Saxe P, Saal J E, Meredig B. Quantifying uncertainty in high-throughput density functional theory: A comparison of AFLOW, Materials Project, and OQMD. Physical Review Materials, 2023, 7: 053805. DOI: 10.1103/PhysRevMaterials.7.053805（同行评审的跨库 DFT 不确定性比较；本报告数据来源的学术对照，[1] 为其更新版数字）</w:t>
      </w:r>
    </w:p>
    <w:p>
      <w:pPr>
        <w:spacing w:before="320" w:after="120"/>
      </w:pPr>
      <w:r>
        <w:rPr>
          <w:rFonts w:ascii="Times New Roman" w:hAnsi="Times New Roman" w:eastAsia="黑体"/>
          <w:b/>
          <w:color w:val="1B3A52"/>
          <w:sz w:val="30"/>
        </w:rPr>
        <w:t>附：查新结论与证据边界</w:t>
      </w:r>
    </w:p>
    <w:p>
      <w:pPr>
        <w:spacing w:after="80"/>
        <w:ind w:firstLine="420"/>
      </w:pPr>
      <w:r>
        <w:rPr>
          <w:rFonts w:ascii="Times New Roman" w:hAnsi="Times New Roman" w:eastAsia="宋体"/>
          <w:b/>
          <w:color w:val="1A1A1A"/>
          <w:sz w:val="21"/>
        </w:rPr>
        <w:t>数据已全样本实测（2026-10-19）</w:t>
      </w:r>
      <w:r>
        <w:rPr>
          <w:rFonts w:ascii="Times New Roman" w:hAnsi="Times New Roman" w:eastAsia="宋体"/>
          <w:b w:val="0"/>
          <w:color w:val="1A1A1A"/>
          <w:sz w:val="21"/>
        </w:rPr>
        <w:t>：下载 [1] 公开的完整 CSV（62,803 条）复算，MP–OQMD 判定冲突 17.33%、MP–JARVIS 17.76%、OQMD–JARVIS 18.16%，与 [1] 自述及本报告引用完全一致；50 meV/atom 阈值下的可判定冲突为 1,480—2,720 组/库对。</w:t>
      </w:r>
      <w:r>
        <w:rPr>
          <w:rFonts w:ascii="Times New Roman" w:hAnsi="Times New Roman" w:eastAsia="宋体"/>
          <w:b/>
          <w:color w:val="1A1A1A"/>
          <w:sz w:val="21"/>
        </w:rPr>
        <w:t>这是本方向最硬的一条证据：核心数据事实已由独立复算确认，不依赖引用。</w:t>
      </w:r>
    </w:p>
    <w:p>
      <w:pPr>
        <w:spacing w:after="80"/>
        <w:ind w:firstLine="420"/>
      </w:pPr>
      <w:r>
        <w:rPr>
          <w:rFonts w:ascii="Times New Roman" w:hAnsi="Times New Roman" w:eastAsia="宋体"/>
          <w:b/>
          <w:color w:val="1A1A1A"/>
          <w:sz w:val="21"/>
        </w:rPr>
        <w:t>本方向的查新强度：强。</w:t>
      </w:r>
      <w:r>
        <w:rPr>
          <w:rFonts w:ascii="Times New Roman" w:hAnsi="Times New Roman" w:eastAsia="宋体"/>
          <w:b w:val="0"/>
          <w:color w:val="1A1A1A"/>
          <w:sz w:val="21"/>
        </w:rPr>
        <w:t xml:space="preserve"> 检索覆盖「knowledge conflict + materials」「database disagreement + LLM」「contradictory evidence + materials」三组关键词，通用领域的冲突基准（ConflictBank、WhoQA、KC-Bench、TRACK、Kcr）与材料领域的数据不一致分析（跨库比对、MATCOR）均已核实存在，</w:t>
      </w:r>
      <w:r>
        <w:rPr>
          <w:rFonts w:ascii="Times New Roman" w:hAnsi="Times New Roman" w:eastAsia="宋体"/>
          <w:b/>
          <w:color w:val="1A1A1A"/>
          <w:sz w:val="21"/>
        </w:rPr>
        <w:t>未发现材料专门的知识冲突基准或方法</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需要说明的边界：</w:t>
      </w:r>
    </w:p>
    <w:p>
      <w:pPr>
        <w:spacing w:after="80"/>
        <w:ind w:firstLine="420"/>
      </w:pPr>
      <w:r>
        <w:rPr>
          <w:rFonts w:ascii="Times New Roman" w:hAnsi="Times New Roman" w:eastAsia="宋体"/>
          <w:b w:val="0"/>
          <w:color w:val="1A1A1A"/>
          <w:sz w:val="21"/>
        </w:rPr>
        <w:t>1. 「未发现」不等于「不存在」。正式开题前应补充 Web of Science、Scopus 与 ACL Anthology 的定向检索，重点确认是否已有「materials knowledge conflict」或「database inconsistency aware reasoning」的论文。</w:t>
      </w:r>
    </w:p>
    <w:p>
      <w:pPr>
        <w:spacing w:after="80"/>
        <w:ind w:firstLine="420"/>
      </w:pPr>
      <w:r>
        <w:rPr>
          <w:rFonts w:ascii="Times New Roman" w:hAnsi="Times New Roman" w:eastAsia="宋体"/>
          <w:b w:val="0"/>
          <w:color w:val="1A1A1A"/>
          <w:sz w:val="21"/>
        </w:rPr>
        <w:t>2. 材料领域的数据不一致已有零散讨论，本课题的增量在于把它做成可评测的冲突基准与推理方法，而不是首次发现不一致。</w:t>
      </w:r>
    </w:p>
    <w:p>
      <w:pPr>
        <w:spacing w:after="80"/>
        <w:ind w:firstLine="420"/>
      </w:pPr>
      <w:r>
        <w:rPr>
          <w:rFonts w:ascii="Times New Roman" w:hAnsi="Times New Roman" w:eastAsia="宋体"/>
          <w:b w:val="0"/>
          <w:color w:val="1A1A1A"/>
          <w:sz w:val="21"/>
        </w:rPr>
        <w:t>3. 本报告的冲突判定阈值（带隙 0.5 eV、凸包 50 meV/atom）来自跨库分析的分布，需要在第 1—2 月用实际数据校准。</w:t>
      </w:r>
    </w:p>
    <w:p>
      <w:pPr>
        <w:spacing w:after="80"/>
        <w:ind w:firstLine="420"/>
      </w:pPr>
      <w:r>
        <w:rPr>
          <w:rFonts w:ascii="Times New Roman" w:hAnsi="Times New Roman" w:eastAsia="宋体"/>
          <w:b w:val="0"/>
          <w:color w:val="1A1A1A"/>
          <w:sz w:val="21"/>
        </w:rPr>
        <w:t>文中所有实验设计均为拟议方案，尚未执行。</w:t>
      </w:r>
    </w:p>
    <w:sectPr w:rsidR="00FC693F" w:rsidRPr="0006063C" w:rsidSect="00034616">
      <w:headerReference w:type="default" r:id="rId9"/>
      <w:footerReference w:type="default" r:id="rId10"/>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黑体"/>
        <w:b w:val="0"/>
        <w:color w:val="808080"/>
        <w:sz w:val="16"/>
      </w:rPr>
      <w:t>2026 年 10 月 18 日</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黑体"/>
        <w:b w:val="0"/>
        <w:color w:val="808080"/>
        <w:sz w:val="16"/>
      </w:rPr>
      <w:t>硕士学位论文开题报告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