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360"/>
        <w:ind w:firstLine="0"/>
        <w:jc w:val="center"/>
      </w:pPr>
      <w:r>
        <w:rPr>
          <w:rFonts w:ascii="Times New Roman" w:hAnsi="Times New Roman" w:eastAsia="黑体"/>
          <w:b/>
          <w:sz w:val="44"/>
        </w:rPr>
        <w:t>学校：________________</w:t>
      </w:r>
    </w:p>
    <w:p>
      <w:pPr>
        <w:spacing w:line="240" w:lineRule="auto" w:after="120"/>
        <w:ind w:firstLine="0"/>
        <w:jc w:val="center"/>
      </w:pPr>
      <w:r>
        <w:rPr>
          <w:rFonts w:ascii="Times New Roman" w:hAnsi="Times New Roman" w:eastAsia="黑体"/>
          <w:b/>
          <w:sz w:val="72"/>
        </w:rPr>
        <w:t>硕士学位研究生</w:t>
      </w:r>
    </w:p>
    <w:p>
      <w:pPr>
        <w:spacing w:line="240" w:lineRule="auto" w:after="600"/>
        <w:ind w:firstLine="0"/>
        <w:jc w:val="center"/>
      </w:pPr>
      <w:r>
        <w:rPr>
          <w:rFonts w:ascii="Times New Roman" w:hAnsi="Times New Roman" w:eastAsia="黑体"/>
          <w:b/>
          <w:sz w:val="72"/>
        </w:rPr>
        <w:t>选题报告及文献综述</w:t>
      </w:r>
    </w:p>
    <w:p>
      <w:pPr>
        <w:spacing w:line="240" w:lineRule="auto"/>
        <w:ind w:firstLine="0"/>
      </w:pPr>
      <w:r>
        <w:rPr>
          <w:rFonts w:ascii="Times New Roman" w:hAnsi="Times New Roman" w:eastAsia="宋体"/>
          <w:sz w:val="24"/>
        </w:rPr>
      </w:r>
    </w:p>
    <w:p>
      <w:pPr>
        <w:spacing w:line="240" w:lineRule="auto" w:after="600"/>
        <w:ind w:firstLine="0"/>
        <w:jc w:val="center"/>
      </w:pPr>
      <w:r>
        <w:rPr>
          <w:rFonts w:ascii="Times New Roman" w:hAnsi="Times New Roman" w:eastAsia="宋体"/>
          <w:sz w:val="28"/>
        </w:rPr>
        <w:t>论文题目： 面向材料文献问答的条件可比RAG</w:t>
        <w:br/>
        <w:t>与小模型蒸馏方法研究</w:t>
      </w:r>
    </w:p>
    <w:p>
      <w:pPr>
        <w:spacing w:line="240" w:lineRule="auto"/>
        <w:ind w:firstLine="0"/>
      </w:pPr>
      <w:r>
        <w:rPr>
          <w:rFonts w:ascii="Times New Roman" w:hAnsi="Times New Roman" w:eastAsia="宋体"/>
          <w:sz w:val="24"/>
        </w:rPr>
      </w:r>
    </w:p>
    <w:p>
      <w:pPr>
        <w:spacing w:line="240" w:lineRule="auto" w:after="80"/>
        <w:ind w:firstLine="0"/>
        <w:jc w:val="center"/>
      </w:pPr>
      <w:r>
        <w:rPr>
          <w:rFonts w:ascii="Times New Roman" w:hAnsi="Times New Roman" w:eastAsia="宋体"/>
          <w:sz w:val="30"/>
        </w:rPr>
        <w:t>指导教师：            ＿＿＿＿＿＿＿＿</w:t>
      </w:r>
    </w:p>
    <w:p>
      <w:pPr>
        <w:spacing w:line="240" w:lineRule="auto" w:after="80"/>
        <w:ind w:firstLine="0"/>
        <w:jc w:val="center"/>
      </w:pPr>
      <w:r>
        <w:rPr>
          <w:rFonts w:ascii="Times New Roman" w:hAnsi="Times New Roman" w:eastAsia="宋体"/>
          <w:sz w:val="30"/>
        </w:rPr>
        <w:t>单    位：            ＿＿＿＿＿＿＿＿</w:t>
      </w:r>
    </w:p>
    <w:p>
      <w:pPr>
        <w:spacing w:line="240" w:lineRule="auto" w:after="80"/>
        <w:ind w:firstLine="0"/>
        <w:jc w:val="center"/>
      </w:pPr>
      <w:r>
        <w:rPr>
          <w:rFonts w:ascii="Times New Roman" w:hAnsi="Times New Roman" w:eastAsia="宋体"/>
          <w:sz w:val="30"/>
        </w:rPr>
        <w:t>姓    名：            ＿＿＿＿＿＿＿＿</w:t>
      </w:r>
    </w:p>
    <w:p>
      <w:pPr>
        <w:spacing w:line="240" w:lineRule="auto" w:after="80"/>
        <w:ind w:firstLine="0"/>
        <w:jc w:val="center"/>
      </w:pPr>
      <w:r>
        <w:rPr>
          <w:rFonts w:ascii="Times New Roman" w:hAnsi="Times New Roman" w:eastAsia="宋体"/>
          <w:sz w:val="30"/>
        </w:rPr>
        <w:t>学    号：            ＿＿＿＿＿＿＿＿</w:t>
      </w:r>
    </w:p>
    <w:p>
      <w:pPr>
        <w:spacing w:line="240" w:lineRule="auto" w:after="80"/>
        <w:ind w:firstLine="0"/>
        <w:jc w:val="center"/>
      </w:pPr>
      <w:r>
        <w:rPr>
          <w:rFonts w:ascii="Times New Roman" w:hAnsi="Times New Roman" w:eastAsia="宋体"/>
          <w:sz w:val="30"/>
        </w:rPr>
        <w:t>专业名称：            ＿＿＿＿＿＿＿＿</w:t>
      </w:r>
    </w:p>
    <w:p>
      <w:pPr>
        <w:spacing w:line="240" w:lineRule="auto" w:after="80"/>
        <w:ind w:firstLine="0"/>
        <w:jc w:val="center"/>
      </w:pPr>
      <w:r>
        <w:rPr>
          <w:rFonts w:ascii="Times New Roman" w:hAnsi="Times New Roman" w:eastAsia="宋体"/>
          <w:sz w:val="30"/>
        </w:rPr>
        <w:t>入学时间：            ＿＿＿＿＿＿＿＿</w:t>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0"/>
        <w:ind w:firstLine="0"/>
        <w:jc w:val="center"/>
      </w:pPr>
      <w:r>
        <w:rPr>
          <w:rFonts w:ascii="Times New Roman" w:hAnsi="Times New Roman" w:eastAsia="宋体"/>
          <w:sz w:val="30"/>
        </w:rPr>
        <w:t>填报日期：________________</w:t>
      </w:r>
    </w:p>
    <w:p>
      <w:r>
        <w:br w:type="page"/>
      </w:r>
    </w:p>
    <w:p>
      <w:pPr>
        <w:spacing w:after="240"/>
        <w:ind w:firstLine="0"/>
        <w:jc w:val="center"/>
      </w:pPr>
      <w:r>
        <w:rPr>
          <w:rFonts w:ascii="Times New Roman" w:hAnsi="Times New Roman" w:eastAsia="黑体"/>
          <w:b/>
          <w:sz w:val="30"/>
        </w:rPr>
        <w:t>目    录</w:t>
      </w:r>
    </w:p>
    <w:p>
      <w:pPr>
        <w:ind w:firstLine="0"/>
      </w:pPr>
      <w:r>
        <w:fldChar w:fldCharType="begin"/>
        <w:instrText xml:space="preserve"> TOC \o "1-3" \h \z \u </w:instrText>
        <w:fldChar w:fldCharType="separate"/>
      </w:r>
      <w:r>
        <w:rPr>
          <w:rFonts w:ascii="Times New Roman" w:hAnsi="Times New Roman" w:eastAsia="宋体"/>
          <w:sz w:val="24"/>
        </w:rPr>
        <w:t>（请在此处右键选择「更新域」生成目录）</w:t>
      </w:r>
      <w:r>
        <w:fldChar w:fldCharType="end"/>
      </w:r>
    </w:p>
    <w:p>
      <w:r>
        <w:br w:type="page"/>
      </w:r>
    </w:p>
    <w:p>
      <w:pPr>
        <w:pStyle w:val="Heading1"/>
      </w:pPr>
      <w:r>
        <w:rPr>
          <w:rFonts w:ascii="Times New Roman" w:hAnsi="Times New Roman" w:eastAsia="黑体"/>
          <w:b/>
          <w:sz w:val="30"/>
        </w:rPr>
        <w:t>1 选题背景及选题意义</w:t>
      </w:r>
    </w:p>
    <w:p>
      <w:pPr>
        <w:pStyle w:val="Heading2"/>
      </w:pPr>
      <w:r>
        <w:rPr>
          <w:rFonts w:ascii="Times New Roman" w:hAnsi="Times New Roman" w:eastAsia="黑体"/>
          <w:b/>
          <w:sz w:val="28"/>
        </w:rPr>
        <w:t>1.1 选题背景</w:t>
      </w:r>
    </w:p>
    <w:p>
      <w:pPr>
        <w:ind w:firstLine="480" w:firstLineChars="200"/>
        <w:spacing w:line="312" w:lineRule="auto"/>
      </w:pPr>
      <w:r>
        <w:rPr>
          <w:rFonts w:ascii="Times New Roman" w:hAnsi="Times New Roman" w:eastAsia="宋体"/>
          <w:b w:val="0"/>
          <w:sz w:val="24"/>
        </w:rPr>
        <w:t>材料文献为配方与实验方案准备提供重要依据，但文献中的性能数值通常附属于特定成分、样品状态与测试条件。一次查询得到主题相关的材料，并不意味着能够直接据此回答问题。以合金性能为例，同一成分在不同工艺或测试温度下的记录都可能被检索到；若回答只保留数值而丢失限定条件，就可能形成带有真实引用、却不支持当前主张的结论。</w:t>
      </w:r>
    </w:p>
    <w:p>
      <w:pPr>
        <w:ind w:firstLine="480" w:firstLineChars="200"/>
        <w:spacing w:line="312" w:lineRule="auto"/>
      </w:pPr>
      <w:r>
        <w:rPr>
          <w:rFonts w:ascii="Times New Roman" w:hAnsi="Times New Roman" w:eastAsia="宋体"/>
          <w:b w:val="0"/>
          <w:sz w:val="24"/>
        </w:rPr>
        <w:t>大语言模型已经进入材料辅助研究。LLMatDesign 将自然语言理解、材料修改和工具评价组成迭代流程</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b w:val="0"/>
          <w:sz w:val="24"/>
        </w:rPr>
        <w:t>，针对 BCC/B2 合金的偏好学习研究表明，开源模型可经任务适配提出候选成分</w:t>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。LLaMat、AlloyGPT 分别从领域适配和结构化建模角度探索材料模型</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，AlloyLens 则体现了文献与数据筛选、比较和交互分析的应用价值</w:t>
      </w:r>
      <w:r>
        <w:rPr>
          <w:rFonts w:ascii="Times New Roman" w:hAnsi="Times New Roman" w:eastAsia="宋体"/>
          <w:sz w:val="24"/>
          <w:vertAlign w:val="superscript"/>
        </w:rPr>
        <w:fldChar w:fldCharType="begin"/>
        <w:instrText xml:space="preserve"> REF _Ref_ref005 \h </w:instrText>
        <w:fldChar w:fldCharType="separate"/>
        <w:t xml:space="preserve">[5]</w:t>
        <w:fldChar w:fldCharType="end"/>
      </w:r>
      <w:r>
        <w:rPr>
          <w:rFonts w:ascii="Times New Roman" w:hAnsi="Times New Roman" w:eastAsia="宋体"/>
          <w:b w:val="0"/>
          <w:sz w:val="24"/>
        </w:rPr>
        <w:t>。这些工作为本课题提供基础，但其生成、预测或筛选成绩不能直接证明本地小模型已能可靠使用材料文献。</w:t>
      </w:r>
    </w:p>
    <w:p>
      <w:pPr>
        <w:ind w:firstLine="480" w:firstLineChars="200"/>
        <w:spacing w:line="312" w:lineRule="auto"/>
      </w:pPr>
      <w:r>
        <w:rPr>
          <w:rFonts w:ascii="Times New Roman" w:hAnsi="Times New Roman" w:eastAsia="宋体"/>
          <w:b w:val="0"/>
          <w:sz w:val="24"/>
        </w:rPr>
        <w:t>本课题保留“小模型、检索增强生成与蒸馏”的方向，把研究对象放在材料文献问答的两处工程决策：第一，在有限上下文预算下，哪些测量记录应以何种粒度进入模型，并保留哪些必要条件；第二，面对抽取结果中的疑点，有限核验时间应优先投入哪些共享字段或记录。两处决策共同影响进入模型的信息质量，但分别位于上下文装配与知识库维护阶段，应分开建模并检验增量。</w:t>
      </w:r>
    </w:p>
    <w:p>
      <w:pPr>
        <w:pStyle w:val="Heading2"/>
      </w:pPr>
      <w:r>
        <w:rPr>
          <w:rFonts w:ascii="Times New Roman" w:hAnsi="Times New Roman" w:eastAsia="黑体"/>
          <w:b/>
          <w:sz w:val="28"/>
        </w:rPr>
        <w:t>1.2 选题意义</w:t>
      </w:r>
    </w:p>
    <w:p>
      <w:pPr>
        <w:ind w:firstLine="480" w:firstLineChars="200"/>
        <w:spacing w:line="312" w:lineRule="auto"/>
      </w:pPr>
      <w:r>
        <w:rPr>
          <w:rFonts w:ascii="Times New Roman" w:hAnsi="Times New Roman" w:eastAsia="宋体"/>
          <w:b/>
          <w:sz w:val="24"/>
        </w:rPr>
        <w:t>应用层面，辅助文献查证与方案准备。</w:t>
      </w:r>
      <w:r>
        <w:rPr>
          <w:rFonts w:ascii="Times New Roman" w:hAnsi="Times New Roman" w:eastAsia="宋体"/>
          <w:b w:val="0"/>
          <w:sz w:val="24"/>
        </w:rPr>
        <w:t xml:space="preserve"> 研究者需要的不只是一个可能正确的数值，还包括它属于哪条测量记录、适用于何种条件、引用能否回到原文。小模型可在本地组织资料并生成解释，降低资料反复查找与整理的操作负担。系统拟交付有条件依据的回答及多步查询能力，不把提升真实合成成功率或缩短全部材料研发周期作为未经验证的承诺。</w:t>
      </w:r>
    </w:p>
    <w:p>
      <w:pPr>
        <w:ind w:firstLine="480" w:firstLineChars="200"/>
        <w:spacing w:line="312" w:lineRule="auto"/>
      </w:pPr>
      <w:r>
        <w:rPr>
          <w:rFonts w:ascii="Times New Roman" w:hAnsi="Times New Roman" w:eastAsia="宋体"/>
          <w:b/>
          <w:sz w:val="24"/>
        </w:rPr>
        <w:t>方法层面，联合处理证据价值、条件完整性与预算。</w:t>
      </w:r>
      <w:r>
        <w:rPr>
          <w:rFonts w:ascii="Times New Roman" w:hAnsi="Times New Roman" w:eastAsia="宋体"/>
          <w:b w:val="0"/>
          <w:sz w:val="24"/>
        </w:rPr>
        <w:t xml:space="preserve"> 常规片段排序不能保证性能数值与表头、表注或工艺说明一同保留；保留完整论文又可能挤占小模型上下文。提示压缩已有成熟基础</w:t>
      </w:r>
      <w:r>
        <w:rPr>
          <w:rFonts w:ascii="Times New Roman" w:hAnsi="Times New Roman" w:eastAsia="宋体"/>
          <w:sz w:val="24"/>
          <w:vertAlign w:val="superscript"/>
        </w:rPr>
        <w:fldChar w:fldCharType="begin"/>
        <w:instrText xml:space="preserve"> REF _Ref_ref035 \h </w:instrText>
        <w:fldChar w:fldCharType="separate"/>
        <w:t xml:space="preserve">[35]</w:t>
        <w:fldChar w:fldCharType="end"/>
      </w:r>
      <w:r>
        <w:rPr>
          <w:rFonts w:ascii="Times New Roman" w:hAnsi="Times New Roman" w:eastAsia="宋体"/>
          <w:b w:val="0"/>
          <w:sz w:val="24"/>
        </w:rPr>
        <w:t>，背包式上下文选择也已有前作</w:t>
      </w:r>
      <w:r>
        <w:rPr>
          <w:rFonts w:ascii="Times New Roman" w:hAnsi="Times New Roman" w:eastAsia="宋体"/>
          <w:sz w:val="24"/>
          <w:vertAlign w:val="superscript"/>
        </w:rPr>
        <w:fldChar w:fldCharType="begin"/>
        <w:instrText xml:space="preserve"> REF _Ref_ref036 \h </w:instrText>
        <w:fldChar w:fldCharType="separate"/>
        <w:t xml:space="preserve">[36]</w:t>
        <w:fldChar w:fldCharType="end"/>
      </w:r>
      <w:r>
        <w:rPr>
          <w:rFonts w:ascii="Times New Roman" w:hAnsi="Times New Roman" w:eastAsia="宋体"/>
          <w:b w:val="0"/>
          <w:sz w:val="24"/>
        </w:rPr>
        <w:t>。本课题拟在这些基础上显式表示记录依赖，联合选择记录版本和必需条件，并计算共享字段的实际装配成本，而不是只改变检索相似度或追加输出格式要求。</w:t>
      </w:r>
    </w:p>
    <w:p>
      <w:pPr>
        <w:ind w:firstLine="480" w:firstLineChars="200"/>
        <w:spacing w:line="312" w:lineRule="auto"/>
      </w:pPr>
      <w:r>
        <w:rPr>
          <w:rFonts w:ascii="Times New Roman" w:hAnsi="Times New Roman" w:eastAsia="宋体"/>
          <w:b/>
          <w:sz w:val="24"/>
        </w:rPr>
        <w:t>知识库维护层面，由逐条排队改为按影响选择核验动作。</w:t>
      </w:r>
      <w:r>
        <w:rPr>
          <w:rFonts w:ascii="Times New Roman" w:hAnsi="Times New Roman" w:eastAsia="宋体"/>
          <w:b w:val="0"/>
          <w:sz w:val="24"/>
        </w:rPr>
        <w:t xml:space="preserve"> 同一表注的温度抽错可能影响多条性能记录，逐条查看的成本与核验一次共享字段不同。已有研究提示抽取数据库需要核查</w:t>
      </w:r>
      <w:r>
        <w:rPr>
          <w:rFonts w:ascii="Times New Roman" w:hAnsi="Times New Roman" w:eastAsia="宋体"/>
          <w:sz w:val="24"/>
          <w:vertAlign w:val="superscript"/>
        </w:rPr>
        <w:fldChar w:fldCharType="begin"/>
        <w:instrText xml:space="preserve"> REF _Ref_ref024 \h </w:instrText>
        <w:fldChar w:fldCharType="separate"/>
        <w:t xml:space="preserve">[24]</w:t>
        <w:fldChar w:fldCharType="end"/>
      </w:r>
      <w:r>
        <w:rPr>
          <w:rFonts w:ascii="Times New Roman" w:hAnsi="Times New Roman" w:eastAsia="宋体"/>
          <w:sz w:val="24"/>
          <w:vertAlign w:val="superscript"/>
        </w:rPr>
        <w:fldChar w:fldCharType="begin"/>
        <w:instrText xml:space="preserve"> REF _Ref_ref025 \h </w:instrText>
        <w:fldChar w:fldCharType="separate"/>
        <w:t xml:space="preserve">[25]</w:t>
        <w:fldChar w:fldCharType="end"/>
      </w:r>
      <w:r>
        <w:rPr>
          <w:rFonts w:ascii="Times New Roman" w:hAnsi="Times New Roman" w:eastAsia="宋体"/>
          <w:b w:val="0"/>
          <w:sz w:val="24"/>
        </w:rPr>
        <w:t>，抽取置信度与复核预算也已有专门研究</w:t>
      </w:r>
      <w:r>
        <w:rPr>
          <w:rFonts w:ascii="Times New Roman" w:hAnsi="Times New Roman" w:eastAsia="宋体"/>
          <w:sz w:val="24"/>
          <w:vertAlign w:val="superscript"/>
        </w:rPr>
        <w:fldChar w:fldCharType="begin"/>
        <w:instrText xml:space="preserve"> REF _Ref_ref039 \h </w:instrText>
        <w:fldChar w:fldCharType="separate"/>
        <w:t xml:space="preserve">[39]</w:t>
        <w:fldChar w:fldCharType="end"/>
      </w:r>
      <w:r>
        <w:rPr>
          <w:rFonts w:ascii="Times New Roman" w:hAnsi="Times New Roman" w:eastAsia="宋体"/>
          <w:b w:val="0"/>
          <w:sz w:val="24"/>
        </w:rPr>
        <w:t>。本课题拟将记录级疑点、共享依赖和预计核验收益联系起来，用有限预算优先处理影响范围较大的疑点，再通过独立抽检估计误放行。</w:t>
      </w:r>
    </w:p>
    <w:p>
      <w:pPr>
        <w:ind w:firstLine="480" w:firstLineChars="200"/>
        <w:spacing w:line="312" w:lineRule="auto"/>
      </w:pPr>
      <w:r>
        <w:rPr>
          <w:rFonts w:ascii="Times New Roman" w:hAnsi="Times New Roman" w:eastAsia="宋体"/>
          <w:b/>
          <w:sz w:val="24"/>
        </w:rPr>
        <w:t>部署层面，形成可保存和可复现的本地工具。</w:t>
      </w:r>
      <w:r>
        <w:rPr>
          <w:rFonts w:ascii="Times New Roman" w:hAnsi="Times New Roman" w:eastAsia="宋体"/>
          <w:b w:val="0"/>
          <w:sz w:val="24"/>
        </w:rPr>
        <w:t xml:space="preserve"> 生成模型、嵌入、索引与检查组件在部署时均可在本地运行，保留资料与模型版本。该优势不等于本地一定比云端便宜，也不代替模型质量检验。研究重点仍是可运行方法：装配器、核验调度器和适配小模型共同接入一个可追溯的 RAG 系统；对照和误差分析只用于验证这些方法，不作为课题最终产出的替代品。</w:t>
      </w:r>
    </w:p>
    <w:p>
      <w:pPr>
        <w:pStyle w:val="Heading1"/>
      </w:pPr>
      <w:r>
        <w:rPr>
          <w:rFonts w:ascii="Times New Roman" w:hAnsi="Times New Roman" w:eastAsia="黑体"/>
          <w:b/>
          <w:sz w:val="30"/>
        </w:rPr>
        <w:t>2 文献综述</w:t>
      </w:r>
    </w:p>
    <w:p>
      <w:pPr>
        <w:pStyle w:val="Heading2"/>
      </w:pPr>
      <w:r>
        <w:rPr>
          <w:rFonts w:ascii="Times New Roman" w:hAnsi="Times New Roman" w:eastAsia="黑体"/>
          <w:b/>
          <w:sz w:val="28"/>
        </w:rPr>
        <w:t>2.1 材料领域模型与条件可比问答</w:t>
      </w:r>
    </w:p>
    <w:p>
      <w:pPr>
        <w:ind w:firstLine="480" w:firstLineChars="200"/>
        <w:spacing w:line="312" w:lineRule="auto"/>
      </w:pPr>
      <w:r>
        <w:rPr>
          <w:rFonts w:ascii="Times New Roman" w:hAnsi="Times New Roman" w:eastAsia="宋体"/>
          <w:b w:val="0"/>
          <w:sz w:val="24"/>
        </w:rPr>
        <w:t>材料领域模型已有不同技术路线。LLaMat 研究大规模领域适配</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b w:val="0"/>
          <w:sz w:val="24"/>
        </w:rPr>
        <w:t>；AlloyGPT 将组成与性质组织为结构化文本</w:t>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；LLMatDesign 和 BCC/B2 偏好生成研究把模型与外部评价结合</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。这些研究支持借用开放权重和任务适配，但不要求本课题复现通用材料基础模型预训练或购买商业热力学资源。MaterEval 通过知识增强偏好信号研究材料判断</w:t>
      </w:r>
      <w:r>
        <w:rPr>
          <w:rFonts w:ascii="Times New Roman" w:hAnsi="Times New Roman" w:eastAsia="宋体"/>
          <w:sz w:val="24"/>
          <w:vertAlign w:val="superscript"/>
        </w:rPr>
        <w:fldChar w:fldCharType="begin"/>
        <w:instrText xml:space="preserve"> REF _Ref_ref006 \h </w:instrText>
        <w:fldChar w:fldCharType="separate"/>
        <w:t xml:space="preserve">[6]</w:t>
        <w:fldChar w:fldCharType="end"/>
      </w:r>
      <w:r>
        <w:rPr>
          <w:rFonts w:ascii="Times New Roman" w:hAnsi="Times New Roman" w:eastAsia="宋体"/>
          <w:b w:val="0"/>
          <w:sz w:val="24"/>
        </w:rPr>
        <w:t>，说明教师与评价器也需要领域依据，不宜把模型认同当作材料事实。</w:t>
      </w:r>
    </w:p>
    <w:p>
      <w:pPr>
        <w:ind w:firstLine="480" w:firstLineChars="200"/>
        <w:spacing w:line="312" w:lineRule="auto"/>
      </w:pPr>
      <w:r>
        <w:rPr>
          <w:rFonts w:ascii="Times New Roman" w:hAnsi="Times New Roman" w:eastAsia="宋体"/>
          <w:b w:val="0"/>
          <w:sz w:val="24"/>
        </w:rPr>
        <w:t>材料文献记录的数据结构直接影响后续使用。MPEA 提供成分、工艺、机械性质与来源字段，是本课题可取得的结构化主线资源</w:t>
      </w:r>
      <w:r>
        <w:rPr>
          <w:rFonts w:ascii="Times New Roman" w:hAnsi="Times New Roman" w:eastAsia="宋体"/>
          <w:sz w:val="24"/>
          <w:vertAlign w:val="superscript"/>
        </w:rPr>
        <w:fldChar w:fldCharType="begin"/>
        <w:instrText xml:space="preserve"> REF _Ref_ref007 \h </w:instrText>
        <w:fldChar w:fldCharType="separate"/>
        <w:t xml:space="preserve">[7]</w:t>
        <w:fldChar w:fldCharType="end"/>
      </w:r>
      <w:r>
        <w:rPr>
          <w:rFonts w:ascii="Times New Roman" w:hAnsi="Times New Roman" w:eastAsia="宋体"/>
          <w:b w:val="0"/>
          <w:sz w:val="24"/>
        </w:rPr>
        <w:t>；真实论文补充库则需要解析、字段绑定与人工核验。INCAR-SLM 展示了领域微调与确定性参数检查器的分工</w:t>
      </w:r>
      <w:r>
        <w:rPr>
          <w:rFonts w:ascii="Times New Roman" w:hAnsi="Times New Roman" w:eastAsia="宋体"/>
          <w:sz w:val="24"/>
          <w:vertAlign w:val="superscript"/>
        </w:rPr>
        <w:fldChar w:fldCharType="begin"/>
        <w:instrText xml:space="preserve"> REF _Ref_ref040 \h </w:instrText>
        <w:fldChar w:fldCharType="separate"/>
        <w:t xml:space="preserve">[40]</w:t>
        <w:fldChar w:fldCharType="end"/>
      </w:r>
      <w:r>
        <w:rPr>
          <w:rFonts w:ascii="Times New Roman" w:hAnsi="Times New Roman" w:eastAsia="宋体"/>
          <w:b w:val="0"/>
          <w:sz w:val="24"/>
        </w:rPr>
        <w:t>，但其计算参数文件任务与材料观测支持型问答不同，不能移用其分数或模型规模结论。</w:t>
      </w:r>
    </w:p>
    <w:p>
      <w:pPr>
        <w:ind w:firstLine="480" w:firstLineChars="200"/>
        <w:spacing w:line="312" w:lineRule="auto"/>
      </w:pPr>
      <w:r>
        <w:rPr>
          <w:rFonts w:ascii="Times New Roman" w:hAnsi="Times New Roman" w:eastAsia="宋体"/>
          <w:b w:val="0"/>
          <w:sz w:val="24"/>
        </w:rPr>
        <w:t>本课题的基本对象是可追溯的测量记录，而不是可随意互换的主题片段。条件不同的记录仍可以用于比较或背景说明，但不能在未说明的情况下转为同一条件下的观测。测试温度接近只表示数值距离小，不能直接证明性质等价；相同粗工艺标签也不能保证热处理、晶粒或测试细节完全相同。</w:t>
      </w:r>
    </w:p>
    <w:p>
      <w:pPr>
        <w:pStyle w:val="Heading2"/>
      </w:pPr>
      <w:r>
        <w:rPr>
          <w:rFonts w:ascii="Times New Roman" w:hAnsi="Times New Roman" w:eastAsia="黑体"/>
          <w:b/>
          <w:sz w:val="28"/>
        </w:rPr>
        <w:t>2.2 小模型蒸馏与参数高效适配</w:t>
      </w:r>
    </w:p>
    <w:p>
      <w:pPr>
        <w:ind w:firstLine="480" w:firstLineChars="200"/>
        <w:spacing w:line="312" w:lineRule="auto"/>
      </w:pPr>
      <w:r>
        <w:rPr>
          <w:rFonts w:ascii="Times New Roman" w:hAnsi="Times New Roman" w:eastAsia="宋体"/>
          <w:b w:val="0"/>
          <w:sz w:val="24"/>
        </w:rPr>
        <w:t>知识蒸馏通过教师监督向更便于部署的学生传递任务能力</w:t>
      </w:r>
      <w:r>
        <w:rPr>
          <w:rFonts w:ascii="Times New Roman" w:hAnsi="Times New Roman" w:eastAsia="宋体"/>
          <w:sz w:val="24"/>
          <w:vertAlign w:val="superscript"/>
        </w:rPr>
        <w:fldChar w:fldCharType="begin"/>
        <w:instrText xml:space="preserve"> REF _Ref_ref008 \h </w:instrText>
        <w:fldChar w:fldCharType="separate"/>
        <w:t xml:space="preserve">[8]</w:t>
        <w:fldChar w:fldCharType="end"/>
      </w:r>
      <w:r>
        <w:rPr>
          <w:rFonts w:ascii="Times New Roman" w:hAnsi="Times New Roman" w:eastAsia="宋体"/>
          <w:b w:val="0"/>
          <w:sz w:val="24"/>
        </w:rPr>
        <w:t>。Distilling Step-by-Step 与 Orca 2 分别探索额外操作说明和适合小模型的解题策略</w:t>
      </w:r>
      <w:r>
        <w:rPr>
          <w:rFonts w:ascii="Times New Roman" w:hAnsi="Times New Roman" w:eastAsia="宋体"/>
          <w:sz w:val="24"/>
          <w:vertAlign w:val="superscript"/>
        </w:rPr>
        <w:fldChar w:fldCharType="begin"/>
        <w:instrText xml:space="preserve"> REF _Ref_ref009 \h </w:instrText>
        <w:fldChar w:fldCharType="separate"/>
        <w:t xml:space="preserve">[9]</w:t>
        <w:fldChar w:fldCharType="end"/>
      </w:r>
      <w:r>
        <w:rPr>
          <w:rFonts w:ascii="Times New Roman" w:hAnsi="Times New Roman" w:eastAsia="宋体"/>
          <w:sz w:val="24"/>
          <w:vertAlign w:val="superscript"/>
        </w:rPr>
        <w:fldChar w:fldCharType="begin"/>
        <w:instrText xml:space="preserve"> REF _Ref_ref010 \h </w:instrText>
        <w:fldChar w:fldCharType="separate"/>
        <w:t xml:space="preserve">[10]</w:t>
        <w:fldChar w:fldCharType="end"/>
      </w:r>
      <w:r>
        <w:rPr>
          <w:rFonts w:ascii="Times New Roman" w:hAnsi="Times New Roman" w:eastAsia="宋体"/>
          <w:b w:val="0"/>
          <w:sz w:val="24"/>
        </w:rPr>
        <w:t>，MiniLLM 讨论可访问教师分布时的优化</w:t>
      </w:r>
      <w:r>
        <w:rPr>
          <w:rFonts w:ascii="Times New Roman" w:hAnsi="Times New Roman" w:eastAsia="宋体"/>
          <w:sz w:val="24"/>
          <w:vertAlign w:val="superscript"/>
        </w:rPr>
        <w:fldChar w:fldCharType="begin"/>
        <w:instrText xml:space="preserve"> REF _Ref_ref011 \h </w:instrText>
        <w:fldChar w:fldCharType="separate"/>
        <w:t xml:space="preserve">[11]</w:t>
        <w:fldChar w:fldCharType="end"/>
      </w:r>
      <w:r>
        <w:rPr>
          <w:rFonts w:ascii="Times New Roman" w:hAnsi="Times New Roman" w:eastAsia="宋体"/>
          <w:b w:val="0"/>
          <w:sz w:val="24"/>
        </w:rPr>
        <w:t>。本课题主要使用教师文本示范进行序列级任务蒸馏，不假定可以取得全词表概率或教师内部隐含推理；教师示范含简短操作、来源与限制说明，科学事实仍需记录和人工依据支撑。</w:t>
      </w:r>
    </w:p>
    <w:p>
      <w:pPr>
        <w:ind w:firstLine="480" w:firstLineChars="200"/>
        <w:spacing w:line="312" w:lineRule="auto"/>
      </w:pPr>
      <w:r>
        <w:rPr>
          <w:rFonts w:ascii="Times New Roman" w:hAnsi="Times New Roman" w:eastAsia="宋体"/>
          <w:b w:val="0"/>
          <w:sz w:val="24"/>
        </w:rPr>
        <w:t>Self-Instruct 提供生成并过滤指令的基本思路</w:t>
      </w:r>
      <w:r>
        <w:rPr>
          <w:rFonts w:ascii="Times New Roman" w:hAnsi="Times New Roman" w:eastAsia="宋体"/>
          <w:sz w:val="24"/>
          <w:vertAlign w:val="superscript"/>
        </w:rPr>
        <w:fldChar w:fldCharType="begin"/>
        <w:instrText xml:space="preserve"> REF _Ref_ref012 \h </w:instrText>
        <w:fldChar w:fldCharType="separate"/>
        <w:t xml:space="preserve">[12]</w:t>
        <w:fldChar w:fldCharType="end"/>
      </w:r>
      <w:r>
        <w:rPr>
          <w:rFonts w:ascii="Times New Roman" w:hAnsi="Times New Roman" w:eastAsia="宋体"/>
          <w:b w:val="0"/>
          <w:sz w:val="24"/>
        </w:rPr>
        <w:t>。DEITA、LESS、D3 与 LASER 分别研究质量复杂度、梯度影响、多因素选择及分层专用评分</w:t>
      </w:r>
      <w:r>
        <w:rPr>
          <w:rFonts w:ascii="Times New Roman" w:hAnsi="Times New Roman" w:eastAsia="宋体"/>
          <w:sz w:val="24"/>
          <w:vertAlign w:val="superscript"/>
        </w:rPr>
        <w:fldChar w:fldCharType="begin"/>
        <w:instrText xml:space="preserve"> REF _Ref_ref014 \h </w:instrText>
        <w:fldChar w:fldCharType="separate"/>
        <w:t xml:space="preserve">[14]</w:t>
        <w:fldChar w:fldCharType="end"/>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。这些方法并非都以唯一答案为前提，不能笼统认定其在开放答案任务上失效。本课题不再以新教学选样算法为主贡献，而将它们作为构造与筛选示范的相关方法，选样收益不与上下文装配收益混为一谈。</w:t>
      </w:r>
    </w:p>
    <w:p>
      <w:pPr>
        <w:ind w:firstLine="480" w:firstLineChars="200"/>
        <w:spacing w:line="312" w:lineRule="auto"/>
      </w:pPr>
      <w:r>
        <w:rPr>
          <w:rFonts w:ascii="Times New Roman" w:hAnsi="Times New Roman" w:eastAsia="宋体"/>
          <w:b w:val="0"/>
          <w:sz w:val="24"/>
        </w:rPr>
        <w:t>LoRA 与 QLoRA 可降低适配参数量与显存开销</w:t>
      </w:r>
      <w:r>
        <w:rPr>
          <w:rFonts w:ascii="Times New Roman" w:hAnsi="Times New Roman" w:eastAsia="宋体"/>
          <w:sz w:val="24"/>
          <w:vertAlign w:val="superscript"/>
        </w:rPr>
        <w:fldChar w:fldCharType="begin"/>
        <w:instrText xml:space="preserve"> REF _Ref_ref019 \h </w:instrText>
        <w:fldChar w:fldCharType="separate"/>
        <w:t xml:space="preserve">[19]</w:t>
        <w:fldChar w:fldCharType="end"/>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b w:val="0"/>
          <w:sz w:val="24"/>
        </w:rPr>
        <w:t>。拟采用 Qwen3 等许可合适的 4 至 8B 级稠密底座</w:t>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，版本、上下文长度与训练预算在预实验后固定。基础模型许可与教师服务条款分别核验；不能因为权重可取得，就认定任意托管服务的输出都允许用于蒸馏。</w:t>
      </w:r>
    </w:p>
    <w:p>
      <w:pPr>
        <w:pStyle w:val="Heading2"/>
      </w:pPr>
      <w:r>
        <w:rPr>
          <w:rFonts w:ascii="Times New Roman" w:hAnsi="Times New Roman" w:eastAsia="黑体"/>
          <w:b/>
          <w:sz w:val="28"/>
        </w:rPr>
        <w:t>2.3 检索增强、条件组织与证据压缩</w:t>
      </w:r>
    </w:p>
    <w:p>
      <w:pPr>
        <w:ind w:firstLine="480" w:firstLineChars="200"/>
        <w:spacing w:line="312" w:lineRule="auto"/>
      </w:pPr>
      <w:r>
        <w:rPr>
          <w:rFonts w:ascii="Times New Roman" w:hAnsi="Times New Roman" w:eastAsia="宋体"/>
          <w:b w:val="0"/>
          <w:sz w:val="24"/>
        </w:rPr>
        <w:t>RAG 将生成模型与外部资料结合</w:t>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b w:val="0"/>
          <w:sz w:val="24"/>
        </w:rPr>
        <w:t>。RAFT 通过相关资料与干扰资料构造学习证据使用的任务</w:t>
      </w:r>
      <w:r>
        <w:rPr>
          <w:rFonts w:ascii="Times New Roman" w:hAnsi="Times New Roman" w:eastAsia="宋体"/>
          <w:sz w:val="24"/>
          <w:vertAlign w:val="superscript"/>
        </w:rPr>
        <w:fldChar w:fldCharType="begin"/>
        <w:instrText xml:space="preserve"> REF _Ref_ref018 \h </w:instrText>
        <w:fldChar w:fldCharType="separate"/>
        <w:t xml:space="preserve">[18]</w:t>
        <w:fldChar w:fldCharType="end"/>
      </w:r>
      <w:r>
        <w:rPr>
          <w:rFonts w:ascii="Times New Roman" w:hAnsi="Times New Roman" w:eastAsia="宋体"/>
          <w:b w:val="0"/>
          <w:sz w:val="24"/>
        </w:rPr>
        <w:t>，HalluGuard 研究小模型接地能力</w:t>
      </w:r>
      <w:r>
        <w:rPr>
          <w:rFonts w:ascii="Times New Roman" w:hAnsi="Times New Roman" w:eastAsia="宋体"/>
          <w:sz w:val="24"/>
          <w:vertAlign w:val="superscript"/>
        </w:rPr>
        <w:fldChar w:fldCharType="begin"/>
        <w:instrText xml:space="preserve"> REF _Ref_ref027 \h </w:instrText>
        <w:fldChar w:fldCharType="separate"/>
        <w:t xml:space="preserve">[27]</w:t>
        <w:fldChar w:fldCharType="end"/>
      </w:r>
      <w:r>
        <w:rPr>
          <w:rFonts w:ascii="Times New Roman" w:hAnsi="Times New Roman" w:eastAsia="宋体"/>
          <w:b w:val="0"/>
          <w:sz w:val="24"/>
        </w:rPr>
        <w:t>，DRAG 研究把大模型 RAG 行为迁移到小模型</w:t>
      </w:r>
      <w:r>
        <w:rPr>
          <w:rFonts w:ascii="Times New Roman" w:hAnsi="Times New Roman" w:eastAsia="宋体"/>
          <w:sz w:val="24"/>
          <w:vertAlign w:val="superscript"/>
        </w:rPr>
        <w:fldChar w:fldCharType="begin"/>
        <w:instrText xml:space="preserve"> REF _Ref_ref028 \h </w:instrText>
        <w:fldChar w:fldCharType="separate"/>
        <w:t xml:space="preserve">[28]</w:t>
        <w:fldChar w:fldCharType="end"/>
      </w:r>
      <w:r>
        <w:rPr>
          <w:rFonts w:ascii="Times New Roman" w:hAnsi="Times New Roman" w:eastAsia="宋体"/>
          <w:b w:val="0"/>
          <w:sz w:val="24"/>
        </w:rPr>
        <w:t>。这些研究说明训练证据使用能力已有前作，本课题不能把采用 SFT、加入引用或更换为小模型本身称为独创。</w:t>
      </w:r>
    </w:p>
    <w:p>
      <w:pPr>
        <w:ind w:firstLine="480" w:firstLineChars="200"/>
        <w:spacing w:line="312" w:lineRule="auto"/>
      </w:pPr>
      <w:r>
        <w:rPr>
          <w:rFonts w:ascii="Times New Roman" w:hAnsi="Times New Roman" w:eastAsia="宋体"/>
          <w:b w:val="0"/>
          <w:sz w:val="24"/>
        </w:rPr>
        <w:t>OG-RAG 与 EGT-KG 分别利用本体或类型化图结构组织检索信息</w:t>
      </w:r>
      <w:r>
        <w:rPr>
          <w:rFonts w:ascii="Times New Roman" w:hAnsi="Times New Roman" w:eastAsia="宋体"/>
          <w:sz w:val="24"/>
          <w:vertAlign w:val="superscript"/>
        </w:rPr>
        <w:fldChar w:fldCharType="begin"/>
        <w:instrText xml:space="preserve"> REF _Ref_ref026 \h </w:instrText>
        <w:fldChar w:fldCharType="separate"/>
        <w:t xml:space="preserve">[26]</w:t>
        <w:fldChar w:fldCharType="end"/>
      </w:r>
      <w:r>
        <w:rPr>
          <w:rFonts w:ascii="Times New Roman" w:hAnsi="Times New Roman" w:eastAsia="宋体"/>
          <w:sz w:val="24"/>
          <w:vertAlign w:val="superscript"/>
        </w:rPr>
        <w:fldChar w:fldCharType="begin"/>
        <w:instrText xml:space="preserve"> REF _Ref_ref029 \h </w:instrText>
        <w:fldChar w:fldCharType="separate"/>
        <w:t xml:space="preserve">[29]</w:t>
        <w:fldChar w:fldCharType="end"/>
      </w:r>
      <w:r>
        <w:rPr>
          <w:rFonts w:ascii="Times New Roman" w:hAnsi="Times New Roman" w:eastAsia="宋体"/>
          <w:b w:val="0"/>
          <w:sz w:val="24"/>
        </w:rPr>
        <w:t>，材料双源 RAG 研究展示了本地文献与结构化资源的整合</w:t>
      </w:r>
      <w:r>
        <w:rPr>
          <w:rFonts w:ascii="Times New Roman" w:hAnsi="Times New Roman" w:eastAsia="宋体"/>
          <w:sz w:val="24"/>
          <w:vertAlign w:val="superscript"/>
        </w:rPr>
        <w:fldChar w:fldCharType="begin"/>
        <w:instrText xml:space="preserve"> REF _Ref_ref030 \h </w:instrText>
        <w:fldChar w:fldCharType="separate"/>
        <w:t xml:space="preserve">[30]</w:t>
        <w:fldChar w:fldCharType="end"/>
      </w:r>
      <w:r>
        <w:rPr>
          <w:rFonts w:ascii="Times New Roman" w:hAnsi="Times New Roman" w:eastAsia="宋体"/>
          <w:b w:val="0"/>
          <w:sz w:val="24"/>
        </w:rPr>
        <w:t>。CGR 在生物医学问答中以查询条件激活或剪除图路径</w:t>
      </w:r>
      <w:r>
        <w:rPr>
          <w:rFonts w:ascii="Times New Roman" w:hAnsi="Times New Roman" w:eastAsia="宋体"/>
          <w:sz w:val="24"/>
          <w:vertAlign w:val="superscript"/>
        </w:rPr>
        <w:fldChar w:fldCharType="begin"/>
        <w:instrText xml:space="preserve"> REF _Ref_ref031 \h </w:instrText>
        <w:fldChar w:fldCharType="separate"/>
        <w:t xml:space="preserve">[31]</w:t>
        <w:fldChar w:fldCharType="end"/>
      </w:r>
      <w:r>
        <w:rPr>
          <w:rFonts w:ascii="Times New Roman" w:hAnsi="Times New Roman" w:eastAsia="宋体"/>
          <w:b w:val="0"/>
          <w:sz w:val="24"/>
        </w:rPr>
        <w:t>。知识图谱能够表达条件，不能以“实体关系无法表达实验条件”立论。本课题的拟改动是显式测量记录绑定、版本选择及共享依赖的成本模型，其效果应由相同字段条件下的强基线检验。</w:t>
      </w:r>
    </w:p>
    <w:p>
      <w:pPr>
        <w:ind w:firstLine="480" w:firstLineChars="200"/>
        <w:spacing w:line="312" w:lineRule="auto"/>
      </w:pPr>
      <w:r>
        <w:rPr>
          <w:rFonts w:ascii="Times New Roman" w:hAnsi="Times New Roman" w:eastAsia="宋体"/>
          <w:b w:val="0"/>
          <w:sz w:val="24"/>
        </w:rPr>
        <w:t>LLMLingua 已研究预算控制与提示压缩</w:t>
      </w:r>
      <w:r>
        <w:rPr>
          <w:rFonts w:ascii="Times New Roman" w:hAnsi="Times New Roman" w:eastAsia="宋体"/>
          <w:sz w:val="24"/>
          <w:vertAlign w:val="superscript"/>
        </w:rPr>
        <w:fldChar w:fldCharType="begin"/>
        <w:instrText xml:space="preserve"> REF _Ref_ref035 \h </w:instrText>
        <w:fldChar w:fldCharType="separate"/>
        <w:t xml:space="preserve">[35]</w:t>
        <w:fldChar w:fldCharType="end"/>
      </w:r>
      <w:r>
        <w:rPr>
          <w:rFonts w:ascii="Times New Roman" w:hAnsi="Times New Roman" w:eastAsia="宋体"/>
          <w:b w:val="0"/>
          <w:sz w:val="24"/>
        </w:rPr>
        <w:t>。Self-Correcting RAG 将上下文选择组织为多维多选择背包问题</w:t>
      </w:r>
      <w:r>
        <w:rPr>
          <w:rFonts w:ascii="Times New Roman" w:hAnsi="Times New Roman" w:eastAsia="宋体"/>
          <w:sz w:val="24"/>
          <w:vertAlign w:val="superscript"/>
        </w:rPr>
        <w:fldChar w:fldCharType="begin"/>
        <w:instrText xml:space="preserve"> REF _Ref_ref036 \h </w:instrText>
        <w:fldChar w:fldCharType="separate"/>
        <w:t xml:space="preserve">[36]</w:t>
        <w:fldChar w:fldCharType="end"/>
      </w:r>
      <w:r>
        <w:rPr>
          <w:rFonts w:ascii="Times New Roman" w:hAnsi="Times New Roman" w:eastAsia="宋体"/>
          <w:b w:val="0"/>
          <w:sz w:val="24"/>
        </w:rPr>
        <w:t>，其可访问版本将语义分组与预算约束结合。VITAL-RAG 在代码场景中按规范对象组织不同视图，并在对象与全局预算下装配上下文</w:t>
      </w:r>
      <w:r>
        <w:rPr>
          <w:rFonts w:ascii="Times New Roman" w:hAnsi="Times New Roman" w:eastAsia="宋体"/>
          <w:sz w:val="24"/>
          <w:vertAlign w:val="superscript"/>
        </w:rPr>
        <w:fldChar w:fldCharType="begin"/>
        <w:instrText xml:space="preserve"> REF _Ref_ref037 \h </w:instrText>
        <w:fldChar w:fldCharType="separate"/>
        <w:t xml:space="preserve">[37]</w:t>
        <w:fldChar w:fldCharType="end"/>
      </w:r>
      <w:r>
        <w:rPr>
          <w:rFonts w:ascii="Times New Roman" w:hAnsi="Times New Roman" w:eastAsia="宋体"/>
          <w:b w:val="0"/>
          <w:sz w:val="24"/>
        </w:rPr>
        <w:t>。这些都是多粒度选择的近邻，因此不能把“多版本”或“背包优化”单独作为创新；本课题强调一条测量记录对表头、表注、单位、工艺与来源的依赖闭包，以及在不破坏绑定的前提下复用共享信息。</w:t>
      </w:r>
    </w:p>
    <w:p>
      <w:pPr>
        <w:ind w:firstLine="480" w:firstLineChars="200"/>
        <w:spacing w:line="312" w:lineRule="auto"/>
      </w:pPr>
      <w:r>
        <w:rPr>
          <w:rFonts w:ascii="Times New Roman" w:hAnsi="Times New Roman" w:eastAsia="宋体"/>
          <w:b w:val="0"/>
          <w:sz w:val="24"/>
        </w:rPr>
        <w:t>压缩后的可读性与来源支持并不相同。Attribution–Compression Frontier 对不同压缩方式的自动评估提示，压缩文本内部的引用支持可能与原始来源支持分离</w:t>
      </w:r>
      <w:r>
        <w:rPr>
          <w:rFonts w:ascii="Times New Roman" w:hAnsi="Times New Roman" w:eastAsia="宋体"/>
          <w:sz w:val="24"/>
          <w:vertAlign w:val="superscript"/>
        </w:rPr>
        <w:fldChar w:fldCharType="begin"/>
        <w:instrText xml:space="preserve"> REF _Ref_ref038 \h </w:instrText>
        <w:fldChar w:fldCharType="separate"/>
        <w:t xml:space="preserve">[38]</w:t>
        <w:fldChar w:fldCharType="end"/>
      </w:r>
      <w:r>
        <w:rPr>
          <w:rFonts w:ascii="Times New Roman" w:hAnsi="Times New Roman" w:eastAsia="宋体"/>
          <w:b w:val="0"/>
          <w:sz w:val="24"/>
        </w:rPr>
        <w:t>；其研究也明确自动判分与人工校准的局限。本课题据此把来源定位和条件保留作为装配约束，但不引用该论文的自动分数充当本课题的预期错误率。</w:t>
      </w:r>
    </w:p>
    <w:p>
      <w:pPr>
        <w:ind w:firstLine="480" w:firstLineChars="200"/>
        <w:spacing w:line="312" w:lineRule="auto"/>
      </w:pPr>
      <w:r>
        <w:rPr>
          <w:rFonts w:ascii="Times New Roman" w:hAnsi="Times New Roman" w:eastAsia="宋体"/>
          <w:b w:val="0"/>
          <w:sz w:val="24"/>
        </w:rPr>
        <w:t>PICARD展示了解码时约束结构合法性的做法</w:t>
      </w:r>
      <w:r>
        <w:rPr>
          <w:rFonts w:ascii="Times New Roman" w:hAnsi="Times New Roman" w:eastAsia="宋体"/>
          <w:sz w:val="24"/>
          <w:vertAlign w:val="superscript"/>
        </w:rPr>
        <w:fldChar w:fldCharType="begin"/>
        <w:instrText xml:space="preserve"> REF _Ref_ref022 \h </w:instrText>
        <w:fldChar w:fldCharType="separate"/>
        <w:t xml:space="preserve">[22]</w:t>
        <w:fldChar w:fldCharType="end"/>
      </w:r>
      <w:r>
        <w:rPr>
          <w:rFonts w:ascii="Times New Roman" w:hAnsi="Times New Roman" w:eastAsia="宋体"/>
          <w:b w:val="0"/>
          <w:sz w:val="24"/>
        </w:rPr>
        <w:t>。本课题可借鉴结构输出检查，但语法合法不能保证数值、条件和来源相符；装配依赖与回答事实应独立核验。</w:t>
      </w:r>
    </w:p>
    <w:p>
      <w:pPr>
        <w:pStyle w:val="Heading2"/>
      </w:pPr>
      <w:r>
        <w:rPr>
          <w:rFonts w:ascii="Times New Roman" w:hAnsi="Times New Roman" w:eastAsia="黑体"/>
          <w:b/>
          <w:sz w:val="28"/>
        </w:rPr>
        <w:t>2.4 核验调度与优化基础</w:t>
      </w:r>
    </w:p>
    <w:p>
      <w:pPr>
        <w:ind w:firstLine="480" w:firstLineChars="200"/>
        <w:spacing w:line="312" w:lineRule="auto"/>
      </w:pPr>
      <w:r>
        <w:rPr>
          <w:rFonts w:ascii="Times New Roman" w:hAnsi="Times New Roman" w:eastAsia="宋体"/>
          <w:b w:val="0"/>
          <w:sz w:val="24"/>
        </w:rPr>
        <w:t>MinerU 为文献结构化提供解析入口</w:t>
      </w:r>
      <w:r>
        <w:rPr>
          <w:rFonts w:ascii="Times New Roman" w:hAnsi="Times New Roman" w:eastAsia="宋体"/>
          <w:sz w:val="24"/>
          <w:vertAlign w:val="superscript"/>
        </w:rPr>
        <w:fldChar w:fldCharType="begin"/>
        <w:instrText xml:space="preserve"> REF _Ref_ref023 \h </w:instrText>
        <w:fldChar w:fldCharType="separate"/>
        <w:t xml:space="preserve">[23]</w:t>
        <w:fldChar w:fldCharType="end"/>
      </w:r>
      <w:r>
        <w:rPr>
          <w:rFonts w:ascii="Times New Roman" w:hAnsi="Times New Roman" w:eastAsia="宋体"/>
          <w:b w:val="0"/>
          <w:sz w:val="24"/>
        </w:rPr>
        <w:t>，Grounded Verification 和 LitMOF 分别从推理核验和材料数据库核查说明检测与来源对照的重要性</w:t>
      </w:r>
      <w:r>
        <w:rPr>
          <w:rFonts w:ascii="Times New Roman" w:hAnsi="Times New Roman" w:eastAsia="宋体"/>
          <w:sz w:val="24"/>
          <w:vertAlign w:val="superscript"/>
        </w:rPr>
        <w:fldChar w:fldCharType="begin"/>
        <w:instrText xml:space="preserve"> REF _Ref_ref024 \h </w:instrText>
        <w:fldChar w:fldCharType="separate"/>
        <w:t xml:space="preserve">[24]</w:t>
        <w:fldChar w:fldCharType="end"/>
      </w:r>
      <w:r>
        <w:rPr>
          <w:rFonts w:ascii="Times New Roman" w:hAnsi="Times New Roman" w:eastAsia="宋体"/>
          <w:sz w:val="24"/>
          <w:vertAlign w:val="superscript"/>
        </w:rPr>
        <w:fldChar w:fldCharType="begin"/>
        <w:instrText xml:space="preserve"> REF _Ref_ref025 \h </w:instrText>
        <w:fldChar w:fldCharType="separate"/>
        <w:t xml:space="preserve">[25]</w:t>
        <w:fldChar w:fldCharType="end"/>
      </w:r>
      <w:r>
        <w:rPr>
          <w:rFonts w:ascii="Times New Roman" w:hAnsi="Times New Roman" w:eastAsia="宋体"/>
          <w:b w:val="0"/>
          <w:sz w:val="24"/>
        </w:rPr>
        <w:t>。其特定任务结论不能外推成所有材料记录都存在同样的错误比例。跨记录差异可生成疑点，未经原文和领域判断确认，不能直接标成抽取错误。</w:t>
      </w:r>
    </w:p>
    <w:p>
      <w:pPr>
        <w:ind w:firstLine="480" w:firstLineChars="200"/>
        <w:spacing w:line="312" w:lineRule="auto"/>
      </w:pPr>
      <w:r>
        <w:rPr>
          <w:rFonts w:ascii="Times New Roman" w:hAnsi="Times New Roman" w:eastAsia="宋体"/>
          <w:b w:val="0"/>
          <w:sz w:val="24"/>
        </w:rPr>
        <w:t>ActiveDP 研究主动学习与数据编程的结合</w:t>
      </w:r>
      <w:r>
        <w:rPr>
          <w:rFonts w:ascii="Times New Roman" w:hAnsi="Times New Roman" w:eastAsia="宋体"/>
          <w:sz w:val="24"/>
          <w:vertAlign w:val="superscript"/>
        </w:rPr>
        <w:fldChar w:fldCharType="begin"/>
        <w:instrText xml:space="preserve"> REF _Ref_ref032 \h </w:instrText>
        <w:fldChar w:fldCharType="separate"/>
        <w:t xml:space="preserve">[32]</w:t>
        <w:fldChar w:fldCharType="end"/>
      </w:r>
      <w:r>
        <w:rPr>
          <w:rFonts w:ascii="Times New Roman" w:hAnsi="Times New Roman" w:eastAsia="宋体"/>
          <w:b w:val="0"/>
          <w:sz w:val="24"/>
        </w:rPr>
        <w:t>，ConfBench 研究文档抽取置信度、校准和复核预算指标</w:t>
      </w:r>
      <w:r>
        <w:rPr>
          <w:rFonts w:ascii="Times New Roman" w:hAnsi="Times New Roman" w:eastAsia="宋体"/>
          <w:sz w:val="24"/>
          <w:vertAlign w:val="superscript"/>
        </w:rPr>
        <w:fldChar w:fldCharType="begin"/>
        <w:instrText xml:space="preserve"> REF _Ref_ref039 \h </w:instrText>
        <w:fldChar w:fldCharType="separate"/>
        <w:t xml:space="preserve">[39]</w:t>
        <w:fldChar w:fldCharType="end"/>
      </w:r>
      <w:r>
        <w:rPr>
          <w:rFonts w:ascii="Times New Roman" w:hAnsi="Times New Roman" w:eastAsia="宋体"/>
          <w:b w:val="0"/>
          <w:sz w:val="24"/>
        </w:rPr>
        <w:t>。这些工作说明弱标签、置信度筛选与有限人工预算已有方法基础；本课题拟改变的是核验对象与影响关系：由单条记录转为可能影响多条记录的共享文献字段和复核动作，不主张首次主动核验。</w:t>
      </w:r>
    </w:p>
    <w:p>
      <w:pPr>
        <w:ind w:firstLine="480" w:firstLineChars="200"/>
        <w:spacing w:line="312" w:lineRule="auto"/>
      </w:pPr>
      <w:r>
        <w:rPr>
          <w:rFonts w:ascii="Times New Roman" w:hAnsi="Times New Roman" w:eastAsia="宋体"/>
          <w:b w:val="0"/>
          <w:sz w:val="24"/>
        </w:rPr>
        <w:t>覆盖型集合优化具有成熟理论。Nemhauser 等给出特定基数约束下单调子模最大化的经典结果</w:t>
      </w:r>
      <w:r>
        <w:rPr>
          <w:rFonts w:ascii="Times New Roman" w:hAnsi="Times New Roman" w:eastAsia="宋体"/>
          <w:sz w:val="24"/>
          <w:vertAlign w:val="superscript"/>
        </w:rPr>
        <w:fldChar w:fldCharType="begin"/>
        <w:instrText xml:space="preserve"> REF _Ref_ref033 \h </w:instrText>
        <w:fldChar w:fldCharType="separate"/>
        <w:t xml:space="preserve">[33]</w:t>
        <w:fldChar w:fldCharType="end"/>
      </w:r>
      <w:r>
        <w:rPr>
          <w:rFonts w:ascii="Times New Roman" w:hAnsi="Times New Roman" w:eastAsia="宋体"/>
          <w:b w:val="0"/>
          <w:sz w:val="24"/>
        </w:rPr>
        <w:t>；S-RAG 将查询相关概念的加权覆盖用于 token 背包式上下文选择</w:t>
      </w:r>
      <w:r>
        <w:rPr>
          <w:rFonts w:ascii="Times New Roman" w:hAnsi="Times New Roman" w:eastAsia="宋体"/>
          <w:sz w:val="24"/>
          <w:vertAlign w:val="superscript"/>
        </w:rPr>
        <w:fldChar w:fldCharType="begin"/>
        <w:instrText xml:space="preserve"> REF _Ref_ref034 \h </w:instrText>
        <w:fldChar w:fldCharType="separate"/>
        <w:t xml:space="preserve">[34]</w:t>
        <w:fldChar w:fldCharType="end"/>
      </w:r>
      <w:r>
        <w:rPr>
          <w:rFonts w:ascii="Times New Roman" w:hAnsi="Times New Roman" w:eastAsia="宋体"/>
          <w:b w:val="0"/>
          <w:sz w:val="24"/>
        </w:rPr>
        <w:t>，所读 OpenReview 页面为投稿版本，不能写成已确认录用。标准覆盖目标可以作为本题代理，但加上版本互斥、共享依赖和实际预算后，不能直接沿用简单基数贪心的近似比。本课题将求解器与目标区分，数值检查只核验实现，不能替代数学证明或回答正确率验证。</w:t>
      </w:r>
    </w:p>
    <w:p>
      <w:pPr>
        <w:pStyle w:val="Heading1"/>
      </w:pPr>
      <w:r>
        <w:rPr>
          <w:rFonts w:ascii="Times New Roman" w:hAnsi="Times New Roman" w:eastAsia="黑体"/>
          <w:b/>
          <w:sz w:val="30"/>
        </w:rPr>
        <w:t>3 研究内容、研究方案、时间安排</w:t>
      </w:r>
    </w:p>
    <w:p>
      <w:pPr>
        <w:pStyle w:val="Heading2"/>
      </w:pPr>
      <w:r>
        <w:rPr>
          <w:rFonts w:ascii="Times New Roman" w:hAnsi="Times New Roman" w:eastAsia="黑体"/>
          <w:b/>
          <w:sz w:val="28"/>
        </w:rPr>
        <w:t>3.1 研究内容</w:t>
      </w:r>
    </w:p>
    <w:p>
      <w:pPr>
        <w:ind w:firstLine="480" w:firstLineChars="200"/>
        <w:spacing w:line="312" w:lineRule="auto"/>
      </w:pPr>
      <w:r>
        <w:rPr>
          <w:rFonts w:ascii="Times New Roman" w:hAnsi="Times New Roman" w:eastAsia="宋体"/>
          <w:b w:val="0"/>
          <w:sz w:val="24"/>
        </w:rPr>
        <w:t>研究以提升小模型材料文献问答的正确率为目标，包含两项拟方法改进和两项支撑工作。第一项为条件依赖闭包下的多粒度证据装配，解决“记录选进上下文但条件被压掉”的问题；第二项为下游影响驱动的核验调度，解决“有限人工时间按记录逐条分配效率低”的问题。支撑工作是基于完整证据包的小模型蒸馏，以及多步 Agent 原型。主要交付物是可运行模块和系统，不以构建通用基准或输出失效分析报告为课题定位。</w:t>
      </w:r>
    </w:p>
    <w:p>
      <w:pPr>
        <w:pStyle w:val="Heading3"/>
      </w:pPr>
      <w:r>
        <w:rPr>
          <w:rFonts w:ascii="Times New Roman" w:hAnsi="Times New Roman" w:eastAsia="黑体"/>
          <w:b/>
          <w:sz w:val="28"/>
        </w:rPr>
        <w:t>3.1.1 条件依赖闭包下的多粒度证据装配</w:t>
      </w:r>
    </w:p>
    <w:p>
      <w:pPr>
        <w:ind w:firstLine="480" w:firstLineChars="200"/>
        <w:spacing w:line="312" w:lineRule="auto"/>
      </w:pPr>
      <w:r>
        <w:rPr>
          <w:rFonts w:ascii="Times New Roman" w:hAnsi="Times New Roman" w:eastAsia="宋体"/>
          <w:b/>
          <w:sz w:val="24"/>
        </w:rPr>
        <w:t>问题与表示。</w:t>
      </w:r>
      <w:r>
        <w:rPr>
          <w:rFonts w:ascii="Times New Roman" w:hAnsi="Times New Roman" w:eastAsia="宋体"/>
          <w:b w:val="0"/>
          <w:sz w:val="24"/>
        </w:rPr>
        <w:t xml:space="preserve"> 文献性能数值、单位、温度、工艺和来源可能分散在表格、表注与正文。记录 i 的表示版本 ℓ 可为来源原片段、条件绑定摘录或紧凑记录卡。每个版本必须经核验，不能默认较短版本保留了原文的全部价值。用 D_iℓ 表示解释该版本所需的依赖闭包，包括直接依赖及其继续依赖的字段；依赖项通过文献、表格、样品与性质标识绑定，不按相同字符串跨记录推断。</w:t>
      </w:r>
    </w:p>
    <w:p>
      <w:pPr>
        <w:ind w:firstLine="480" w:firstLineChars="200"/>
        <w:spacing w:line="312" w:lineRule="auto"/>
      </w:pPr>
      <w:r>
        <w:rPr>
          <w:rFonts w:ascii="Times New Roman" w:hAnsi="Times New Roman" w:eastAsia="宋体"/>
          <w:b w:val="0"/>
          <w:sz w:val="24"/>
        </w:rPr>
        <w:t>固定一个查询，把其需回答的可核验事实拆为 j。例如比较两个温度下的屈服强度，可拆成两项测量事实，每项都包含完整成分、状态、指标和测试条件。令 u_iℓj 为版本 iℓ 对事实 j 的非负支持效用：</w:t>
      </w:r>
    </w:p>
    <w:p>
      <w:pPr>
        <w:ind w:firstLineChars="0" w:firstLine="0"/>
        <w:spacing w:line="312" w:lineRule="auto"/>
      </w:pPr>
      <w:r>
        <w:rPr>
          <w:rFonts w:ascii="Times New Roman" w:hAnsi="Times New Roman" w:eastAsia="宋体"/>
          <w:b w:val="0"/>
          <w:sz w:val="21"/>
        </w:rPr>
        <w:t>u_iℓj = h_iℓj · s_φ(q, j, iℓ)。　（1）</w:t>
      </w:r>
    </w:p>
    <w:p>
      <w:pPr>
        <w:ind w:firstLine="480" w:firstLineChars="200"/>
        <w:spacing w:line="312" w:lineRule="auto"/>
      </w:pPr>
      <w:r>
        <w:rPr>
          <w:rFonts w:ascii="Times New Roman" w:hAnsi="Times New Roman" w:eastAsia="宋体"/>
          <w:b w:val="0"/>
          <w:sz w:val="24"/>
        </w:rPr>
        <w:t>其中 h_iℓj 为硬准入标记；必要条件已知冲突、来源无法对应或关键条件未知时，不将其作为该数值主张的直接支持。s_φ 为冻结规则或经训练与开发核验的相关支持评分，不是材料科学真实性概率。它在版本及其依赖完整可见的前提下评定，使用的问题、指标和必要原文信息不能被几项覆盖度数值替代。测试答案不进入效用计算。背景证据另行标识和计费，不能绕过直接支持的限制。</w:t>
      </w:r>
    </w:p>
    <w:p>
      <w:pPr>
        <w:ind w:firstLine="480" w:firstLineChars="200"/>
        <w:spacing w:line="312" w:lineRule="auto"/>
      </w:pPr>
      <w:r>
        <w:rPr>
          <w:rFonts w:ascii="Times New Roman" w:hAnsi="Times New Roman" w:eastAsia="宋体"/>
          <w:b/>
          <w:sz w:val="24"/>
        </w:rPr>
        <w:t>联合选择模型。</w:t>
      </w:r>
      <w:r>
        <w:rPr>
          <w:rFonts w:ascii="Times New Roman" w:hAnsi="Times New Roman" w:eastAsia="宋体"/>
          <w:b w:val="0"/>
          <w:sz w:val="24"/>
        </w:rPr>
        <w:t xml:space="preserve"> 令 x_iℓ 为是否选择记录 i 的版本 ℓ，z_a 为依赖项 a 是否进入上下文，均为二元变量。主目标与约束为：</w:t>
      </w:r>
    </w:p>
    <w:p>
      <w:pPr>
        <w:ind w:firstLineChars="0" w:firstLine="0"/>
        <w:spacing w:line="312" w:lineRule="auto"/>
      </w:pPr>
      <w:r>
        <w:rPr>
          <w:rFonts w:ascii="Times New Roman" w:hAnsi="Times New Roman" w:eastAsia="宋体"/>
          <w:b w:val="0"/>
          <w:sz w:val="21"/>
        </w:rPr>
        <w:t>最大化 F(x) = Σ_j w_j max({u_iℓj : x_iℓ = 1} ∪ {0})。　（2）</w:t>
      </w:r>
    </w:p>
    <w:p>
      <w:pPr>
        <w:ind w:firstLineChars="0" w:firstLine="0"/>
        <w:spacing w:line="312" w:lineRule="auto"/>
      </w:pPr>
      <w:r>
        <w:rPr>
          <w:rFonts w:ascii="Times New Roman" w:hAnsi="Times New Roman" w:eastAsia="宋体"/>
          <w:b w:val="0"/>
          <w:sz w:val="21"/>
        </w:rPr>
        <w:t>Σ_ℓ x_iℓ ≤ 1；x_iℓ ≤ z_a，对每个 a ∈ D_iℓ。　（3）</w:t>
      </w:r>
    </w:p>
    <w:p>
      <w:pPr>
        <w:ind w:firstLineChars="0" w:firstLine="0"/>
        <w:spacing w:line="312" w:lineRule="auto"/>
      </w:pPr>
      <w:r>
        <w:rPr>
          <w:rFonts w:ascii="Times New Roman" w:hAnsi="Times New Roman" w:eastAsia="宋体"/>
          <w:b w:val="0"/>
          <w:sz w:val="21"/>
        </w:rPr>
        <w:t>Σ_iℓ c_iℓ x_iℓ + Σ_a d_a z_a ≤ B。　（4）</w:t>
      </w:r>
    </w:p>
    <w:p>
      <w:pPr>
        <w:ind w:firstLine="480" w:firstLineChars="200"/>
        <w:spacing w:line="312" w:lineRule="auto"/>
      </w:pPr>
      <w:r>
        <w:rPr>
          <w:rFonts w:ascii="Times New Roman" w:hAnsi="Times New Roman" w:eastAsia="宋体"/>
          <w:b w:val="0"/>
          <w:sz w:val="24"/>
        </w:rPr>
        <w:t>w_j 为预先固定并归一的需求权重，B 为预留系统提示、问题和输出空间后的证据预算。c_iℓ 为版本本体的token成本，d_a 为依赖块的token成本，本体与依赖内容不重复计费。共享表注只有在来源、作用范围和样品绑定已经确认时才复用一次，并为每条记录保留明确引用。压缩若丢失必需依赖，则该版本不具备直接支持资格，不能靠较低成本获选。</w:t>
      </w:r>
    </w:p>
    <w:p>
      <w:pPr>
        <w:ind w:firstLine="480" w:firstLineChars="200"/>
        <w:spacing w:line="312" w:lineRule="auto"/>
      </w:pPr>
      <w:r>
        <w:rPr>
          <w:rFonts w:ascii="Times New Roman" w:hAnsi="Times New Roman" w:eastAsia="宋体"/>
          <w:b w:val="0"/>
          <w:sz w:val="24"/>
        </w:rPr>
        <w:t>式（2）使重复材料不能反复累加同一事实的价值；式（3）保证选数值时同时选入必要条件；式（4）允许共享依赖的成本摊销。不同记录可分别支持不同事实，但不能把一条温度相符、一条工艺相符的记录拼成一条不存在的联合观测。精确点值查询不用区间长度作分母；只在问题明确允许、且协议核验的情况下作近似匹配，并保留真实观测条件，不将相近温度的性质改写成目标温度实测。</w:t>
      </w:r>
    </w:p>
    <w:p>
      <w:pPr>
        <w:ind w:firstLine="480" w:firstLineChars="200"/>
        <w:spacing w:line="312" w:lineRule="auto"/>
      </w:pPr>
      <w:r>
        <w:rPr>
          <w:rFonts w:ascii="Times New Roman" w:hAnsi="Times New Roman" w:eastAsia="宋体"/>
          <w:b/>
          <w:sz w:val="24"/>
        </w:rPr>
        <w:t>求解与运行。</w:t>
      </w:r>
      <w:r>
        <w:rPr>
          <w:rFonts w:ascii="Times New Roman" w:hAnsi="Times New Roman" w:eastAsia="宋体"/>
          <w:b w:val="0"/>
          <w:sz w:val="24"/>
        </w:rPr>
        <w:t xml:space="preserve"> 候选池先由固定检索器召回。小候选池使用整数规划或穷举作参考，明确线性化中事实到版本的支持分配；限时求解必须报告可行解、上界与缺口，不能把超时解称为最优。部署方案以边际效用除以新增闭包成本构造候选，再作有限版本替换与记录交换；新增成本只计尚未选入的依赖。候选窗口、时间上限、重排次数与交换次数在开发阶段冻结。</w:t>
      </w:r>
    </w:p>
    <w:p>
      <w:pPr>
        <w:ind w:firstLine="480" w:firstLineChars="200"/>
        <w:spacing w:line="312" w:lineRule="auto"/>
      </w:pPr>
      <w:r>
        <w:rPr>
          <w:rFonts w:ascii="Times New Roman" w:hAnsi="Times New Roman" w:eastAsia="宋体"/>
          <w:b w:val="0"/>
          <w:sz w:val="24"/>
        </w:rPr>
        <w:t>块成本的求和是规划口径，最终上下文用真实分词器完整复算，包含分隔符、记录引用与来源信息；超预算时退回较短的合法版本或重新选择并重验闭包，不直接从尾部截断条件。首次预处理成本、评分、搜索和修复均计入端到端耗时。有限搜索找不到完整证据包只表示预算内未找到，不等于库中无数据或材料无解。</w:t>
      </w:r>
    </w:p>
    <w:p>
      <w:pPr>
        <w:ind w:firstLine="480" w:firstLineChars="200"/>
        <w:spacing w:line="312" w:lineRule="auto"/>
      </w:pPr>
      <w:r>
        <w:rPr>
          <w:rFonts w:ascii="Times New Roman" w:hAnsi="Times New Roman" w:eastAsia="宋体"/>
          <w:b/>
          <w:sz w:val="24"/>
        </w:rPr>
        <w:t>性质与贡献边界。</w:t>
      </w:r>
      <w:r>
        <w:rPr>
          <w:rFonts w:ascii="Times New Roman" w:hAnsi="Times New Roman" w:eastAsia="宋体"/>
          <w:b w:val="0"/>
          <w:sz w:val="24"/>
        </w:rPr>
        <w:t xml:space="preserve"> 对固定非负 u，单独的加权最大覆盖目标具有单调与边际收益递减性质，因为加入一个版本的增益为各事实尚未被覆盖的正差值；这是已有覆盖结构，不主张新定理。版本互斥、共享闭包成本及额外约束改变了可行域，本课题不声称部署启发式必有 1−1/e 保证。拟增量是记录粒度、依赖关系与成本的联合计算，应以同字段的强基线和分项消融证明。</w:t>
      </w:r>
    </w:p>
    <w:p>
      <w:pPr>
        <w:pStyle w:val="Heading3"/>
      </w:pPr>
      <w:r>
        <w:rPr>
          <w:rFonts w:ascii="Times New Roman" w:hAnsi="Times New Roman" w:eastAsia="黑体"/>
          <w:b/>
          <w:sz w:val="28"/>
        </w:rPr>
        <w:t>3.1.2 下游影响驱动的核验调度</w:t>
      </w:r>
    </w:p>
    <w:p>
      <w:pPr>
        <w:ind w:firstLine="480" w:firstLineChars="200"/>
        <w:spacing w:line="312" w:lineRule="auto"/>
      </w:pPr>
      <w:r>
        <w:rPr>
          <w:rFonts w:ascii="Times New Roman" w:hAnsi="Times New Roman" w:eastAsia="宋体"/>
          <w:b/>
          <w:sz w:val="24"/>
        </w:rPr>
        <w:t>问题与核验单位。</w:t>
      </w:r>
      <w:r>
        <w:rPr>
          <w:rFonts w:ascii="Times New Roman" w:hAnsi="Times New Roman" w:eastAsia="宋体"/>
          <w:b w:val="0"/>
          <w:sz w:val="24"/>
        </w:rPr>
        <w:t xml:space="preserve"> 全文抽取结果既可能有单行错误，也可能有共享表头、表注或工艺段落的错误。一次核验共享单位可能帮助确认多条记录，其价值不能只按某一行的置信度衡量。核验动作 a 定义为查看特定来源位置、核对明确字段及其影响范围；不把“重新运行整个模型”与一次人工查看混成同成本动作。</w:t>
      </w:r>
    </w:p>
    <w:p>
      <w:pPr>
        <w:ind w:firstLine="480" w:firstLineChars="200"/>
        <w:spacing w:line="312" w:lineRule="auto"/>
      </w:pPr>
      <w:r>
        <w:rPr>
          <w:rFonts w:ascii="Times New Roman" w:hAnsi="Times New Roman" w:eastAsia="宋体"/>
          <w:b w:val="0"/>
          <w:sz w:val="24"/>
        </w:rPr>
        <w:t>令 p_i ∈ [0,1] 为记录 i 有误的估计，v_i ≥ 0 为其在冻结工作负载下的下游影响权重，r_ai ∈ [0,1] 为动作 a 对确认或处理该记录疑点的预计帮助，t_a &gt; 0 为动作时间。拟选择动作集合 A：</w:t>
      </w:r>
    </w:p>
    <w:p>
      <w:pPr>
        <w:ind w:firstLineChars="0" w:firstLine="0"/>
        <w:spacing w:line="312" w:lineRule="auto"/>
      </w:pPr>
      <w:r>
        <w:rPr>
          <w:rFonts w:ascii="Times New Roman" w:hAnsi="Times New Roman" w:eastAsia="宋体"/>
          <w:b w:val="0"/>
          <w:sz w:val="21"/>
        </w:rPr>
        <w:t>最大化 G(A) = Σ_i v_i p_i max({r_ai : a ∈ A} ∪ {0})。　（5）</w:t>
      </w:r>
    </w:p>
    <w:p>
      <w:pPr>
        <w:ind w:firstLineChars="0" w:firstLine="0"/>
        <w:spacing w:line="312" w:lineRule="auto"/>
      </w:pPr>
      <w:r>
        <w:rPr>
          <w:rFonts w:ascii="Times New Roman" w:hAnsi="Times New Roman" w:eastAsia="宋体"/>
          <w:b w:val="0"/>
          <w:sz w:val="21"/>
        </w:rPr>
        <w:t>Σ_{a∈A} t_a ≤ H。　（6）</w:t>
      </w:r>
    </w:p>
    <w:p>
      <w:pPr>
        <w:ind w:firstLine="480" w:firstLineChars="200"/>
        <w:spacing w:line="312" w:lineRule="auto"/>
      </w:pPr>
      <w:r>
        <w:rPr>
          <w:rFonts w:ascii="Times New Roman" w:hAnsi="Times New Roman" w:eastAsia="宋体"/>
          <w:b w:val="0"/>
          <w:sz w:val="24"/>
        </w:rPr>
        <w:t>H 为总核验预算扣除预留独立抽检后的调度预算，两部分成本分别记录。式（5）按共享依赖传播作用范围，用最大帮助避免同一疑点被重复计功；它是预计核验收益代理，不是已经证明的真实错误减少量，也没有假定所有动作效果独立。两次动作只有联合才有帮助的互补情况，首版将其定义为一个具有完整成本的复合动作；不把不可加协同偷算为单步收益。</w:t>
      </w:r>
    </w:p>
    <w:p>
      <w:pPr>
        <w:ind w:firstLine="480" w:firstLineChars="200"/>
        <w:spacing w:line="312" w:lineRule="auto"/>
      </w:pPr>
      <w:r>
        <w:rPr>
          <w:rFonts w:ascii="Times New Roman" w:hAnsi="Times New Roman" w:eastAsia="宋体"/>
          <w:b/>
          <w:sz w:val="24"/>
        </w:rPr>
        <w:t>参数来源。</w:t>
      </w:r>
      <w:r>
        <w:rPr>
          <w:rFonts w:ascii="Times New Roman" w:hAnsi="Times New Roman" w:eastAsia="宋体"/>
          <w:b w:val="0"/>
          <w:sz w:val="24"/>
        </w:rPr>
        <w:t xml:space="preserve"> p_i 由训练资料内的人工核验记录与抽取特征估计并在开发集校准；置信度不能直接当真值。v_i 来自预先指定的查询类型与依赖关系，不使用最终测试题的答案、错误或查询日志反向调度。r_ai 首版优先表示动作能核验哪些字段及记录的结构化范围，效果大小经先导复核估计；t_a 由真实计时估计，先导资料缺失时只能报告计划，不能给出节省比例。</w:t>
      </w:r>
    </w:p>
    <w:p>
      <w:pPr>
        <w:ind w:firstLine="480" w:firstLineChars="200"/>
        <w:spacing w:line="312" w:lineRule="auto"/>
      </w:pPr>
      <w:r>
        <w:rPr>
          <w:rFonts w:ascii="Times New Roman" w:hAnsi="Times New Roman" w:eastAsia="宋体"/>
          <w:b w:val="0"/>
          <w:sz w:val="24"/>
        </w:rPr>
        <w:t>用边际 G 增量与时间成本比构造动作队列，并作有限交换。核验后更新已知字段与未决疑点，产生新队列；更新规则预先固定。结构可解析、数值异常或跨记录差异只能触发检查，不能自动证明原文错误。来源未知、比例基准不明等状态进入待核验区，不擅自归一或补值；同一粗条件下不同性质值可能来自未记录状态差异，不能未经核实删除。</w:t>
      </w:r>
    </w:p>
    <w:p>
      <w:pPr>
        <w:ind w:firstLine="480" w:firstLineChars="200"/>
        <w:spacing w:line="312" w:lineRule="auto"/>
      </w:pPr>
      <w:r>
        <w:rPr>
          <w:rFonts w:ascii="Times New Roman" w:hAnsi="Times New Roman" w:eastAsia="宋体"/>
          <w:b/>
          <w:sz w:val="24"/>
        </w:rPr>
        <w:t>漏检与收益验证。</w:t>
      </w:r>
      <w:r>
        <w:rPr>
          <w:rFonts w:ascii="Times New Roman" w:hAnsi="Times New Roman" w:eastAsia="宋体"/>
          <w:b w:val="0"/>
          <w:sz w:val="24"/>
        </w:rPr>
        <w:t xml:space="preserve"> 总核验预算中预留独立抽检部分，再确定式（6）的H，随机抽取自动通过和低优先级记录，不仅查看调度器选中的疑点。按抽样概率估计误放行并报告区间，不能用选择性复核样本外推全库错误率。核验动作同时报告“发现问题”与“确认修复”，不能以疑点数冒充检出真错。对照逐条不确定性、随机动作和只看影响范围等方法，按同等真实核验时间比较真实错误处理及后续问答表现。</w:t>
      </w:r>
    </w:p>
    <w:p>
      <w:pPr>
        <w:ind w:firstLine="480" w:firstLineChars="200"/>
        <w:spacing w:line="312" w:lineRule="auto"/>
      </w:pPr>
      <w:r>
        <w:rPr>
          <w:rFonts w:ascii="Times New Roman" w:hAnsi="Times New Roman" w:eastAsia="宋体"/>
          <w:b w:val="0"/>
          <w:sz w:val="24"/>
        </w:rPr>
        <w:t>这项方法是可执行的队列调度与状态更新模块，既可用于维护知识库，也可用于构造可靠教学资料。它沿用已有预算覆盖与人工复核思想，拟改动集中在字段依赖、动作粒度和下游影响，不能靠写出一个加权式就预设创新成立。</w:t>
      </w:r>
    </w:p>
    <w:p>
      <w:pPr>
        <w:pStyle w:val="Heading3"/>
      </w:pPr>
      <w:r>
        <w:rPr>
          <w:rFonts w:ascii="Times New Roman" w:hAnsi="Times New Roman" w:eastAsia="黑体"/>
          <w:b/>
          <w:sz w:val="28"/>
        </w:rPr>
        <w:t>3.1.3 基于完整证据包的小模型任务蒸馏</w:t>
      </w:r>
    </w:p>
    <w:p>
      <w:pPr>
        <w:ind w:firstLine="480" w:firstLineChars="200"/>
        <w:spacing w:line="312" w:lineRule="auto"/>
      </w:pPr>
      <w:r>
        <w:rPr>
          <w:rFonts w:ascii="Times New Roman" w:hAnsi="Times New Roman" w:eastAsia="宋体"/>
          <w:b w:val="0"/>
          <w:sz w:val="24"/>
        </w:rPr>
        <w:t>学生学习需求解析、引用选择、缺口说明和有依据的答案，而非替规则重新计算温度或替调度器猜测未知字段。教师只在训练资料上示范，操作说明简短、可核验，必要时经人工修正；模型同意、长推理和多次生成一致都不构成科学真值。</w:t>
      </w:r>
    </w:p>
    <w:p>
      <w:pPr>
        <w:ind w:firstLine="480" w:firstLineChars="200"/>
        <w:spacing w:line="312" w:lineRule="auto"/>
      </w:pPr>
      <w:r>
        <w:rPr>
          <w:rFonts w:ascii="Times New Roman" w:hAnsi="Times New Roman" w:eastAsia="宋体"/>
          <w:b w:val="0"/>
          <w:sz w:val="24"/>
        </w:rPr>
        <w:t>统一以经核验的完整证据包构造SFT，监督目标为：</w:t>
      </w:r>
    </w:p>
    <w:p>
      <w:pPr>
        <w:ind w:firstLineChars="0" w:firstLine="0"/>
        <w:spacing w:line="312" w:lineRule="auto"/>
      </w:pPr>
      <w:r>
        <w:rPr>
          <w:rFonts w:ascii="Times New Roman" w:hAnsi="Times New Roman" w:eastAsia="宋体"/>
          <w:b w:val="0"/>
          <w:sz w:val="21"/>
        </w:rPr>
        <w:t>L_SFT(θ) = −Σ_(q,E,y) Σ_t log π_θ(y_t | q, E, y_&lt;t)。　（7）</w:t>
      </w:r>
    </w:p>
    <w:p>
      <w:pPr>
        <w:ind w:firstLine="480" w:firstLineChars="200"/>
        <w:spacing w:line="312" w:lineRule="auto"/>
      </w:pPr>
      <w:r>
        <w:rPr>
          <w:rFonts w:ascii="Times New Roman" w:hAnsi="Times New Roman" w:eastAsia="宋体"/>
          <w:b w:val="0"/>
          <w:sz w:val="24"/>
        </w:rPr>
        <w:t>E 包含版本文本、可回溯的依赖引用与缺失状态；y 包含答案、所用记录和适用范围。已知冲突记录可作为负例或背景，但不能被教师写成直接支持。示范同时覆盖可以回答、证据不足和输入需澄清，防止模型只学会一律保守。若只改变问题条件会改变正确证据，可从真实记录构造配对练习；其作用通过普通SFT与同数据配对训练比较，不在本轮同时新增独立偏好优化主线。</w:t>
      </w:r>
    </w:p>
    <w:p>
      <w:pPr>
        <w:ind w:firstLine="480" w:firstLineChars="200"/>
        <w:spacing w:line="312" w:lineRule="auto"/>
      </w:pPr>
      <w:r>
        <w:rPr>
          <w:rFonts w:ascii="Times New Roman" w:hAnsi="Times New Roman" w:eastAsia="宋体"/>
          <w:b w:val="0"/>
          <w:sz w:val="24"/>
        </w:rPr>
        <w:t>装配器用冻结的评分与数据结构工作，小模型依据装配结果回答。先固定同一学生比较装配方法，再固定装配器比较底座、常规证据SFT和本课题示范SFT，避免把工具收益全部算成蒸馏收益。少量结构化特征即可完成的评分任务须与简单分类器或规则对照，不为了使用大模型而增加不必要训练。</w:t>
      </w:r>
    </w:p>
    <w:p>
      <w:pPr>
        <w:pStyle w:val="Heading3"/>
      </w:pPr>
      <w:r>
        <w:rPr>
          <w:rFonts w:ascii="Times New Roman" w:hAnsi="Times New Roman" w:eastAsia="黑体"/>
          <w:b/>
          <w:sz w:val="28"/>
        </w:rPr>
        <w:t>3.1.4 本地 RAG 与多步 Agent 验证载体</w:t>
      </w:r>
    </w:p>
    <w:p>
      <w:pPr>
        <w:ind w:firstLine="480" w:firstLineChars="200"/>
        <w:spacing w:line="312" w:lineRule="auto"/>
      </w:pPr>
      <w:r>
        <w:rPr>
          <w:rFonts w:ascii="Times New Roman" w:hAnsi="Times New Roman" w:eastAsia="宋体"/>
          <w:b w:val="0"/>
          <w:sz w:val="24"/>
        </w:rPr>
        <w:t>原型整合资料管理、核验调度、检索、证据装配和小模型回答。主任务可用单轮问答验证；多步 Agent 用于检验条件补充后的重新查询和预算受限下的证据更新，不宣称单轮无法检验任何冲突处置，也不将执行器本身另算算法创新。</w:t>
      </w:r>
    </w:p>
    <w:p>
      <w:pPr>
        <w:ind w:firstLine="480" w:firstLineChars="200"/>
        <w:spacing w:line="312" w:lineRule="auto"/>
      </w:pPr>
      <w:r>
        <w:rPr>
          <w:rFonts w:ascii="Times New Roman" w:hAnsi="Times New Roman" w:eastAsia="宋体"/>
          <w:b w:val="0"/>
          <w:sz w:val="24"/>
        </w:rPr>
        <w:t>固定查询、条件核对、证据装配、澄清和终止等动作，预设最大轮次与总token预算；不得未经用户同意修改其目标成分、工艺或容许范围。核验调度是后台维护模块，不能让测试中人工即时纠正答案而不计成本。若研究运行时查证，则所有方法共享同样查证动作与预算，并单列结果。</w:t>
      </w:r>
    </w:p>
    <w:p>
      <w:pPr>
        <w:ind w:firstLine="480" w:firstLineChars="200"/>
        <w:spacing w:line="312" w:lineRule="auto"/>
      </w:pPr>
      <w:r>
        <w:rPr>
          <w:rFonts w:ascii="Times New Roman" w:hAnsi="Times New Roman" w:eastAsia="宋体"/>
          <w:b w:val="0"/>
          <w:sz w:val="24"/>
        </w:rPr>
        <w:t>逐轮保存问题条件、候选记录、版本与依赖、装配成本、模型引用和动作依据。用户补充要求后重新计算资格与证据包，不沿用已经失配的旧答案。模型、嵌入和索引本地运行，资料版本、分词器和工具版本可冻结。最终交付可运行方法与原型，评价仅服务于验证这些方法。</w:t>
      </w:r>
    </w:p>
    <w:p>
      <w:pPr>
        <w:pStyle w:val="Heading2"/>
      </w:pPr>
      <w:r>
        <w:rPr>
          <w:rFonts w:ascii="Times New Roman" w:hAnsi="Times New Roman" w:eastAsia="黑体"/>
          <w:b/>
          <w:sz w:val="28"/>
        </w:rPr>
        <w:t>3.2 研究方案</w:t>
      </w:r>
    </w:p>
    <w:p>
      <w:pPr>
        <w:ind w:firstLine="480" w:firstLineChars="200"/>
        <w:spacing w:line="312" w:lineRule="auto"/>
      </w:pPr>
      <w:r>
        <w:rPr>
          <w:rFonts w:ascii="Times New Roman" w:hAnsi="Times New Roman" w:eastAsia="宋体"/>
          <w:b/>
          <w:sz w:val="24"/>
        </w:rPr>
        <w:t>（一）拟创新点及其证据要求</w:t>
      </w:r>
    </w:p>
    <w:p>
      <w:pPr>
        <w:ind w:firstLine="480" w:firstLineChars="200"/>
        <w:spacing w:line="312" w:lineRule="auto"/>
      </w:pPr>
      <w:r>
        <w:rPr>
          <w:rFonts w:ascii="Times New Roman" w:hAnsi="Times New Roman" w:eastAsia="宋体"/>
          <w:b/>
          <w:sz w:val="24"/>
        </w:rPr>
        <w:t>拟创新点一：条件依赖闭包下的多粒度证据装配。</w:t>
      </w:r>
      <w:r>
        <w:rPr>
          <w:rFonts w:ascii="Times New Roman" w:hAnsi="Times New Roman" w:eastAsia="宋体"/>
          <w:b w:val="0"/>
          <w:sz w:val="24"/>
        </w:rPr>
        <w:t xml:space="preserve"> 在成熟压缩与预算选择框架</w:t>
      </w:r>
      <w:r>
        <w:rPr>
          <w:rFonts w:ascii="Times New Roman" w:hAnsi="Times New Roman" w:eastAsia="宋体"/>
          <w:sz w:val="24"/>
          <w:vertAlign w:val="superscript"/>
        </w:rPr>
        <w:fldChar w:fldCharType="begin"/>
        <w:instrText xml:space="preserve"> REF _Ref_ref035 \h </w:instrText>
        <w:fldChar w:fldCharType="separate"/>
        <w:t xml:space="preserve">[35]</w:t>
        <w:fldChar w:fldCharType="end"/>
      </w:r>
      <w:r>
        <w:rPr>
          <w:rFonts w:ascii="Times New Roman" w:hAnsi="Times New Roman" w:eastAsia="宋体"/>
          <w:sz w:val="24"/>
          <w:vertAlign w:val="superscript"/>
        </w:rPr>
        <w:fldChar w:fldCharType="begin"/>
        <w:instrText xml:space="preserve"> REF _Ref_ref036 \h </w:instrText>
        <w:fldChar w:fldCharType="separate"/>
        <w:t xml:space="preserve">[36]</w:t>
        <w:fldChar w:fldCharType="end"/>
      </w:r>
      <w:r>
        <w:rPr>
          <w:rFonts w:ascii="Times New Roman" w:hAnsi="Times New Roman" w:eastAsia="宋体"/>
          <w:sz w:val="24"/>
          <w:vertAlign w:val="superscript"/>
        </w:rPr>
        <w:fldChar w:fldCharType="begin"/>
        <w:instrText xml:space="preserve"> REF _Ref_ref037 \h </w:instrText>
        <w:fldChar w:fldCharType="separate"/>
        <w:t xml:space="preserve">[37]</w:t>
        <w:fldChar w:fldCharType="end"/>
      </w:r>
      <w:r>
        <w:rPr>
          <w:rFonts w:ascii="Times New Roman" w:hAnsi="Times New Roman" w:eastAsia="宋体"/>
          <w:b w:val="0"/>
          <w:sz w:val="24"/>
        </w:rPr>
        <w:t>上，将独立片段选择改为测量记录表示、必需依赖及共享成本的联合选择。通过式（1）至（4）显式限定支持资格、版本互斥和条件保留，研究在相同token预算下是否减少上下文中的条件丢失与错引。创新主张不建立在图谱无法表达条件或首次采用背包之上，而是上述记录计算改造的可测增量。</w:t>
      </w:r>
    </w:p>
    <w:p>
      <w:pPr>
        <w:ind w:firstLine="480" w:firstLineChars="200"/>
        <w:spacing w:line="312" w:lineRule="auto"/>
      </w:pPr>
      <w:r>
        <w:rPr>
          <w:rFonts w:ascii="Times New Roman" w:hAnsi="Times New Roman" w:eastAsia="宋体"/>
          <w:b/>
          <w:sz w:val="24"/>
        </w:rPr>
        <w:t>拟创新点二：下游影响驱动的核验调度。</w:t>
      </w:r>
      <w:r>
        <w:rPr>
          <w:rFonts w:ascii="Times New Roman" w:hAnsi="Times New Roman" w:eastAsia="宋体"/>
          <w:b w:val="0"/>
          <w:sz w:val="24"/>
        </w:rPr>
        <w:t xml:space="preserve"> 在主动标注和置信度复核基础上</w:t>
      </w:r>
      <w:r>
        <w:rPr>
          <w:rFonts w:ascii="Times New Roman" w:hAnsi="Times New Roman" w:eastAsia="宋体"/>
          <w:sz w:val="24"/>
          <w:vertAlign w:val="superscript"/>
        </w:rPr>
        <w:fldChar w:fldCharType="begin"/>
        <w:instrText xml:space="preserve"> REF _Ref_ref032 \h </w:instrText>
        <w:fldChar w:fldCharType="separate"/>
        <w:t xml:space="preserve">[32]</w:t>
        <w:fldChar w:fldCharType="end"/>
      </w:r>
      <w:r>
        <w:rPr>
          <w:rFonts w:ascii="Times New Roman" w:hAnsi="Times New Roman" w:eastAsia="宋体"/>
          <w:sz w:val="24"/>
          <w:vertAlign w:val="superscript"/>
        </w:rPr>
        <w:fldChar w:fldCharType="begin"/>
        <w:instrText xml:space="preserve"> REF _Ref_ref039 \h </w:instrText>
        <w:fldChar w:fldCharType="separate"/>
        <w:t xml:space="preserve">[39]</w:t>
        <w:fldChar w:fldCharType="end"/>
      </w:r>
      <w:r>
        <w:rPr>
          <w:rFonts w:ascii="Times New Roman" w:hAnsi="Times New Roman" w:eastAsia="宋体"/>
          <w:b w:val="0"/>
          <w:sz w:val="24"/>
        </w:rPr>
        <w:t>，将逐条记录复核改为共享字段及其影响记录集合上的动作选择，以式（5）（6）联合考虑预计错误、下游影响、重复收益和实际耗时。需证明收益并非仅来自更多人工或选择性报告疑点；最终指标包括真实错误处理和独立问答变化，而不只是代理目标增加。</w:t>
      </w:r>
    </w:p>
    <w:p>
      <w:pPr>
        <w:ind w:firstLine="480" w:firstLineChars="200"/>
        <w:spacing w:line="312" w:lineRule="auto"/>
      </w:pPr>
      <w:r>
        <w:rPr>
          <w:rFonts w:ascii="Times New Roman" w:hAnsi="Times New Roman" w:eastAsia="宋体"/>
          <w:b w:val="0"/>
          <w:sz w:val="24"/>
        </w:rPr>
        <w:t>两项方法分别作用于运行时上下文和建库维护，采用可替换接口。先分别固定另一项以测单项增量，再作有无装配、有无调度的交叉对照；不能在一次实验同时换知识库、提示、模型和预算后归因。蒸馏与Agent是支撑，算法思想和优化框架已有基础，拟贡献是针对材料记录依赖的具体实现改进，不预写优于所有前作或保证学位达标。</w:t>
      </w:r>
    </w:p>
    <w:p>
      <w:pPr>
        <w:ind w:firstLine="480" w:firstLineChars="200"/>
        <w:spacing w:line="312" w:lineRule="auto"/>
      </w:pPr>
      <w:r>
        <w:rPr>
          <w:rFonts w:ascii="Times New Roman" w:hAnsi="Times New Roman" w:eastAsia="宋体"/>
          <w:b/>
          <w:sz w:val="24"/>
        </w:rPr>
        <w:t>（二）数据与可用资源</w:t>
      </w:r>
    </w:p>
    <w:p>
      <w:pPr>
        <w:ind w:firstLine="480" w:firstLineChars="200"/>
        <w:spacing w:line="312" w:lineRule="auto"/>
      </w:pPr>
      <w:r>
        <w:rPr>
          <w:rFonts w:ascii="Times New Roman" w:hAnsi="Times New Roman" w:eastAsia="宋体"/>
          <w:b w:val="0"/>
          <w:sz w:val="24"/>
        </w:rPr>
        <w:t>固定主线MPEA CSV版本为 d31e2510cccc3fb9e79d43ad62652f64ef8c2c5e，SHA-256为 c5504d93fd324d1be26cf814d0694ee9ee95578d68a0b38aba6813b939fa2c5d。已有静态统计为1545条记录、630种规范成分、265个DOI。按YS或HV为有限数、测试温度为有限数且工艺非空筛选，得到1205条；再要求试验类型非空为1062条。这只是字段口径，不等于完整硬度条件或最终问答量。</w:t>
      </w:r>
    </w:p>
    <w:tbl>
      <w:tblPr>
        <w:tblStyle w:val="TableGrid"/>
        <w:tblW w:type="auto" w:w="0"/>
        <w:tblLook w:firstColumn="1" w:firstRow="1" w:lastColumn="0" w:lastRow="0" w:noHBand="0" w:noVBand="1" w:val="04A0"/>
      </w:tblPr>
      <w:tblGrid>
        <w:gridCol w:w="2771"/>
        <w:gridCol w:w="2771"/>
        <w:gridCol w:w="2771"/>
      </w:tblGrid>
      <w:tr>
        <w:trPr>
          <w:tblHeader/>
          <w:cantSplit/>
        </w:trPr>
        <w:tc>
          <w:tcPr>
            <w:tcW w:type="dxa" w:w="2771"/>
          </w:tcPr>
          <w:p>
            <w:pPr>
              <w:spacing w:line="240" w:lineRule="auto"/>
              <w:ind w:firstLine="0"/>
            </w:pPr>
            <w:r>
              <w:rPr>
                <w:rFonts w:ascii="Times New Roman" w:hAnsi="Times New Roman" w:eastAsia="黑体"/>
                <w:b/>
                <w:sz w:val="21"/>
              </w:rPr>
              <w:t>数据层</w:t>
            </w:r>
          </w:p>
        </w:tc>
        <w:tc>
          <w:tcPr>
            <w:tcW w:type="dxa" w:w="2771"/>
          </w:tcPr>
          <w:p>
            <w:pPr>
              <w:spacing w:line="240" w:lineRule="auto"/>
              <w:ind w:firstLine="0"/>
            </w:pPr>
            <w:r>
              <w:rPr>
                <w:rFonts w:ascii="Times New Roman" w:hAnsi="Times New Roman" w:eastAsia="黑体"/>
                <w:b/>
                <w:sz w:val="21"/>
              </w:rPr>
              <w:t>当前已核实信息</w:t>
            </w:r>
          </w:p>
        </w:tc>
        <w:tc>
          <w:tcPr>
            <w:tcW w:type="dxa" w:w="2771"/>
          </w:tcPr>
          <w:p>
            <w:pPr>
              <w:spacing w:line="240" w:lineRule="auto"/>
              <w:ind w:firstLine="0"/>
            </w:pPr>
            <w:r>
              <w:rPr>
                <w:rFonts w:ascii="Times New Roman" w:hAnsi="Times New Roman" w:eastAsia="黑体"/>
                <w:b/>
                <w:sz w:val="21"/>
              </w:rPr>
              <w:t>用于本题的边界</w:t>
            </w:r>
          </w:p>
        </w:tc>
      </w:tr>
      <w:tr>
        <w:trPr>
          <w:cantSplit/>
        </w:trPr>
        <w:tc>
          <w:tcPr>
            <w:tcW w:type="dxa" w:w="2771"/>
          </w:tcPr>
          <w:p>
            <w:pPr>
              <w:spacing w:line="240" w:lineRule="auto"/>
              <w:ind w:firstLine="0"/>
            </w:pPr>
            <w:r>
              <w:rPr>
                <w:rFonts w:ascii="Times New Roman" w:hAnsi="Times New Roman" w:eastAsia="宋体"/>
                <w:sz w:val="21"/>
              </w:rPr>
              <w:t>MPEA全资料</w:t>
            </w:r>
          </w:p>
        </w:tc>
        <w:tc>
          <w:tcPr>
            <w:tcW w:type="dxa" w:w="2771"/>
          </w:tcPr>
          <w:p>
            <w:pPr>
              <w:spacing w:line="240" w:lineRule="auto"/>
              <w:ind w:firstLine="0"/>
            </w:pPr>
            <w:r>
              <w:rPr>
                <w:rFonts w:ascii="Times New Roman" w:hAnsi="Times New Roman" w:eastAsia="宋体"/>
                <w:sz w:val="21"/>
              </w:rPr>
              <w:t>1545条、630成分、265 DOI</w:t>
            </w:r>
          </w:p>
        </w:tc>
        <w:tc>
          <w:tcPr>
            <w:tcW w:type="dxa" w:w="2771"/>
          </w:tcPr>
          <w:p>
            <w:pPr>
              <w:spacing w:line="240" w:lineRule="auto"/>
              <w:ind w:firstLine="0"/>
            </w:pPr>
            <w:r>
              <w:rPr>
                <w:rFonts w:ascii="Times New Roman" w:hAnsi="Times New Roman" w:eastAsia="宋体"/>
                <w:sz w:val="21"/>
              </w:rPr>
              <w:t>主线记录与条件绑定；不是完整原文</w:t>
            </w:r>
          </w:p>
        </w:tc>
      </w:tr>
      <w:tr>
        <w:trPr>
          <w:cantSplit/>
        </w:trPr>
        <w:tc>
          <w:tcPr>
            <w:tcW w:type="dxa" w:w="2771"/>
          </w:tcPr>
          <w:p>
            <w:pPr>
              <w:spacing w:line="240" w:lineRule="auto"/>
              <w:ind w:firstLine="0"/>
            </w:pPr>
            <w:r>
              <w:rPr>
                <w:rFonts w:ascii="Times New Roman" w:hAnsi="Times New Roman" w:eastAsia="宋体"/>
                <w:sz w:val="21"/>
              </w:rPr>
              <w:t>YS或HV＋温度＋工艺</w:t>
            </w:r>
          </w:p>
        </w:tc>
        <w:tc>
          <w:tcPr>
            <w:tcW w:type="dxa" w:w="2771"/>
          </w:tcPr>
          <w:p>
            <w:pPr>
              <w:spacing w:line="240" w:lineRule="auto"/>
              <w:ind w:firstLine="0"/>
            </w:pPr>
            <w:r>
              <w:rPr>
                <w:rFonts w:ascii="Times New Roman" w:hAnsi="Times New Roman" w:eastAsia="宋体"/>
                <w:sz w:val="21"/>
              </w:rPr>
              <w:t>1205条</w:t>
            </w:r>
          </w:p>
        </w:tc>
        <w:tc>
          <w:tcPr>
            <w:tcW w:type="dxa" w:w="2771"/>
          </w:tcPr>
          <w:p>
            <w:pPr>
              <w:spacing w:line="240" w:lineRule="auto"/>
              <w:ind w:firstLine="0"/>
            </w:pPr>
            <w:r>
              <w:rPr>
                <w:rFonts w:ascii="Times New Roman" w:hAnsi="Times New Roman" w:eastAsia="宋体"/>
                <w:sz w:val="21"/>
              </w:rPr>
              <w:t>性质类型分开，缺试验类型不能默认补值</w:t>
            </w:r>
          </w:p>
        </w:tc>
      </w:tr>
      <w:tr>
        <w:trPr>
          <w:cantSplit/>
        </w:trPr>
        <w:tc>
          <w:tcPr>
            <w:tcW w:type="dxa" w:w="2771"/>
          </w:tcPr>
          <w:p>
            <w:pPr>
              <w:spacing w:line="240" w:lineRule="auto"/>
              <w:ind w:firstLine="0"/>
            </w:pPr>
            <w:r>
              <w:rPr>
                <w:rFonts w:ascii="Times New Roman" w:hAnsi="Times New Roman" w:eastAsia="宋体"/>
                <w:sz w:val="21"/>
              </w:rPr>
              <w:t>再要求试验类型</w:t>
            </w:r>
          </w:p>
        </w:tc>
        <w:tc>
          <w:tcPr>
            <w:tcW w:type="dxa" w:w="2771"/>
          </w:tcPr>
          <w:p>
            <w:pPr>
              <w:spacing w:line="240" w:lineRule="auto"/>
              <w:ind w:firstLine="0"/>
            </w:pPr>
            <w:r>
              <w:rPr>
                <w:rFonts w:ascii="Times New Roman" w:hAnsi="Times New Roman" w:eastAsia="宋体"/>
                <w:sz w:val="21"/>
              </w:rPr>
              <w:t>1062条</w:t>
            </w:r>
          </w:p>
        </w:tc>
        <w:tc>
          <w:tcPr>
            <w:tcW w:type="dxa" w:w="2771"/>
          </w:tcPr>
          <w:p>
            <w:pPr>
              <w:spacing w:line="240" w:lineRule="auto"/>
              <w:ind w:firstLine="0"/>
            </w:pPr>
            <w:r>
              <w:rPr>
                <w:rFonts w:ascii="Times New Roman" w:hAnsi="Times New Roman" w:eastAsia="宋体"/>
                <w:sz w:val="21"/>
              </w:rPr>
              <w:t>可作为先导载体，不能称完整实验条件</w:t>
            </w:r>
          </w:p>
        </w:tc>
      </w:tr>
      <w:tr>
        <w:trPr>
          <w:cantSplit/>
        </w:trPr>
        <w:tc>
          <w:tcPr>
            <w:tcW w:type="dxa" w:w="2771"/>
          </w:tcPr>
          <w:p>
            <w:pPr>
              <w:spacing w:line="240" w:lineRule="auto"/>
              <w:ind w:firstLine="0"/>
            </w:pPr>
            <w:r>
              <w:rPr>
                <w:rFonts w:ascii="Times New Roman" w:hAnsi="Times New Roman" w:eastAsia="宋体"/>
                <w:sz w:val="21"/>
              </w:rPr>
              <w:t>全文材料语料</w:t>
            </w:r>
          </w:p>
        </w:tc>
        <w:tc>
          <w:tcPr>
            <w:tcW w:type="dxa" w:w="2771"/>
          </w:tcPr>
          <w:p>
            <w:pPr>
              <w:spacing w:line="240" w:lineRule="auto"/>
              <w:ind w:firstLine="0"/>
            </w:pPr>
            <w:r>
              <w:rPr>
                <w:rFonts w:ascii="Times New Roman" w:hAnsi="Times New Roman" w:eastAsia="宋体"/>
                <w:sz w:val="21"/>
              </w:rPr>
              <w:t>用户提供约两万篇的背景</w:t>
            </w:r>
          </w:p>
        </w:tc>
        <w:tc>
          <w:tcPr>
            <w:tcW w:type="dxa" w:w="2771"/>
          </w:tcPr>
          <w:p>
            <w:pPr>
              <w:spacing w:line="240" w:lineRule="auto"/>
              <w:ind w:firstLine="0"/>
            </w:pPr>
            <w:r>
              <w:rPr>
                <w:rFonts w:ascii="Times New Roman" w:hAnsi="Times New Roman" w:eastAsia="宋体"/>
                <w:sz w:val="21"/>
              </w:rPr>
              <w:t>位于其他机器，尚未核验覆盖、授权与抽取成功率</w:t>
            </w:r>
          </w:p>
        </w:tc>
      </w:tr>
      <w:tr>
        <w:trPr>
          <w:cantSplit/>
        </w:trPr>
        <w:tc>
          <w:tcPr>
            <w:tcW w:type="dxa" w:w="2771"/>
          </w:tcPr>
          <w:p>
            <w:pPr>
              <w:spacing w:line="240" w:lineRule="auto"/>
              <w:ind w:firstLine="0"/>
            </w:pPr>
            <w:r>
              <w:rPr>
                <w:rFonts w:ascii="Times New Roman" w:hAnsi="Times New Roman" w:eastAsia="宋体"/>
                <w:sz w:val="21"/>
              </w:rPr>
              <w:t>人工核验与动作计时</w:t>
            </w:r>
          </w:p>
        </w:tc>
        <w:tc>
          <w:tcPr>
            <w:tcW w:type="dxa" w:w="2771"/>
          </w:tcPr>
          <w:p>
            <w:pPr>
              <w:spacing w:line="240" w:lineRule="auto"/>
              <w:ind w:firstLine="0"/>
            </w:pPr>
            <w:r>
              <w:rPr>
                <w:rFonts w:ascii="Times New Roman" w:hAnsi="Times New Roman" w:eastAsia="宋体"/>
                <w:sz w:val="21"/>
              </w:rPr>
              <w:t>尚未构造</w:t>
            </w:r>
          </w:p>
        </w:tc>
        <w:tc>
          <w:tcPr>
            <w:tcW w:type="dxa" w:w="2771"/>
          </w:tcPr>
          <w:p>
            <w:pPr>
              <w:spacing w:line="240" w:lineRule="auto"/>
              <w:ind w:firstLine="0"/>
            </w:pPr>
            <w:r>
              <w:rPr>
                <w:rFonts w:ascii="Times New Roman" w:hAnsi="Times New Roman" w:eastAsia="宋体"/>
                <w:sz w:val="21"/>
              </w:rPr>
              <w:t>调度参数与真实收益须先导取得</w:t>
            </w:r>
          </w:p>
        </w:tc>
      </w:tr>
    </w:tbl>
    <w:p>
      <w:pPr>
        <w:spacing w:line="240" w:lineRule="auto"/>
        <w:ind w:firstLine="0"/>
      </w:pPr>
      <w:r>
        <w:rPr>
          <w:rFonts w:ascii="Times New Roman" w:hAnsi="Times New Roman" w:eastAsia="宋体"/>
          <w:sz w:val="12"/>
        </w:rPr>
      </w:r>
    </w:p>
    <w:p>
      <w:pPr>
        <w:ind w:firstLine="480" w:firstLineChars="200"/>
        <w:spacing w:line="312" w:lineRule="auto"/>
      </w:pPr>
      <w:r>
        <w:rPr>
          <w:rFonts w:ascii="Times New Roman" w:hAnsi="Times New Roman" w:eastAsia="宋体"/>
          <w:b w:val="0"/>
          <w:sz w:val="24"/>
        </w:rPr>
        <w:t>温度、工艺和试验类型的存在不证明所有性质共享同一测试条件；T/C不能自动作为硬度测试方式。热处理、硬度载荷与保载时间没有可直接使用的完整独立字段，须原文核验后扩展。公式相对系数先确认基准再规范化，不以原始系数不和为100判错；CAST、ANNEAL和WROUGHT不强制排成统一工序距离。</w:t>
      </w:r>
    </w:p>
    <w:p>
      <w:pPr>
        <w:ind w:firstLine="480" w:firstLineChars="200"/>
        <w:spacing w:line="312" w:lineRule="auto"/>
      </w:pPr>
      <w:r>
        <w:rPr>
          <w:rFonts w:ascii="Times New Roman" w:hAnsi="Times New Roman" w:eastAsia="宋体"/>
          <w:b w:val="0"/>
          <w:sz w:val="24"/>
        </w:rPr>
        <w:t>同成分全组合的8857对记录和温度或工艺字符串不同的7452对可复现，但后者包含缺失字段，不能全部称已知冲突。旧稿温差接近配对与粗条件内数值差异，不再用作可用证据或抽取错误的真值依据。判定对、问答题、独立来源与核验动作是不同计数单位；同记录改写不增加独立材料知识。是否有干扰也不决定题目是否条件敏感，精确温度查询即使没有干扰仍属条件敏感题。</w:t>
      </w:r>
    </w:p>
    <w:p>
      <w:pPr>
        <w:ind w:firstLine="480" w:firstLineChars="200"/>
        <w:spacing w:line="312" w:lineRule="auto"/>
      </w:pPr>
      <w:r>
        <w:rPr>
          <w:rFonts w:ascii="Times New Roman" w:hAnsi="Times New Roman" w:eastAsia="宋体"/>
          <w:b w:val="0"/>
          <w:sz w:val="24"/>
        </w:rPr>
        <w:t>MPEA可先验证记录卡、同字段多粒度装配和来源留出问答；人工构造字段丢失或复制依赖只作受控场景，明确标注，不能冒称真实PDF噪声。涉及共享表头、表注和核验节时的工程结论，必须有获准原文及真实核验记录。全文库先抽取小批分层样本，核对实验与计算来源、样品绑定、表格和条件字段，再决定扩量，不按篇数推算可用率或处理天数。</w:t>
      </w:r>
    </w:p>
    <w:p>
      <w:pPr>
        <w:ind w:firstLine="480" w:firstLineChars="200"/>
        <w:spacing w:line="312" w:lineRule="auto"/>
      </w:pPr>
      <w:r>
        <w:rPr>
          <w:rFonts w:ascii="Times New Roman" w:hAnsi="Times New Roman" w:eastAsia="宋体"/>
          <w:b w:val="0"/>
          <w:sz w:val="24"/>
        </w:rPr>
        <w:t>若全文管线失败，保留结构化记录上的装配主实验；第二项仅报告已获原文范围的先导，不把未验证的调度节时列为既得成果。教学数量受来源和质量限制，先按数百项规划，不为填满训练预算复制同记录。数据集与模型许可、来源论文使用权和教师服务条款分别核验。</w:t>
      </w:r>
    </w:p>
    <w:p>
      <w:pPr>
        <w:ind w:firstLine="480" w:firstLineChars="200"/>
        <w:spacing w:line="312" w:lineRule="auto"/>
      </w:pPr>
      <w:r>
        <w:rPr>
          <w:rFonts w:ascii="Times New Roman" w:hAnsi="Times New Roman" w:eastAsia="宋体"/>
          <w:b/>
          <w:sz w:val="24"/>
        </w:rPr>
        <w:t>（三）数据身份、参数估计与公平对照</w:t>
      </w:r>
    </w:p>
    <w:p>
      <w:pPr>
        <w:ind w:firstLine="480" w:firstLineChars="200"/>
        <w:spacing w:line="312" w:lineRule="auto"/>
      </w:pPr>
      <w:r>
        <w:rPr>
          <w:rFonts w:ascii="Times New Roman" w:hAnsi="Times New Roman" w:eastAsia="宋体"/>
          <w:b w:val="0"/>
          <w:sz w:val="24"/>
        </w:rPr>
        <w:t>先规范DOI、完整重复记录、成分与样品标识，再建立来源关联组。至少保证同论文、同记录及其派生版本不跨区；同成分留出作为更严格压力设置。训练、开发与测试按组划分，首个可行划分及构造协议在模型运行前冻结，记录实际组数与有效任务，而不是按总记录数直接乘比例承诺测试充分。</w:t>
      </w:r>
    </w:p>
    <w:p>
      <w:pPr>
        <w:ind w:firstLine="480" w:firstLineChars="200"/>
        <w:spacing w:line="312" w:lineRule="auto"/>
      </w:pPr>
      <w:r>
        <w:rPr>
          <w:rFonts w:ascii="Times New Roman" w:hAnsi="Times New Roman" w:eastAsia="宋体"/>
          <w:b w:val="0"/>
          <w:sz w:val="24"/>
        </w:rPr>
        <w:t>核验参数、支持评分和教师示范只从训练资料生成，调参与校准使用开发资料。测试参考答案及其人工判定由独立协议保存，不能作为装配效用或调度优先级的输入。检索测试来源是可见证据问答的正常条件，与把测试答案加入训练不同。若测试前允许调度处理测试来源的无标签资料，其动作、所获人工信息与耗时必须作为实验变量，对各方法等预算；不能让完整系统独享人工修正过的测试库。</w:t>
      </w:r>
    </w:p>
    <w:p>
      <w:pPr>
        <w:ind w:firstLine="480" w:firstLineChars="200"/>
        <w:spacing w:line="312" w:lineRule="auto"/>
      </w:pPr>
      <w:r>
        <w:rPr>
          <w:rFonts w:ascii="Times New Roman" w:hAnsi="Times New Roman" w:eastAsia="宋体"/>
          <w:b w:val="0"/>
          <w:sz w:val="24"/>
        </w:rPr>
        <w:t>装配主对照使用相同召回池、字段和来源：按语义top-k后截断、条件字段文本拼接、固定完整条件卡、字段保护的压缩方案、标准预算覆盖或多选择背包方案，以及本课题联合装配。所有方法均可取得条件与必要定位；固定卡同样保留完整条件，避免故意设置会丢字段的弱对照。可复现的LLMLingua、Self-Correcting RAG或对象式分组方法按适配范围实现</w:t>
      </w:r>
      <w:r>
        <w:rPr>
          <w:rFonts w:ascii="Times New Roman" w:hAnsi="Times New Roman" w:eastAsia="宋体"/>
          <w:sz w:val="24"/>
          <w:vertAlign w:val="superscript"/>
        </w:rPr>
        <w:fldChar w:fldCharType="begin"/>
        <w:instrText xml:space="preserve"> REF _Ref_ref035 \h </w:instrText>
        <w:fldChar w:fldCharType="separate"/>
        <w:t xml:space="preserve">[35]</w:t>
        <w:fldChar w:fldCharType="end"/>
      </w:r>
      <w:r>
        <w:rPr>
          <w:rFonts w:ascii="Times New Roman" w:hAnsi="Times New Roman" w:eastAsia="宋体"/>
          <w:sz w:val="24"/>
          <w:vertAlign w:val="superscript"/>
        </w:rPr>
        <w:fldChar w:fldCharType="begin"/>
        <w:instrText xml:space="preserve"> REF _Ref_ref036 \h </w:instrText>
        <w:fldChar w:fldCharType="separate"/>
        <w:t xml:space="preserve">[36]</w:t>
        <w:fldChar w:fldCharType="end"/>
      </w:r>
      <w:r>
        <w:rPr>
          <w:rFonts w:ascii="Times New Roman" w:hAnsi="Times New Roman" w:eastAsia="宋体"/>
          <w:sz w:val="24"/>
          <w:vertAlign w:val="superscript"/>
        </w:rPr>
        <w:fldChar w:fldCharType="begin"/>
        <w:instrText xml:space="preserve"> REF _Ref_ref037 \h </w:instrText>
        <w:fldChar w:fldCharType="separate"/>
        <w:t xml:space="preserve">[37]</w:t>
        <w:fldChar w:fldCharType="end"/>
      </w:r>
      <w:r>
        <w:rPr>
          <w:rFonts w:ascii="Times New Roman" w:hAnsi="Times New Roman" w:eastAsia="宋体"/>
          <w:b w:val="0"/>
          <w:sz w:val="24"/>
        </w:rPr>
        <w:t>，非原领域适配处如实披露，不声称完整复现全部论文。</w:t>
      </w:r>
    </w:p>
    <w:p>
      <w:pPr>
        <w:ind w:firstLine="480" w:firstLineChars="200"/>
        <w:spacing w:line="312" w:lineRule="auto"/>
      </w:pPr>
      <w:r>
        <w:rPr>
          <w:rFonts w:ascii="Times New Roman" w:hAnsi="Times New Roman" w:eastAsia="宋体"/>
          <w:b w:val="0"/>
          <w:sz w:val="24"/>
        </w:rPr>
        <w:t>装配消融依次固定一个粒度而不联合选择、依赖块逐条复制而不共享、移除闭包约束但保留相同字段候选、以相同候选和预算仅用局部贪心。分别检验粒度、共享成本、条件保护和求解的贡献，固定同一生成模型。移除约束的消融可能丢条件，其作用通过事实正确与结构完整两个独立指标判断，不能以缺一个格式字段就自动判答案错。</w:t>
      </w:r>
    </w:p>
    <w:p>
      <w:pPr>
        <w:ind w:firstLine="480" w:firstLineChars="200"/>
        <w:spacing w:line="312" w:lineRule="auto"/>
      </w:pPr>
      <w:r>
        <w:rPr>
          <w:rFonts w:ascii="Times New Roman" w:hAnsi="Times New Roman" w:eastAsia="宋体"/>
          <w:b w:val="0"/>
          <w:sz w:val="24"/>
        </w:rPr>
        <w:t>核验对照包括随机动作、逐条不确定性、只按影响范围、完整预算调度及小批全核验参考。各组真实H和独立抽检预算一致，动作定义和粒度相同；另将动作限制为逐条记录，以检验共享字段作用。依次令v_i一致、移除共享影响关系、以相同动作只按初始置信度排序，分离影响权重、依赖和更新策略的收益。评价既包含选中样本，也包含自动通过样本，避免选择偏差。</w:t>
      </w:r>
    </w:p>
    <w:p>
      <w:pPr>
        <w:ind w:firstLine="480" w:firstLineChars="200"/>
        <w:spacing w:line="312" w:lineRule="auto"/>
      </w:pPr>
      <w:r>
        <w:rPr>
          <w:rFonts w:ascii="Times New Roman" w:hAnsi="Times New Roman" w:eastAsia="宋体"/>
          <w:b w:val="0"/>
          <w:sz w:val="24"/>
        </w:rPr>
        <w:t>先固定同一知识库检验装配，再固定装配与学生检验调度得到的不同版本知识库，最后作交叉组合。教师与学生用相同资料、工具和生成预算，教师只是比较对象而非绝对性能上界。底座、普通证据SFT和经核验示范SFT共享教学预算，不把更多数据或更长上下文收益归为新算法。</w:t>
      </w:r>
    </w:p>
    <w:p>
      <w:pPr>
        <w:ind w:firstLine="480" w:firstLineChars="200"/>
        <w:spacing w:line="312" w:lineRule="auto"/>
      </w:pPr>
      <w:r>
        <w:rPr>
          <w:rFonts w:ascii="Times New Roman" w:hAnsi="Times New Roman" w:eastAsia="宋体"/>
          <w:b/>
          <w:sz w:val="24"/>
        </w:rPr>
        <w:t>（四）指标与验证方式</w:t>
      </w:r>
    </w:p>
    <w:p>
      <w:pPr>
        <w:ind w:firstLine="480" w:firstLineChars="200"/>
        <w:spacing w:line="312" w:lineRule="auto"/>
      </w:pPr>
      <w:r>
        <w:rPr>
          <w:rFonts w:ascii="Times New Roman" w:hAnsi="Times New Roman" w:eastAsia="宋体"/>
          <w:b w:val="0"/>
          <w:sz w:val="24"/>
        </w:rPr>
        <w:t>主指标为来源留出任务上的答案事实正确率，条件敏感查询为主要分析组，一般事实查询为对照。逐项核验数值、性质类型、来源与条件对应；有事实标签的记录级问题可自动判断，开放原文问题需要预先核验参考和人工裁定。相结构也可能依赖状态，不将所有相结构题默认归为条件无关。正确性与答案是否完整写出条件分别计分，引用存在不等于全文语义支持。</w:t>
      </w:r>
    </w:p>
    <w:p>
      <w:pPr>
        <w:ind w:firstLine="480" w:firstLineChars="200"/>
        <w:spacing w:line="312" w:lineRule="auto"/>
      </w:pPr>
      <w:r>
        <w:rPr>
          <w:rFonts w:ascii="Times New Roman" w:hAnsi="Times New Roman" w:eastAsia="宋体"/>
          <w:b w:val="0"/>
          <w:sz w:val="24"/>
        </w:rPr>
        <w:t>答案充分性需区分“某条件下有哪些观测”和“整个区间的性能规律”。离散测量点不自动证明连续区间内性质，不能因为上下文装配覆盖较广就宣称物理充分。无法支持的部分保留缺口说明；不因某系统拒答或检索失败改变主分母，同时报告可回答题误拒与证据不足题恰当说明。</w:t>
      </w:r>
    </w:p>
    <w:p>
      <w:pPr>
        <w:ind w:firstLine="480" w:firstLineChars="200"/>
        <w:spacing w:line="312" w:lineRule="auto"/>
      </w:pPr>
      <w:r>
        <w:rPr>
          <w:rFonts w:ascii="Times New Roman" w:hAnsi="Times New Roman" w:eastAsia="宋体"/>
          <w:b w:val="0"/>
          <w:sz w:val="24"/>
        </w:rPr>
        <w:t>装配报告条件依赖保留率、来源绑定错误、最终输入token、预算违例、装配耗时与端到端答案正确率；小实例报告参考解和启发式目标差距，实际预算下报告求解超时与修复。目标F上升不能替代正确率提升。核验报告每小时实际核验记录、确认真错与修复数量、自动通过区的误放行估计和区间；疑点数不是检出率，用户人员时间须真实计时，不能由动作数直接换算。</w:t>
      </w:r>
    </w:p>
    <w:p>
      <w:pPr>
        <w:ind w:firstLine="480" w:firstLineChars="200"/>
        <w:spacing w:line="312" w:lineRule="auto"/>
      </w:pPr>
      <w:r>
        <w:rPr>
          <w:rFonts w:ascii="Times New Roman" w:hAnsi="Times New Roman" w:eastAsia="宋体"/>
          <w:b w:val="0"/>
          <w:sz w:val="24"/>
        </w:rPr>
        <w:t>同题干扰比较在固定候选和总预算下增减已确认条件不同的记录，同时记录原证据是否被挤出上下文。需要分别识别检索命中、装配保留及生成使用，而不是把所有错都归给检索。以原始完整证据包和同包去除依赖等受控设置分析来源；Oracle干预只说明特定信息变化下的差异，不自动分解成互不重叠的因果贡献。</w:t>
      </w:r>
    </w:p>
    <w:p>
      <w:pPr>
        <w:ind w:firstLine="480" w:firstLineChars="200"/>
        <w:spacing w:line="312" w:lineRule="auto"/>
      </w:pPr>
      <w:r>
        <w:rPr>
          <w:rFonts w:ascii="Times New Roman" w:hAnsi="Times New Roman" w:eastAsia="宋体"/>
          <w:b w:val="0"/>
          <w:sz w:val="24"/>
        </w:rPr>
        <w:t>多步Agent补充报告任务完成度、澄清恰当性、条件更新后的重查、轮数与总成本；不按唯一教师轨迹判定所有合理路径。固定最大轮数与预算，任何目标放宽须经用户确认。主答案质量、维护成本和多步表现分别汇报，不相互替代。</w:t>
      </w:r>
    </w:p>
    <w:p>
      <w:pPr>
        <w:ind w:firstLine="480" w:firstLineChars="200"/>
        <w:spacing w:line="312" w:lineRule="auto"/>
      </w:pPr>
      <w:r>
        <w:rPr>
          <w:rFonts w:ascii="Times New Roman" w:hAnsi="Times New Roman" w:eastAsia="宋体"/>
          <w:b w:val="0"/>
          <w:sz w:val="24"/>
        </w:rPr>
        <w:t>核心对照采用预定多个随机种子，按来源组配对重采样并作拆分敏感性；组数不足时收紧结论。与教师报告相同任务上的质量差与区间，“接近”阈值及最低可用水平在开发阶段按实际需要固定，未满足则只报告差距。语义自动评分可作辅助，但须人工校准后说明范围，不能把同一评分器训练与打分的闭环当作真实有效。</w:t>
      </w:r>
    </w:p>
    <w:p>
      <w:pPr>
        <w:ind w:firstLine="480" w:firstLineChars="200"/>
        <w:spacing w:line="312" w:lineRule="auto"/>
      </w:pPr>
      <w:r>
        <w:rPr>
          <w:rFonts w:ascii="Times New Roman" w:hAnsi="Times New Roman" w:eastAsia="宋体"/>
          <w:b/>
          <w:sz w:val="24"/>
        </w:rPr>
        <w:t>（五）技术路线与阶段衔接</w:t>
      </w:r>
    </w:p>
    <w:p>
      <w:pPr>
        <w:ind w:firstLine="480" w:firstLineChars="200"/>
        <w:spacing w:line="312" w:lineRule="auto"/>
      </w:pPr>
      <w:r>
        <w:rPr>
          <w:rFonts w:ascii="Times New Roman" w:hAnsi="Times New Roman" w:eastAsia="宋体"/>
          <w:b w:val="0"/>
          <w:sz w:val="24"/>
        </w:rPr>
        <w:t>资料与来源绑定→核验动作定义和下游影响建模→预算核验及独立抽检→版本化知识库→固定检索召回→条件依赖闭包、多粒度装配与真实token复验→经任务蒸馏的小模型回答→多步Agent集成及来源留出验证。核验维护和在线回答是两条相接但可独立替换的路径，不把人工核验偷偷放进无成本推理环节。图3-1展示模块及验证边界。</w:t>
      </w:r>
    </w:p>
    <w:p>
      <w:pPr>
        <w:spacing w:before="120" w:after="120"/>
        <w:ind w:firstLine="0"/>
        <w:jc w:val="center"/>
      </w:pPr>
      <w:r>
        <w:drawing>
          <wp:inline xmlns:a="http://schemas.openxmlformats.org/drawingml/2006/main" xmlns:pic="http://schemas.openxmlformats.org/drawingml/2006/picture">
            <wp:extent cx="4860000" cy="4590224"/>
            <wp:docPr id="1" name="Picture 1"/>
            <wp:cNvGraphicFramePr>
              <a:graphicFrameLocks noChangeAspect="1"/>
            </wp:cNvGraphicFramePr>
            <a:graphic>
              <a:graphicData uri="http://schemas.openxmlformats.org/drawingml/2006/picture">
                <pic:pic>
                  <pic:nvPicPr>
                    <pic:cNvPr id="0" name="技术路线.png"/>
                    <pic:cNvPicPr/>
                  </pic:nvPicPr>
                  <pic:blipFill>
                    <a:blip r:embed="rId9"/>
                    <a:stretch>
                      <a:fillRect/>
                    </a:stretch>
                  </pic:blipFill>
                  <pic:spPr>
                    <a:xfrm>
                      <a:off x="0" y="0"/>
                      <a:ext cx="4860000" cy="4590224"/>
                    </a:xfrm>
                    <a:prstGeom prst="rect"/>
                  </pic:spPr>
                </pic:pic>
              </a:graphicData>
            </a:graphic>
          </wp:inline>
        </w:drawing>
      </w:r>
    </w:p>
    <w:p>
      <w:pPr>
        <w:spacing w:after="200"/>
        <w:ind w:firstLine="0"/>
        <w:jc w:val="center"/>
      </w:pPr>
      <w:r>
        <w:rPr>
          <w:rFonts w:ascii="Times New Roman" w:hAnsi="Times New Roman" w:eastAsia="宋体"/>
          <w:sz w:val="21"/>
        </w:rPr>
        <w:t>图 3-1　技术路线图</w:t>
      </w:r>
    </w:p>
    <w:p>
      <w:pPr>
        <w:ind w:firstLine="480" w:firstLineChars="200"/>
        <w:spacing w:line="312" w:lineRule="auto"/>
      </w:pPr>
      <w:r>
        <w:rPr>
          <w:rFonts w:ascii="Times New Roman" w:hAnsi="Times New Roman" w:eastAsia="宋体"/>
          <w:b/>
          <w:sz w:val="24"/>
        </w:rPr>
        <w:t>（六）资源与实施可行性</w:t>
      </w:r>
    </w:p>
    <w:p>
      <w:pPr>
        <w:ind w:firstLine="480" w:firstLineChars="200"/>
        <w:spacing w:line="312" w:lineRule="auto"/>
      </w:pPr>
      <w:r>
        <w:rPr>
          <w:rFonts w:ascii="Times New Roman" w:hAnsi="Times New Roman" w:eastAsia="宋体"/>
          <w:b w:val="0"/>
          <w:sz w:val="24"/>
        </w:rPr>
        <w:t>按单张约32 GB显卡、64 GB内存和足够固态存储起步，必要时使用获准租用资源；底座、输入长度与微批由预实验吞吐决定，不承诺通用论文的资源数字即为本课题用量。先用固定小候选池与少量表示版本测算法，限制搜索和重排开销，不同时增加强化学习选择器、大型图谱或性能代理模型。</w:t>
      </w:r>
    </w:p>
    <w:p>
      <w:pPr>
        <w:ind w:firstLine="480" w:firstLineChars="200"/>
        <w:spacing w:line="312" w:lineRule="auto"/>
      </w:pPr>
      <w:r>
        <w:rPr>
          <w:rFonts w:ascii="Times New Roman" w:hAnsi="Times New Roman" w:eastAsia="宋体"/>
          <w:b w:val="0"/>
          <w:sz w:val="24"/>
        </w:rPr>
        <w:t>教学与校准可从结构化公开记录开始，但真实依赖抽取和调度收益需要原文与核验资料；先完成可用样本审计再定批量，不以约两万篇背景替代可行性证据。p_i和r_ai估计不足时先用结构作用范围及透明基线试验，明确尚未形成可靠收益模型，不凭任意置信度填数。</w:t>
      </w:r>
    </w:p>
    <w:p>
      <w:pPr>
        <w:ind w:firstLine="480" w:firstLineChars="200"/>
        <w:spacing w:line="312" w:lineRule="auto"/>
      </w:pPr>
      <w:r>
        <w:rPr>
          <w:rFonts w:ascii="Times New Roman" w:hAnsi="Times New Roman" w:eastAsia="宋体"/>
          <w:b w:val="0"/>
          <w:sz w:val="24"/>
        </w:rPr>
        <w:t>所有成本包括解析、依赖抽取、预处理、教师、人工核验、训练、装配和推理，报告一次性与每次查询开销。重复使用知识库可摊销预处理，但须说明工作负载与查询次数；不预设本地更便宜或复杂优化总值得。若装配时间抵消质量优势，应缩减候选与算法，而不是隐去时间成本。</w:t>
      </w:r>
    </w:p>
    <w:p>
      <w:pPr>
        <w:ind w:firstLine="480" w:firstLineChars="200"/>
        <w:spacing w:line="312" w:lineRule="auto"/>
      </w:pPr>
      <w:r>
        <w:rPr>
          <w:rFonts w:ascii="Times New Roman" w:hAnsi="Times New Roman" w:eastAsia="宋体"/>
          <w:b/>
          <w:sz w:val="24"/>
        </w:rPr>
        <w:t>（七）风险与研究边界</w:t>
      </w:r>
    </w:p>
    <w:p>
      <w:pPr>
        <w:ind w:firstLine="480" w:firstLineChars="200"/>
        <w:spacing w:line="312" w:lineRule="auto"/>
      </w:pPr>
      <w:r>
        <w:rPr>
          <w:rFonts w:ascii="Times New Roman" w:hAnsi="Times New Roman" w:eastAsia="宋体"/>
          <w:b w:val="0"/>
          <w:sz w:val="24"/>
        </w:rPr>
        <w:t>第一，依赖抽取错误会使闭包完整却语义绑定错误，需核验样品、性质与来源作用范围；结构约束只能防止已识别依赖丢失，不能证明初始抽取正确。第二，支持效用与最终答案表现可能失配，需分开报告优化目标与主质量。第三，共享条件只在确有相同作用范围时省成本，跨表或跨来源不作无依据复用。</w:t>
      </w:r>
    </w:p>
    <w:p>
      <w:pPr>
        <w:ind w:firstLine="480" w:firstLineChars="200"/>
        <w:spacing w:line="312" w:lineRule="auto"/>
      </w:pPr>
      <w:r>
        <w:rPr>
          <w:rFonts w:ascii="Times New Roman" w:hAnsi="Times New Roman" w:eastAsia="宋体"/>
          <w:b w:val="0"/>
          <w:sz w:val="24"/>
        </w:rPr>
        <w:t>第四，核验收益参数与人工时间不稳定，需独立抽检和实测校准，不能把低置信样本集合当总体。第五，全文库覆盖、许可和字段可得性未核实，未取得原文时不虚报真实抽取与节时。第六，模型可能只学会保守或复制格式，需可回答题误拒与同工具对照；教师输出与检查通过都不是新材料性能证明。</w:t>
      </w:r>
    </w:p>
    <w:p>
      <w:pPr>
        <w:ind w:firstLine="480" w:firstLineChars="200"/>
        <w:spacing w:line="312" w:lineRule="auto"/>
      </w:pPr>
      <w:r>
        <w:rPr>
          <w:rFonts w:ascii="Times New Roman" w:hAnsi="Times New Roman" w:eastAsia="宋体"/>
          <w:b/>
          <w:sz w:val="24"/>
        </w:rPr>
        <w:t>（八）预期成果与完成标准</w:t>
      </w:r>
    </w:p>
    <w:p>
      <w:pPr>
        <w:ind w:firstLine="480" w:firstLineChars="200"/>
        <w:spacing w:line="312" w:lineRule="auto"/>
      </w:pPr>
      <w:r>
        <w:rPr>
          <w:rFonts w:ascii="Times New Roman" w:hAnsi="Times New Roman" w:eastAsia="宋体"/>
          <w:b w:val="0"/>
          <w:sz w:val="24"/>
        </w:rPr>
        <w:t>预期成果包括条件依赖及记录版本规范、预算装配方法、影响驱动核验调度方法、任务适配权重、本地RAG与多步Agent原型及可复现配置。研究报告同时保留失败、成本和结论边界，评价资料仅用于证明方法，不以一个基准或错误统计表替代方法成果。</w:t>
      </w:r>
    </w:p>
    <w:p>
      <w:pPr>
        <w:ind w:firstLine="480" w:firstLineChars="200"/>
        <w:spacing w:line="312" w:lineRule="auto"/>
      </w:pPr>
      <w:r>
        <w:rPr>
          <w:rFonts w:ascii="Times New Roman" w:hAnsi="Times New Roman" w:eastAsia="宋体"/>
          <w:b w:val="0"/>
          <w:sz w:val="24"/>
        </w:rPr>
        <w:t>目前已完成文献查证和公开CSV静态审计，尚未实现上述优化模块、构造完整教学集、训练本题模型或验证方法增量。主张只写为拟研究改进，不将先前对旧覆盖函数的随机检验和小实例最优比例转移成新方法结果。若实际增量不足则修改方法或收紧结论，不以本地部署成功代替算法验证。</w:t>
      </w:r>
    </w:p>
    <w:p>
      <w:pPr>
        <w:ind w:firstLine="480" w:firstLineChars="200"/>
        <w:spacing w:line="312" w:lineRule="auto"/>
      </w:pPr>
      <w:r>
        <w:rPr>
          <w:rFonts w:ascii="Times New Roman" w:hAnsi="Times New Roman" w:eastAsia="宋体"/>
          <w:b/>
          <w:sz w:val="24"/>
        </w:rPr>
        <w:t>（九）数据管理、授权与研究诚信</w:t>
      </w:r>
    </w:p>
    <w:p>
      <w:pPr>
        <w:ind w:firstLine="480" w:firstLineChars="200"/>
        <w:spacing w:line="312" w:lineRule="auto"/>
      </w:pPr>
      <w:r>
        <w:rPr>
          <w:rFonts w:ascii="Times New Roman" w:hAnsi="Times New Roman" w:eastAsia="宋体"/>
          <w:b w:val="0"/>
          <w:sz w:val="24"/>
        </w:rPr>
        <w:t>公共资源保留许可与版本，内部资料的上传、训练和公开分别授权；教师用途须符合服务条款。部署核查生成、嵌入、检索及工具的联网行为。参考文献逐条按原始出处核对，区分正式出版与所引预印本、投稿版本，不凭记忆补发表信息；可访问元数据不等于逐篇复现实验。</w:t>
      </w:r>
    </w:p>
    <w:p>
      <w:pPr>
        <w:ind w:firstLine="480" w:firstLineChars="200"/>
        <w:spacing w:line="312" w:lineRule="auto"/>
      </w:pPr>
      <w:r>
        <w:rPr>
          <w:rFonts w:ascii="Times New Roman" w:hAnsi="Times New Roman" w:eastAsia="宋体"/>
          <w:b w:val="0"/>
          <w:sz w:val="24"/>
        </w:rPr>
        <w:t>报告使用AI辅助检索、写作和一致性检查；本轮没有开启子代理、训练模型或进行材料实验。人工标注及后续用户试用按单位要求保护知情同意与资料，姓名、导师、学校、专业、学号、日期、经费与作者声明由研究者实际填写。</w:t>
      </w:r>
    </w:p>
    <w:p>
      <w:pPr>
        <w:pStyle w:val="Heading2"/>
      </w:pPr>
      <w:r>
        <w:rPr>
          <w:rFonts w:ascii="Times New Roman" w:hAnsi="Times New Roman" w:eastAsia="黑体"/>
          <w:b/>
          <w:sz w:val="28"/>
        </w:rPr>
        <w:t>3.3 时间安排</w:t>
      </w:r>
    </w:p>
    <w:p>
      <w:pPr>
        <w:ind w:firstLine="480" w:firstLineChars="200"/>
        <w:spacing w:line="312" w:lineRule="auto"/>
      </w:pPr>
      <w:r>
        <w:rPr>
          <w:rFonts w:ascii="Times New Roman" w:hAnsi="Times New Roman" w:eastAsia="宋体"/>
          <w:b w:val="0"/>
          <w:sz w:val="24"/>
        </w:rPr>
        <w:t>按正式启动后八个月规划，使用相对月份，不假设具体入学、开题或答辩日期。</w:t>
      </w:r>
    </w:p>
    <w:p>
      <w:pPr>
        <w:ind w:firstLine="480" w:firstLineChars="200"/>
        <w:spacing w:line="312" w:lineRule="auto"/>
      </w:pPr>
      <w:r>
        <w:rPr>
          <w:rFonts w:ascii="Times New Roman" w:hAnsi="Times New Roman" w:eastAsia="宋体"/>
          <w:b w:val="0"/>
          <w:sz w:val="24"/>
        </w:rPr>
        <w:t>第1个月：审计资料许可、记录及来源关联，定义条件依赖与核验动作；抽查原文，冻结数据身份和先导协议。</w:t>
      </w:r>
    </w:p>
    <w:p>
      <w:pPr>
        <w:ind w:firstLine="480" w:firstLineChars="200"/>
        <w:spacing w:line="312" w:lineRule="auto"/>
      </w:pPr>
      <w:r>
        <w:rPr>
          <w:rFonts w:ascii="Times New Roman" w:hAnsi="Times New Roman" w:eastAsia="宋体"/>
          <w:b w:val="0"/>
          <w:sz w:val="24"/>
        </w:rPr>
        <w:t>第2个月：构造版本与完整证据包，获取核验标签和真实动作计时；完成检索、固定条件卡和普通SFT基线，估计资源。</w:t>
      </w:r>
    </w:p>
    <w:p>
      <w:pPr>
        <w:ind w:firstLine="480" w:firstLineChars="200"/>
        <w:spacing w:line="312" w:lineRule="auto"/>
      </w:pPr>
      <w:r>
        <w:rPr>
          <w:rFonts w:ascii="Times New Roman" w:hAnsi="Times New Roman" w:eastAsia="宋体"/>
          <w:b w:val="0"/>
          <w:sz w:val="24"/>
        </w:rPr>
        <w:t>第3至4个月：实现式（1）至（4）的装配参考求解与限时启发式，完成token复验及核心消融；并实现式（5）（6）的核验队列，按同人工预算验证。</w:t>
      </w:r>
    </w:p>
    <w:p>
      <w:pPr>
        <w:ind w:firstLine="480" w:firstLineChars="200"/>
        <w:spacing w:line="312" w:lineRule="auto"/>
      </w:pPr>
      <w:r>
        <w:rPr>
          <w:rFonts w:ascii="Times New Roman" w:hAnsi="Times New Roman" w:eastAsia="宋体"/>
          <w:b w:val="0"/>
          <w:sz w:val="24"/>
        </w:rPr>
        <w:t>第5个月：完成经核验教师示范与小模型适配，集成本地RAG与固定动作Agent；分离装配、核验和训练收益。</w:t>
      </w:r>
    </w:p>
    <w:p>
      <w:pPr>
        <w:ind w:firstLine="480" w:firstLineChars="200"/>
        <w:spacing w:line="312" w:lineRule="auto"/>
      </w:pPr>
      <w:r>
        <w:rPr>
          <w:rFonts w:ascii="Times New Roman" w:hAnsi="Times New Roman" w:eastAsia="宋体"/>
          <w:b w:val="0"/>
          <w:sz w:val="24"/>
        </w:rPr>
        <w:t>第6个月：完成同字段强对照、交叉组件与预算敏感性实验，检查抽取疑点、漏检和真实问答收益，冻结最终配置。</w:t>
      </w:r>
    </w:p>
    <w:p>
      <w:pPr>
        <w:ind w:firstLine="480" w:firstLineChars="200"/>
        <w:spacing w:line="312" w:lineRule="auto"/>
      </w:pPr>
      <w:r>
        <w:rPr>
          <w:rFonts w:ascii="Times New Roman" w:hAnsi="Times New Roman" w:eastAsia="宋体"/>
          <w:b w:val="0"/>
          <w:sz w:val="24"/>
        </w:rPr>
        <w:t>第7个月：完成来源留出、教师比较与多步验证；记录实际成本与不确定性，有条件时开展有限应用案例，不承诺产业级用户研究。</w:t>
      </w:r>
    </w:p>
    <w:p>
      <w:pPr>
        <w:ind w:firstLine="480" w:firstLineChars="200"/>
        <w:spacing w:line="312" w:lineRule="auto"/>
      </w:pPr>
      <w:r>
        <w:rPr>
          <w:rFonts w:ascii="Times New Roman" w:hAnsi="Times New Roman" w:eastAsia="宋体"/>
          <w:b w:val="0"/>
          <w:sz w:val="24"/>
        </w:rPr>
        <w:t>第8个月：整理复现材料、论文与局限性，完成修改和答辩准备。资源不足时优先保留装配主实验、核验先导及关键公平对照，减少额外模型和全文扩量，不伪造尚未取得的结果。</w:t>
      </w:r>
    </w:p>
    <w:p>
      <w:pPr>
        <w:pStyle w:val="Heading1"/>
      </w:pPr>
      <w:r>
        <w:rPr>
          <w:rFonts w:ascii="Times New Roman" w:hAnsi="Times New Roman" w:eastAsia="黑体"/>
          <w:b/>
          <w:sz w:val="30"/>
        </w:rPr>
        <w:t>参考文献</w:t>
      </w:r>
    </w:p>
    <w:p>
      <w:pPr>
        <w:spacing w:line="312" w:lineRule="auto"/>
        <w:ind w:left="480" w:leftChars="0" w:hanging="480" w:hangingChars="200"/>
      </w:pPr>
      <w:bookmarkStart w:id="1001" w:name="_Ref_ref001"/>
      <w:r>
        <w:rPr>
          <w:rFonts w:ascii="Times New Roman" w:hAnsi="Times New Roman" w:eastAsia="宋体"/>
          <w:sz w:val="21"/>
        </w:rPr>
        <w:t>[1]</w:t>
      </w:r>
      <w:bookmarkEnd w:id="1001"/>
      <w:r>
        <w:rPr>
          <w:rFonts w:ascii="Times New Roman" w:hAnsi="Times New Roman" w:eastAsia="宋体"/>
          <w:sz w:val="21"/>
        </w:rPr>
        <w:t xml:space="preserve"> Jia S, Zhang C, Fung V. LLMatDesign: Autonomous Materials Discovery with Large Language Models[EB/OL]. arXiv:2406.13163, 2024.（所引为arXiv版本）</w:t>
      </w:r>
    </w:p>
    <w:p>
      <w:pPr>
        <w:spacing w:line="312" w:lineRule="auto"/>
        <w:ind w:left="480" w:leftChars="0" w:hanging="480" w:hangingChars="200"/>
      </w:pPr>
      <w:bookmarkStart w:id="1002" w:name="_Ref_ref002"/>
      <w:r>
        <w:rPr>
          <w:rFonts w:ascii="Times New Roman" w:hAnsi="Times New Roman" w:eastAsia="宋体"/>
          <w:sz w:val="21"/>
        </w:rPr>
        <w:t>[2]</w:t>
      </w:r>
      <w:bookmarkEnd w:id="1002"/>
      <w:r>
        <w:rPr>
          <w:rFonts w:ascii="Times New Roman" w:hAnsi="Times New Roman" w:eastAsia="宋体"/>
          <w:sz w:val="21"/>
        </w:rPr>
        <w:t xml:space="preserve"> Ghosh S, Holgate C, Brodnik N R, et al. Preference Learning from Physics-Based Feedback: Tuning Language Models to Design BCC/B2 Superalloys[EB/OL]. arXiv:2511.12036, 2025.（所引为arXiv版本）</w:t>
      </w:r>
    </w:p>
    <w:p>
      <w:pPr>
        <w:spacing w:line="312" w:lineRule="auto"/>
        <w:ind w:left="480" w:leftChars="0" w:hanging="480" w:hangingChars="200"/>
      </w:pPr>
      <w:bookmarkStart w:id="1003" w:name="_Ref_ref003"/>
      <w:r>
        <w:rPr>
          <w:rFonts w:ascii="Times New Roman" w:hAnsi="Times New Roman" w:eastAsia="宋体"/>
          <w:sz w:val="21"/>
        </w:rPr>
        <w:t>[3]</w:t>
      </w:r>
      <w:bookmarkEnd w:id="1003"/>
      <w:r>
        <w:rPr>
          <w:rFonts w:ascii="Times New Roman" w:hAnsi="Times New Roman" w:eastAsia="宋体"/>
          <w:sz w:val="21"/>
        </w:rPr>
        <w:t xml:space="preserve"> Ahlawat D, Mishra V, Singh S, et al. A family of large language models for materials research with insights into model adaptability in continued pretraining[J]. Nature Machine Intelligence, 2026, 8(3): 435-448. DOI: 10.1038/s42256-026-01199-8.</w:t>
      </w:r>
    </w:p>
    <w:p>
      <w:pPr>
        <w:spacing w:line="312" w:lineRule="auto"/>
        <w:ind w:left="480" w:leftChars="0" w:hanging="480" w:hangingChars="200"/>
      </w:pPr>
      <w:bookmarkStart w:id="1004" w:name="_Ref_ref004"/>
      <w:r>
        <w:rPr>
          <w:rFonts w:ascii="Times New Roman" w:hAnsi="Times New Roman" w:eastAsia="宋体"/>
          <w:sz w:val="21"/>
        </w:rPr>
        <w:t>[4]</w:t>
      </w:r>
      <w:bookmarkEnd w:id="1004"/>
      <w:r>
        <w:rPr>
          <w:rFonts w:ascii="Times New Roman" w:hAnsi="Times New Roman" w:eastAsia="宋体"/>
          <w:sz w:val="21"/>
        </w:rPr>
        <w:t xml:space="preserve"> Ni B, Glaser B, Taheri-Mousavi S M. End-to-end prediction and design of additively manufacturable alloys using a generative AlloyGPT model[J]. npj Computational Materials, 2025, 11(1): 294. DOI: 10.1038/s41524-025-01768-2.</w:t>
      </w:r>
    </w:p>
    <w:p>
      <w:pPr>
        <w:spacing w:line="312" w:lineRule="auto"/>
        <w:ind w:left="480" w:leftChars="0" w:hanging="480" w:hangingChars="200"/>
      </w:pPr>
      <w:bookmarkStart w:id="1005" w:name="_Ref_ref005"/>
      <w:r>
        <w:rPr>
          <w:rFonts w:ascii="Times New Roman" w:hAnsi="Times New Roman" w:eastAsia="宋体"/>
          <w:sz w:val="21"/>
        </w:rPr>
        <w:t>[5]</w:t>
      </w:r>
      <w:bookmarkEnd w:id="1005"/>
      <w:r>
        <w:rPr>
          <w:rFonts w:ascii="Times New Roman" w:hAnsi="Times New Roman" w:eastAsia="宋体"/>
          <w:sz w:val="21"/>
        </w:rPr>
        <w:t xml:space="preserve"> Li S, Fajardo-Rojas F, Gomez-Gualdron D, et al. AlloyLens: A Visual Analytics Tool for High-throughput Alloy Screening and Inverse Design[EB/OL]. arXiv:2511.02133, 2025.（所引为arXiv版本）</w:t>
      </w:r>
    </w:p>
    <w:p>
      <w:pPr>
        <w:spacing w:line="312" w:lineRule="auto"/>
        <w:ind w:left="480" w:leftChars="0" w:hanging="480" w:hangingChars="200"/>
      </w:pPr>
      <w:bookmarkStart w:id="1006" w:name="_Ref_ref006"/>
      <w:r>
        <w:rPr>
          <w:rFonts w:ascii="Times New Roman" w:hAnsi="Times New Roman" w:eastAsia="宋体"/>
          <w:sz w:val="21"/>
        </w:rPr>
        <w:t>[6]</w:t>
      </w:r>
      <w:bookmarkEnd w:id="1006"/>
      <w:r>
        <w:rPr>
          <w:rFonts w:ascii="Times New Roman" w:hAnsi="Times New Roman" w:eastAsia="宋体"/>
          <w:sz w:val="21"/>
        </w:rPr>
        <w:t xml:space="preserve"> Yu Y, Hu W, Wu X, et al. From Blind Guess to Informed Judgment: Teaching LLMs to Evaluate Materials by Building Knowledge-Augmented Preference Signals[EB/OL]. arXiv:2605.29555, 2026.（所引为arXiv版本）</w:t>
      </w:r>
    </w:p>
    <w:p>
      <w:pPr>
        <w:spacing w:line="312" w:lineRule="auto"/>
        <w:ind w:left="480" w:leftChars="0" w:hanging="480" w:hangingChars="200"/>
      </w:pPr>
      <w:bookmarkStart w:id="1007" w:name="_Ref_ref007"/>
      <w:r>
        <w:rPr>
          <w:rFonts w:ascii="Times New Roman" w:hAnsi="Times New Roman" w:eastAsia="宋体"/>
          <w:sz w:val="21"/>
        </w:rPr>
        <w:t>[7]</w:t>
      </w:r>
      <w:bookmarkEnd w:id="1007"/>
      <w:r>
        <w:rPr>
          <w:rFonts w:ascii="Times New Roman" w:hAnsi="Times New Roman" w:eastAsia="宋体"/>
          <w:sz w:val="21"/>
        </w:rPr>
        <w:t xml:space="preserve"> Borg C K H, Frey C, Moh J, et al. Expanded dataset of mechanical properties and observed phases of multi-principal element alloys[J]. Scientific Data, 2020, 7(1): 430. DOI: 10.1038/s41597-020-00768-9.</w:t>
      </w:r>
    </w:p>
    <w:p>
      <w:pPr>
        <w:spacing w:line="312" w:lineRule="auto"/>
        <w:ind w:left="480" w:leftChars="0" w:hanging="480" w:hangingChars="200"/>
      </w:pPr>
      <w:bookmarkStart w:id="1008" w:name="_Ref_ref008"/>
      <w:r>
        <w:rPr>
          <w:rFonts w:ascii="Times New Roman" w:hAnsi="Times New Roman" w:eastAsia="宋体"/>
          <w:sz w:val="21"/>
        </w:rPr>
        <w:t>[8]</w:t>
      </w:r>
      <w:bookmarkEnd w:id="1008"/>
      <w:r>
        <w:rPr>
          <w:rFonts w:ascii="Times New Roman" w:hAnsi="Times New Roman" w:eastAsia="宋体"/>
          <w:sz w:val="21"/>
        </w:rPr>
        <w:t xml:space="preserve"> Hinton G, Vinyals O, Dean J. Distilling the Knowledge in a Neural Network[EB/OL]. arXiv:1503.02531, 2015.（所引为arXiv版本）</w:t>
      </w:r>
    </w:p>
    <w:p>
      <w:pPr>
        <w:spacing w:line="312" w:lineRule="auto"/>
        <w:ind w:left="480" w:leftChars="0" w:hanging="480" w:hangingChars="200"/>
      </w:pPr>
      <w:bookmarkStart w:id="1009" w:name="_Ref_ref009"/>
      <w:r>
        <w:rPr>
          <w:rFonts w:ascii="Times New Roman" w:hAnsi="Times New Roman" w:eastAsia="宋体"/>
          <w:sz w:val="21"/>
        </w:rPr>
        <w:t>[9]</w:t>
      </w:r>
      <w:bookmarkEnd w:id="1009"/>
      <w:r>
        <w:rPr>
          <w:rFonts w:ascii="Times New Roman" w:hAnsi="Times New Roman" w:eastAsia="宋体"/>
          <w:sz w:val="21"/>
        </w:rPr>
        <w:t xml:space="preserve"> Hsieh C Y, Li C L, Yeh C K, et al. Distilling Step-by-Step! Outperforming Larger Language Models with Less Training Data and Smaller Model Sizes[C]//Findings of the Association for Computational Linguistics: ACL 2023. 2023: 8003-8017. DOI: 10.18653/v1/2023.findings-acl.507.</w:t>
      </w:r>
    </w:p>
    <w:p>
      <w:pPr>
        <w:spacing w:line="312" w:lineRule="auto"/>
        <w:ind w:left="480" w:leftChars="0" w:hanging="480" w:hangingChars="200"/>
      </w:pPr>
      <w:bookmarkStart w:id="1010" w:name="_Ref_ref010"/>
      <w:r>
        <w:rPr>
          <w:rFonts w:ascii="Times New Roman" w:hAnsi="Times New Roman" w:eastAsia="宋体"/>
          <w:sz w:val="21"/>
        </w:rPr>
        <w:t>[10]</w:t>
      </w:r>
      <w:bookmarkEnd w:id="1010"/>
      <w:r>
        <w:rPr>
          <w:rFonts w:ascii="Times New Roman" w:hAnsi="Times New Roman" w:eastAsia="宋体"/>
          <w:sz w:val="21"/>
        </w:rPr>
        <w:t xml:space="preserve"> Mitra A, Del Corro L, Mahajan S, et al. Orca 2: Teaching Small Language Models How to Reason[EB/OL]. arXiv:2311.11045, 2023.（所引为arXiv版本）</w:t>
      </w:r>
    </w:p>
    <w:p>
      <w:pPr>
        <w:spacing w:line="312" w:lineRule="auto"/>
        <w:ind w:left="480" w:leftChars="0" w:hanging="480" w:hangingChars="200"/>
      </w:pPr>
      <w:bookmarkStart w:id="1011" w:name="_Ref_ref011"/>
      <w:r>
        <w:rPr>
          <w:rFonts w:ascii="Times New Roman" w:hAnsi="Times New Roman" w:eastAsia="宋体"/>
          <w:sz w:val="21"/>
        </w:rPr>
        <w:t>[11]</w:t>
      </w:r>
      <w:bookmarkEnd w:id="1011"/>
      <w:r>
        <w:rPr>
          <w:rFonts w:ascii="Times New Roman" w:hAnsi="Times New Roman" w:eastAsia="宋体"/>
          <w:sz w:val="21"/>
        </w:rPr>
        <w:t xml:space="preserve"> Gu Y, Dong L, Wei F, et al. MiniLLM: On-Policy Distillation of Large Language Models[EB/OL]. arXiv:2306.08543, 2023.（所引为arXiv版本）</w:t>
      </w:r>
    </w:p>
    <w:p>
      <w:pPr>
        <w:spacing w:line="312" w:lineRule="auto"/>
        <w:ind w:left="480" w:leftChars="0" w:hanging="480" w:hangingChars="200"/>
      </w:pPr>
      <w:bookmarkStart w:id="1012" w:name="_Ref_ref012"/>
      <w:r>
        <w:rPr>
          <w:rFonts w:ascii="Times New Roman" w:hAnsi="Times New Roman" w:eastAsia="宋体"/>
          <w:sz w:val="21"/>
        </w:rPr>
        <w:t>[12]</w:t>
      </w:r>
      <w:bookmarkEnd w:id="1012"/>
      <w:r>
        <w:rPr>
          <w:rFonts w:ascii="Times New Roman" w:hAnsi="Times New Roman" w:eastAsia="宋体"/>
          <w:sz w:val="21"/>
        </w:rPr>
        <w:t xml:space="preserve"> Wang Y, Kordi Y, Mishra S, et al. Self-Instruct: Aligning Language Models with Self-Generated Instructions[C]//Proceedings of the 61st Annual Meeting of the Association for Computational Linguistics (Volume 1: Long Papers). 2023: 13484-13508. DOI: 10.18653/v1/2023.acl-long.754.</w:t>
      </w:r>
    </w:p>
    <w:p>
      <w:pPr>
        <w:spacing w:line="312" w:lineRule="auto"/>
        <w:ind w:left="480" w:leftChars="0" w:hanging="480" w:hangingChars="200"/>
      </w:pPr>
      <w:bookmarkStart w:id="1013" w:name="_Ref_ref013"/>
      <w:r>
        <w:rPr>
          <w:rFonts w:ascii="Times New Roman" w:hAnsi="Times New Roman" w:eastAsia="宋体"/>
          <w:sz w:val="21"/>
        </w:rPr>
        <w:t>[13]</w:t>
      </w:r>
      <w:bookmarkEnd w:id="1013"/>
      <w:r>
        <w:rPr>
          <w:rFonts w:ascii="Times New Roman" w:hAnsi="Times New Roman" w:eastAsia="宋体"/>
          <w:sz w:val="21"/>
        </w:rPr>
        <w:t xml:space="preserve"> Xia M, Malladi S, Gururangan S, et al. LESS: Selecting Influential Data for Targeted Instruction Tuning[EB/OL]. arXiv:2402.04333, 2024.（所引为arXiv版本）</w:t>
      </w:r>
    </w:p>
    <w:p>
      <w:pPr>
        <w:spacing w:line="312" w:lineRule="auto"/>
        <w:ind w:left="480" w:leftChars="0" w:hanging="480" w:hangingChars="200"/>
      </w:pPr>
      <w:bookmarkStart w:id="1014" w:name="_Ref_ref014"/>
      <w:r>
        <w:rPr>
          <w:rFonts w:ascii="Times New Roman" w:hAnsi="Times New Roman" w:eastAsia="宋体"/>
          <w:sz w:val="21"/>
        </w:rPr>
        <w:t>[14]</w:t>
      </w:r>
      <w:bookmarkEnd w:id="1014"/>
      <w:r>
        <w:rPr>
          <w:rFonts w:ascii="Times New Roman" w:hAnsi="Times New Roman" w:eastAsia="宋体"/>
          <w:sz w:val="21"/>
        </w:rPr>
        <w:t xml:space="preserve"> Liu W, Zeng W, He K, et al. What Makes Good Data for Alignment? A Comprehensive Study of Automatic Data Selection in Instruction Tuning[EB/OL]. arXiv:2312.15685, 2023.（所引为arXiv版本）</w:t>
      </w:r>
    </w:p>
    <w:p>
      <w:pPr>
        <w:spacing w:line="312" w:lineRule="auto"/>
        <w:ind w:left="480" w:leftChars="0" w:hanging="480" w:hangingChars="200"/>
      </w:pPr>
      <w:bookmarkStart w:id="1015" w:name="_Ref_ref015"/>
      <w:r>
        <w:rPr>
          <w:rFonts w:ascii="Times New Roman" w:hAnsi="Times New Roman" w:eastAsia="宋体"/>
          <w:sz w:val="21"/>
        </w:rPr>
        <w:t>[15]</w:t>
      </w:r>
      <w:bookmarkEnd w:id="1015"/>
      <w:r>
        <w:rPr>
          <w:rFonts w:ascii="Times New Roman" w:hAnsi="Times New Roman" w:eastAsia="宋体"/>
          <w:sz w:val="21"/>
        </w:rPr>
        <w:t xml:space="preserve"> Zhang J, Zhang C X, Liu Y, et al. D3: Diversity, Difficulty, and Dependability-Aware Data Selection for Sample-Efficient LLM Instruction Tuning[C]//Proceedings of the Thirty-Fourth International Joint Conference on Artificial Intelligence. 2025: 8348-8356. DOI: 10.24963/ijcai.2025/928.</w:t>
      </w:r>
    </w:p>
    <w:p>
      <w:pPr>
        <w:spacing w:line="312" w:lineRule="auto"/>
        <w:ind w:left="480" w:leftChars="0" w:hanging="480" w:hangingChars="200"/>
      </w:pPr>
      <w:bookmarkStart w:id="1016" w:name="_Ref_ref016"/>
      <w:r>
        <w:rPr>
          <w:rFonts w:ascii="Times New Roman" w:hAnsi="Times New Roman" w:eastAsia="宋体"/>
          <w:sz w:val="21"/>
        </w:rPr>
        <w:t>[16]</w:t>
      </w:r>
      <w:bookmarkEnd w:id="1016"/>
      <w:r>
        <w:rPr>
          <w:rFonts w:ascii="Times New Roman" w:hAnsi="Times New Roman" w:eastAsia="宋体"/>
          <w:sz w:val="21"/>
        </w:rPr>
        <w:t xml:space="preserve"> Mirza P, Weber L, Küch F. LASER: Stratified Selective Sampling for Instruction Tuning with Dedicated Scoring Strategy[EB/OL]. arXiv:2505.22157, 2025.（所引为arXiv版本）</w:t>
      </w:r>
    </w:p>
    <w:p>
      <w:pPr>
        <w:spacing w:line="312" w:lineRule="auto"/>
        <w:ind w:left="480" w:leftChars="0" w:hanging="480" w:hangingChars="200"/>
      </w:pPr>
      <w:bookmarkStart w:id="1017" w:name="_Ref_ref017"/>
      <w:r>
        <w:rPr>
          <w:rFonts w:ascii="Times New Roman" w:hAnsi="Times New Roman" w:eastAsia="宋体"/>
          <w:sz w:val="21"/>
        </w:rPr>
        <w:t>[17]</w:t>
      </w:r>
      <w:bookmarkEnd w:id="1017"/>
      <w:r>
        <w:rPr>
          <w:rFonts w:ascii="Times New Roman" w:hAnsi="Times New Roman" w:eastAsia="宋体"/>
          <w:sz w:val="21"/>
        </w:rPr>
        <w:t xml:space="preserve"> Lewis P, Perez E, Piktus A, et al. Retrieval-Augmented Generation for Knowledge-Intensive NLP Tasks[EB/OL]. arXiv:2005.11401, 2020.（所引为arXiv版本）</w:t>
      </w:r>
    </w:p>
    <w:p>
      <w:pPr>
        <w:spacing w:line="312" w:lineRule="auto"/>
        <w:ind w:left="480" w:leftChars="0" w:hanging="480" w:hangingChars="200"/>
      </w:pPr>
      <w:bookmarkStart w:id="1018" w:name="_Ref_ref018"/>
      <w:r>
        <w:rPr>
          <w:rFonts w:ascii="Times New Roman" w:hAnsi="Times New Roman" w:eastAsia="宋体"/>
          <w:sz w:val="21"/>
        </w:rPr>
        <w:t>[18]</w:t>
      </w:r>
      <w:bookmarkEnd w:id="1018"/>
      <w:r>
        <w:rPr>
          <w:rFonts w:ascii="Times New Roman" w:hAnsi="Times New Roman" w:eastAsia="宋体"/>
          <w:sz w:val="21"/>
        </w:rPr>
        <w:t xml:space="preserve"> Zhang T, Patil S G, Jain N, et al. RAFT: Adapting Language Model to Domain Specific RAG[EB/OL]. arXiv:2403.10131, 2024.（所引为arXiv版本）</w:t>
      </w:r>
    </w:p>
    <w:p>
      <w:pPr>
        <w:spacing w:line="312" w:lineRule="auto"/>
        <w:ind w:left="480" w:leftChars="0" w:hanging="480" w:hangingChars="200"/>
      </w:pPr>
      <w:bookmarkStart w:id="1019" w:name="_Ref_ref019"/>
      <w:r>
        <w:rPr>
          <w:rFonts w:ascii="Times New Roman" w:hAnsi="Times New Roman" w:eastAsia="宋体"/>
          <w:sz w:val="21"/>
        </w:rPr>
        <w:t>[19]</w:t>
      </w:r>
      <w:bookmarkEnd w:id="1019"/>
      <w:r>
        <w:rPr>
          <w:rFonts w:ascii="Times New Roman" w:hAnsi="Times New Roman" w:eastAsia="宋体"/>
          <w:sz w:val="21"/>
        </w:rPr>
        <w:t xml:space="preserve"> Hu E J, Shen Y, Wallis P, et al. LoRA: Low-Rank Adaptation of Large Language Models[EB/OL]. arXiv:2106.09685, 2021.（所引为arXiv版本）</w:t>
      </w:r>
    </w:p>
    <w:p>
      <w:pPr>
        <w:spacing w:line="312" w:lineRule="auto"/>
        <w:ind w:left="480" w:leftChars="0" w:hanging="480" w:hangingChars="200"/>
      </w:pPr>
      <w:bookmarkStart w:id="1020" w:name="_Ref_ref020"/>
      <w:r>
        <w:rPr>
          <w:rFonts w:ascii="Times New Roman" w:hAnsi="Times New Roman" w:eastAsia="宋体"/>
          <w:sz w:val="21"/>
        </w:rPr>
        <w:t>[20]</w:t>
      </w:r>
      <w:bookmarkEnd w:id="1020"/>
      <w:r>
        <w:rPr>
          <w:rFonts w:ascii="Times New Roman" w:hAnsi="Times New Roman" w:eastAsia="宋体"/>
          <w:sz w:val="21"/>
        </w:rPr>
        <w:t xml:space="preserve"> Dettmers T, Pagnoni A, Holtzman A, et al. QLoRA: Efficient Finetuning of Quantized LLMs[EB/OL]. arXiv:2305.14314, 2023.（所引为arXiv版本）</w:t>
      </w:r>
    </w:p>
    <w:p>
      <w:pPr>
        <w:spacing w:line="312" w:lineRule="auto"/>
        <w:ind w:left="480" w:leftChars="0" w:hanging="480" w:hangingChars="200"/>
      </w:pPr>
      <w:bookmarkStart w:id="1021" w:name="_Ref_ref021"/>
      <w:r>
        <w:rPr>
          <w:rFonts w:ascii="Times New Roman" w:hAnsi="Times New Roman" w:eastAsia="宋体"/>
          <w:sz w:val="21"/>
        </w:rPr>
        <w:t>[21]</w:t>
      </w:r>
      <w:bookmarkEnd w:id="1021"/>
      <w:r>
        <w:rPr>
          <w:rFonts w:ascii="Times New Roman" w:hAnsi="Times New Roman" w:eastAsia="宋体"/>
          <w:sz w:val="21"/>
        </w:rPr>
        <w:t xml:space="preserve"> Yang A, Li A, Yang B, et al. Qwen3 Technical Report[EB/OL]. arXiv:2505.09388, 2025.（所引为arXiv版本）</w:t>
      </w:r>
    </w:p>
    <w:p>
      <w:pPr>
        <w:spacing w:line="312" w:lineRule="auto"/>
        <w:ind w:left="480" w:leftChars="0" w:hanging="480" w:hangingChars="200"/>
      </w:pPr>
      <w:bookmarkStart w:id="1022" w:name="_Ref_ref022"/>
      <w:r>
        <w:rPr>
          <w:rFonts w:ascii="Times New Roman" w:hAnsi="Times New Roman" w:eastAsia="宋体"/>
          <w:sz w:val="21"/>
        </w:rPr>
        <w:t>[22]</w:t>
      </w:r>
      <w:bookmarkEnd w:id="1022"/>
      <w:r>
        <w:rPr>
          <w:rFonts w:ascii="Times New Roman" w:hAnsi="Times New Roman" w:eastAsia="宋体"/>
          <w:sz w:val="21"/>
        </w:rPr>
        <w:t xml:space="preserve"> Scholak T, Schucher N, Bahdanau D. PICARD: Parsing Incrementally for Constrained Auto-Regressive Decoding from Language Models[C]//Proceedings of the 2021 Conference on Empirical Methods in Natural Language Processing. 2021: 9895-9901. DOI: 10.18653/v1/2021.emnlp-main.779.</w:t>
      </w:r>
    </w:p>
    <w:p>
      <w:pPr>
        <w:spacing w:line="312" w:lineRule="auto"/>
        <w:ind w:left="480" w:leftChars="0" w:hanging="480" w:hangingChars="200"/>
      </w:pPr>
      <w:bookmarkStart w:id="1023" w:name="_Ref_ref023"/>
      <w:r>
        <w:rPr>
          <w:rFonts w:ascii="Times New Roman" w:hAnsi="Times New Roman" w:eastAsia="宋体"/>
          <w:sz w:val="21"/>
        </w:rPr>
        <w:t>[23]</w:t>
      </w:r>
      <w:bookmarkEnd w:id="1023"/>
      <w:r>
        <w:rPr>
          <w:rFonts w:ascii="Times New Roman" w:hAnsi="Times New Roman" w:eastAsia="宋体"/>
          <w:sz w:val="21"/>
        </w:rPr>
        <w:t xml:space="preserve"> Wang B, Xu C, Zhao X, et al. MinerU: An Open-Source Solution for Precise Document Content Extraction[EB/OL]. arXiv:2409.18839, 2024.（所引为arXiv版本）</w:t>
      </w:r>
    </w:p>
    <w:p>
      <w:pPr>
        <w:spacing w:line="312" w:lineRule="auto"/>
        <w:ind w:left="480" w:leftChars="0" w:hanging="480" w:hangingChars="200"/>
      </w:pPr>
      <w:bookmarkStart w:id="1024" w:name="_Ref_ref024"/>
      <w:r>
        <w:rPr>
          <w:rFonts w:ascii="Times New Roman" w:hAnsi="Times New Roman" w:eastAsia="宋体"/>
          <w:sz w:val="21"/>
        </w:rPr>
        <w:t>[24]</w:t>
      </w:r>
      <w:bookmarkEnd w:id="1024"/>
      <w:r>
        <w:rPr>
          <w:rFonts w:ascii="Times New Roman" w:hAnsi="Times New Roman" w:eastAsia="宋体"/>
          <w:sz w:val="21"/>
        </w:rPr>
        <w:t xml:space="preserve"> Polat C, Kurban M, Serpedin E, et al. Grounded verification of chemical and materials reasoning: detection is the bottleneck[EB/OL]. arXiv:2607.17417, 2026.（所引为arXiv版本）</w:t>
      </w:r>
    </w:p>
    <w:p>
      <w:pPr>
        <w:spacing w:line="312" w:lineRule="auto"/>
        <w:ind w:left="480" w:leftChars="0" w:hanging="480" w:hangingChars="200"/>
      </w:pPr>
      <w:bookmarkStart w:id="1025" w:name="_Ref_ref025"/>
      <w:r>
        <w:rPr>
          <w:rFonts w:ascii="Times New Roman" w:hAnsi="Times New Roman" w:eastAsia="宋体"/>
          <w:sz w:val="21"/>
        </w:rPr>
        <w:t>[25]</w:t>
      </w:r>
      <w:bookmarkEnd w:id="1025"/>
      <w:r>
        <w:rPr>
          <w:rFonts w:ascii="Times New Roman" w:hAnsi="Times New Roman" w:eastAsia="宋体"/>
          <w:sz w:val="21"/>
        </w:rPr>
        <w:t xml:space="preserve"> Kim H, Kim D, Kim J. LitMOF: An LLM Multi-Agent for Literature-Validated Metal-Organic Frameworks Database Correction and Expansion[EB/OL]. arXiv:2512.01693, 2025.（所引为arXiv版本）</w:t>
      </w:r>
    </w:p>
    <w:p>
      <w:pPr>
        <w:spacing w:line="312" w:lineRule="auto"/>
        <w:ind w:left="480" w:leftChars="0" w:hanging="480" w:hangingChars="200"/>
      </w:pPr>
      <w:bookmarkStart w:id="1026" w:name="_Ref_ref026"/>
      <w:r>
        <w:rPr>
          <w:rFonts w:ascii="Times New Roman" w:hAnsi="Times New Roman" w:eastAsia="宋体"/>
          <w:sz w:val="21"/>
        </w:rPr>
        <w:t>[26]</w:t>
      </w:r>
      <w:bookmarkEnd w:id="1026"/>
      <w:r>
        <w:rPr>
          <w:rFonts w:ascii="Times New Roman" w:hAnsi="Times New Roman" w:eastAsia="宋体"/>
          <w:sz w:val="21"/>
        </w:rPr>
        <w:t xml:space="preserve"> Sharma K, Kumar P, Li Y. OG-RAG: Ontology-Grounded Retrieval-Augmented Generation For Large Language Models[EB/OL]. arXiv:2412.15235, 2024.（所引为arXiv版本）</w:t>
      </w:r>
    </w:p>
    <w:p>
      <w:pPr>
        <w:spacing w:line="312" w:lineRule="auto"/>
        <w:ind w:left="480" w:leftChars="0" w:hanging="480" w:hangingChars="200"/>
      </w:pPr>
      <w:bookmarkStart w:id="1027" w:name="_Ref_ref027"/>
      <w:r>
        <w:rPr>
          <w:rFonts w:ascii="Times New Roman" w:hAnsi="Times New Roman" w:eastAsia="宋体"/>
          <w:sz w:val="21"/>
        </w:rPr>
        <w:t>[27]</w:t>
      </w:r>
      <w:bookmarkEnd w:id="1027"/>
      <w:r>
        <w:rPr>
          <w:rFonts w:ascii="Times New Roman" w:hAnsi="Times New Roman" w:eastAsia="宋体"/>
          <w:sz w:val="21"/>
        </w:rPr>
        <w:t xml:space="preserve"> Bergeron L, Buhnila I, François J, et al. HalluGuard: Evidence-Grounded Small Reasoning Models to Mitigate Hallucinations in Retrieval-Augmented Generation[EB/OL]. arXiv:2510.00880, 2025.（所引为arXiv版本）</w:t>
      </w:r>
    </w:p>
    <w:p>
      <w:pPr>
        <w:spacing w:line="312" w:lineRule="auto"/>
        <w:ind w:left="480" w:leftChars="0" w:hanging="480" w:hangingChars="200"/>
      </w:pPr>
      <w:bookmarkStart w:id="1028" w:name="_Ref_ref028"/>
      <w:r>
        <w:rPr>
          <w:rFonts w:ascii="Times New Roman" w:hAnsi="Times New Roman" w:eastAsia="宋体"/>
          <w:sz w:val="21"/>
        </w:rPr>
        <w:t>[28]</w:t>
      </w:r>
      <w:bookmarkEnd w:id="1028"/>
      <w:r>
        <w:rPr>
          <w:rFonts w:ascii="Times New Roman" w:hAnsi="Times New Roman" w:eastAsia="宋体"/>
          <w:sz w:val="21"/>
        </w:rPr>
        <w:t xml:space="preserve"> Chen J, Myrzakhan A, Luo Y, et al. DRAG: Distilling RAG for SLMs from LLMs to Transfer Knowledge and Mitigate Hallucination via Evidence and Graph-based Distillation[EB/OL]. arXiv:2506.01954, 2025.（所引为arXiv版本）</w:t>
      </w:r>
    </w:p>
    <w:p>
      <w:pPr>
        <w:spacing w:line="312" w:lineRule="auto"/>
        <w:ind w:left="480" w:leftChars="0" w:hanging="480" w:hangingChars="200"/>
      </w:pPr>
      <w:bookmarkStart w:id="1029" w:name="_Ref_ref029"/>
      <w:r>
        <w:rPr>
          <w:rFonts w:ascii="Times New Roman" w:hAnsi="Times New Roman" w:eastAsia="宋体"/>
          <w:sz w:val="21"/>
        </w:rPr>
        <w:t>[29]</w:t>
      </w:r>
      <w:bookmarkEnd w:id="1029"/>
      <w:r>
        <w:rPr>
          <w:rFonts w:ascii="Times New Roman" w:hAnsi="Times New Roman" w:eastAsia="宋体"/>
          <w:sz w:val="21"/>
        </w:rPr>
        <w:t xml:space="preserve"> Yu M, Gao J, Pan Y, et al. EGT-KG: Evidence-Grounded Typed KG Retrieval for Practical Scientific QA with Small Language Models[EB/OL]. arXiv:2609.00479, 2026.（所引为arXiv版本）</w:t>
      </w:r>
    </w:p>
    <w:p>
      <w:pPr>
        <w:spacing w:line="312" w:lineRule="auto"/>
        <w:ind w:left="480" w:leftChars="0" w:hanging="480" w:hangingChars="200"/>
      </w:pPr>
      <w:bookmarkStart w:id="1030" w:name="_Ref_ref030"/>
      <w:r>
        <w:rPr>
          <w:rFonts w:ascii="Times New Roman" w:hAnsi="Times New Roman" w:eastAsia="宋体"/>
          <w:sz w:val="21"/>
        </w:rPr>
        <w:t>[30]</w:t>
      </w:r>
      <w:bookmarkEnd w:id="1030"/>
      <w:r>
        <w:rPr>
          <w:rFonts w:ascii="Times New Roman" w:hAnsi="Times New Roman" w:eastAsia="宋体"/>
          <w:sz w:val="21"/>
        </w:rPr>
        <w:t xml:space="preserve"> Takahara W, Yamaguchi Y, Ogano M, et al. Materials Dual-Source Knowledge Retrieval-Augmented Generation for Local Large Language Models in Photocatalysts[J]. Journal of Chemical Information and Modeling, 2025, 65(24): 13098-13114. DOI: 10.1021/acs.jcim.5c01941.</w:t>
      </w:r>
    </w:p>
    <w:p>
      <w:pPr>
        <w:spacing w:line="312" w:lineRule="auto"/>
        <w:ind w:left="480" w:leftChars="0" w:hanging="480" w:hangingChars="200"/>
      </w:pPr>
      <w:bookmarkStart w:id="1031" w:name="_Ref_ref031"/>
      <w:r>
        <w:rPr>
          <w:rFonts w:ascii="Times New Roman" w:hAnsi="Times New Roman" w:eastAsia="宋体"/>
          <w:sz w:val="21"/>
        </w:rPr>
        <w:t>[31]</w:t>
      </w:r>
      <w:bookmarkEnd w:id="1031"/>
      <w:r>
        <w:rPr>
          <w:rFonts w:ascii="Times New Roman" w:hAnsi="Times New Roman" w:eastAsia="宋体"/>
          <w:sz w:val="21"/>
        </w:rPr>
        <w:t xml:space="preserve"> Parekh J R, Kweon W, Chan J, et al. Condition-Gated Reasoning for Context-Dependent Biomedical Question Answering[EB/OL]. arXiv:2602.17911, 2026.（所引为arXiv版本）</w:t>
      </w:r>
    </w:p>
    <w:p>
      <w:pPr>
        <w:spacing w:line="312" w:lineRule="auto"/>
        <w:ind w:left="480" w:leftChars="0" w:hanging="480" w:hangingChars="200"/>
      </w:pPr>
      <w:bookmarkStart w:id="1032" w:name="_Ref_ref032"/>
      <w:r>
        <w:rPr>
          <w:rFonts w:ascii="Times New Roman" w:hAnsi="Times New Roman" w:eastAsia="宋体"/>
          <w:sz w:val="21"/>
        </w:rPr>
        <w:t>[32]</w:t>
      </w:r>
      <w:bookmarkEnd w:id="1032"/>
      <w:r>
        <w:rPr>
          <w:rFonts w:ascii="Times New Roman" w:hAnsi="Times New Roman" w:eastAsia="宋体"/>
          <w:sz w:val="21"/>
        </w:rPr>
        <w:t xml:space="preserve"> Guan N, Koudas N. ActiveDP: Bridging Active Learning and Data Programming[EB/OL]. arXiv:2402.06056, 2024.（所引为arXiv版本）</w:t>
      </w:r>
    </w:p>
    <w:p>
      <w:pPr>
        <w:spacing w:line="312" w:lineRule="auto"/>
        <w:ind w:left="480" w:leftChars="0" w:hanging="480" w:hangingChars="200"/>
      </w:pPr>
      <w:bookmarkStart w:id="1033" w:name="_Ref_ref033"/>
      <w:r>
        <w:rPr>
          <w:rFonts w:ascii="Times New Roman" w:hAnsi="Times New Roman" w:eastAsia="宋体"/>
          <w:sz w:val="21"/>
        </w:rPr>
        <w:t>[33]</w:t>
      </w:r>
      <w:bookmarkEnd w:id="1033"/>
      <w:r>
        <w:rPr>
          <w:rFonts w:ascii="Times New Roman" w:hAnsi="Times New Roman" w:eastAsia="宋体"/>
          <w:sz w:val="21"/>
        </w:rPr>
        <w:t xml:space="preserve"> Nemhauser G L, Wolsey L A, Fisher M L. An analysis of approximations for maximizing submodular set functions—I[J]. Mathematical Programming, 1978, 14(1): 265-294. DOI: 10.1007/bf01588971.</w:t>
      </w:r>
    </w:p>
    <w:p>
      <w:pPr>
        <w:spacing w:line="312" w:lineRule="auto"/>
        <w:ind w:left="480" w:leftChars="0" w:hanging="480" w:hangingChars="200"/>
      </w:pPr>
      <w:bookmarkStart w:id="1034" w:name="_Ref_ref034"/>
      <w:r>
        <w:rPr>
          <w:rFonts w:ascii="Times New Roman" w:hAnsi="Times New Roman" w:eastAsia="宋体"/>
          <w:sz w:val="21"/>
        </w:rPr>
        <w:t>[34]</w:t>
      </w:r>
      <w:bookmarkEnd w:id="1034"/>
      <w:r>
        <w:rPr>
          <w:rFonts w:ascii="Times New Roman" w:hAnsi="Times New Roman" w:eastAsia="宋体"/>
          <w:sz w:val="21"/>
        </w:rPr>
        <w:t xml:space="preserve"> Optimal Document Selection in RAG via Combinatorial Optimization: A Theoretical Framework[EB/OL]. OpenReview, 2026. https://openreview.net/forum?id=gtcOku1v2s.（ACL ARR投稿版本，未据此认定正式录用）</w:t>
      </w:r>
    </w:p>
    <w:p>
      <w:pPr>
        <w:spacing w:line="312" w:lineRule="auto"/>
        <w:ind w:left="480" w:leftChars="0" w:hanging="480" w:hangingChars="200"/>
      </w:pPr>
      <w:bookmarkStart w:id="1035" w:name="_Ref_ref035"/>
      <w:r>
        <w:rPr>
          <w:rFonts w:ascii="Times New Roman" w:hAnsi="Times New Roman" w:eastAsia="宋体"/>
          <w:sz w:val="21"/>
        </w:rPr>
        <w:t>[35]</w:t>
      </w:r>
      <w:bookmarkEnd w:id="1035"/>
      <w:r>
        <w:rPr>
          <w:rFonts w:ascii="Times New Roman" w:hAnsi="Times New Roman" w:eastAsia="宋体"/>
          <w:sz w:val="21"/>
        </w:rPr>
        <w:t xml:space="preserve"> Jiang H, Wu Q, Lin C Y, et al. LLMLingua: Compressing Prompts for Accelerated Inference of Large Language Models[C]//Proceedings of the 2023 Conference on Empirical Methods in Natural Language Processing. 2023: 13358-13376. DOI: 10.18653/v1/2023.emnlp-main.825.</w:t>
      </w:r>
    </w:p>
    <w:p>
      <w:pPr>
        <w:spacing w:line="312" w:lineRule="auto"/>
        <w:ind w:left="480" w:leftChars="0" w:hanging="480" w:hangingChars="200"/>
      </w:pPr>
      <w:bookmarkStart w:id="1036" w:name="_Ref_ref036"/>
      <w:r>
        <w:rPr>
          <w:rFonts w:ascii="Times New Roman" w:hAnsi="Times New Roman" w:eastAsia="宋体"/>
          <w:sz w:val="21"/>
        </w:rPr>
        <w:t>[36]</w:t>
      </w:r>
      <w:bookmarkEnd w:id="1036"/>
      <w:r>
        <w:rPr>
          <w:rFonts w:ascii="Times New Roman" w:hAnsi="Times New Roman" w:eastAsia="宋体"/>
          <w:sz w:val="21"/>
        </w:rPr>
        <w:t xml:space="preserve"> Xu S, Wu Z, Jia X, et al. Self-Correcting RAG: Enhancing Faithfulness via MMKP Context Selection and NLI-Guided MCTS[EB/OL]. arXiv:2604.10734, 2026.（所引为arXiv版本）</w:t>
      </w:r>
    </w:p>
    <w:p>
      <w:pPr>
        <w:spacing w:line="312" w:lineRule="auto"/>
        <w:ind w:left="480" w:leftChars="0" w:hanging="480" w:hangingChars="200"/>
      </w:pPr>
      <w:bookmarkStart w:id="1037" w:name="_Ref_ref037"/>
      <w:r>
        <w:rPr>
          <w:rFonts w:ascii="Times New Roman" w:hAnsi="Times New Roman" w:eastAsia="宋体"/>
          <w:sz w:val="21"/>
        </w:rPr>
        <w:t>[37]</w:t>
      </w:r>
      <w:bookmarkEnd w:id="1037"/>
      <w:r>
        <w:rPr>
          <w:rFonts w:ascii="Times New Roman" w:hAnsi="Times New Roman" w:eastAsia="宋体"/>
          <w:sz w:val="21"/>
        </w:rPr>
        <w:t xml:space="preserve"> Lu Z, Lu Y, Chen M, et al. VITAL-RAG: Invariance Race for Context Allocation in Coding Agents[EB/OL]. arXiv:2607.26937, 2026.（所引为arXiv版本）</w:t>
      </w:r>
    </w:p>
    <w:p>
      <w:pPr>
        <w:spacing w:line="312" w:lineRule="auto"/>
        <w:ind w:left="480" w:leftChars="0" w:hanging="480" w:hangingChars="200"/>
      </w:pPr>
      <w:bookmarkStart w:id="1038" w:name="_Ref_ref038"/>
      <w:r>
        <w:rPr>
          <w:rFonts w:ascii="Times New Roman" w:hAnsi="Times New Roman" w:eastAsia="宋体"/>
          <w:sz w:val="21"/>
        </w:rPr>
        <w:t>[38]</w:t>
      </w:r>
      <w:bookmarkEnd w:id="1038"/>
      <w:r>
        <w:rPr>
          <w:rFonts w:ascii="Times New Roman" w:hAnsi="Times New Roman" w:eastAsia="宋体"/>
          <w:sz w:val="21"/>
        </w:rPr>
        <w:t xml:space="preserve"> Mody D. The Attribution-Compression Frontier in Retrieval-Augmented Generation[EB/OL]. arXiv:2609.14245, 2026.（所引为arXiv版本）</w:t>
      </w:r>
    </w:p>
    <w:p>
      <w:pPr>
        <w:spacing w:line="312" w:lineRule="auto"/>
        <w:ind w:left="480" w:leftChars="0" w:hanging="480" w:hangingChars="200"/>
      </w:pPr>
      <w:bookmarkStart w:id="1039" w:name="_Ref_ref039"/>
      <w:r>
        <w:rPr>
          <w:rFonts w:ascii="Times New Roman" w:hAnsi="Times New Roman" w:eastAsia="宋体"/>
          <w:sz w:val="21"/>
        </w:rPr>
        <w:t>[39]</w:t>
      </w:r>
      <w:bookmarkEnd w:id="1039"/>
      <w:r>
        <w:rPr>
          <w:rFonts w:ascii="Times New Roman" w:hAnsi="Times New Roman" w:eastAsia="宋体"/>
          <w:sz w:val="21"/>
        </w:rPr>
        <w:t xml:space="preserve"> Roy P, Martin S, Rostami M, et al. Can You Trust the Confidence? ConfBench for Vision-Language Models on Document Extraction[EB/OL]. arXiv:2608.01792, 2026.（所引为arXiv版本）</w:t>
      </w:r>
    </w:p>
    <w:p>
      <w:pPr>
        <w:spacing w:line="312" w:lineRule="auto"/>
        <w:ind w:left="480" w:leftChars="0" w:hanging="480" w:hangingChars="200"/>
      </w:pPr>
      <w:bookmarkStart w:id="1040" w:name="_Ref_ref040"/>
      <w:r>
        <w:rPr>
          <w:rFonts w:ascii="Times New Roman" w:hAnsi="Times New Roman" w:eastAsia="宋体"/>
          <w:sz w:val="21"/>
        </w:rPr>
        <w:t>[40]</w:t>
      </w:r>
      <w:bookmarkEnd w:id="1040"/>
      <w:r>
        <w:rPr>
          <w:rFonts w:ascii="Times New Roman" w:hAnsi="Times New Roman" w:eastAsia="宋体"/>
          <w:sz w:val="21"/>
        </w:rPr>
        <w:t xml:space="preserve"> Zhang X, Li J, Shao B, et al. Fine-Tuning Small Language Models for Reliable VASP INCAR Generation[EB/OL]. arXiv:2608.05387, 2026.（所引为arXiv版本）</w:t>
      </w:r>
    </w:p>
    <w:sectPr w:rsidR="00FC693F" w:rsidRPr="0006063C" w:rsidSect="00034616">
      <w:footerReference w:type="default" r:id="rId10"/>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12" w:lineRule="auto"/>
      <w:ind w:left="720" w:firstLine="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面向材料文献问答的条件可比 RAG 与小模型蒸馏方法研究</dc:title>
  <dc:subject/>
  <dc:creator/>
  <cp:keywords/>
  <dc:description>由 build_report.py 从 Markdown 生成</dc:description>
  <cp:lastModifiedBy/>
  <cp:revision>1</cp:revision>
  <dcterms:created xsi:type="dcterms:W3CDTF">2013-12-23T23:15:00Z</dcterms:created>
  <dcterms:modified xsi:type="dcterms:W3CDTF">2013-12-23T23:15:00Z</dcterms:modified>
  <cp:category/>
</cp:coreProperties>
</file>