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eastAsia="黑体"/>
          <w:b/>
          <w:color w:val="1B3A52"/>
          <w:sz w:val="40"/>
        </w:rPr>
        <w:t>硕士学位论文开题报告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材料问答中的选择性拒答：置信门控与风险—覆盖权衡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关键词：材料问答；选择性拒答；不确定性；风险—覆盖；大语言模型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学科专业：计算机科学与技术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研究方向：大模型与材料智能设计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报告日期：2026 年 10 月 18 日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工作语言：中文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摘要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问答中，大语言模型经常在缺乏数据时给出自信答案。问它一个数据库里没有的化合物带隙，它会报一个具体数值；问它一个罕见体系的稳定性，它会给出肯定判断。这类答案在格式上完全正常，在事实上可能毫无依据。一个更有用的系统应该知道什么时候说「数据不足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通用领域已经有弃答研究：模型会依据内部置信度决定回答还是弃答，也存在训练专门的选择器来决定是否展示答案 [1, 2]。但这些工作依赖模型自报置信度或 logit，而闭源模型往往不提供可靠的内部信号；它们也没有利用材料领域特有的外部线索。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把选择性拒答引入材料问答。核心观察是：材料问题的「该不该答」可以由三个可计算的外部信号判断——数据覆盖率（该成分在数据库中的近邻密度）、条件冲突度（同一实体是否存在条件不同的冲突证据）、外推距离（候选与已知稳定材料集合的成分距离）。这三个信号不依赖模型内部，因此对闭源模型同样适用，也更容易审计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本课题提出置信门控拒答算法 CGA（Confidence-Gated Abstention），在材料问答集上构造风险—覆盖曲线，回答「在给定错误率上限下，系统能回答多少问题」。拒答不止于「数据不足」四个字——我们进一步用证据链算法 PCP 给出拒答理由：查了哪些来源、它们在什么条件下冲突。这部分是原「知识溯源」方向的并入。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预期贡献：材料特有的拒答信号与 CGA 算法；拒答理由的证据链 PCP；首个材料问答弃答基准；风险—覆盖权衡的定量结果。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 研究背景与意义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1.1 材料问答的可信度问题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材料问答是 LLM 在材料领域最常见的用法：问带隙、问稳定性、问合成条件、问某个体系有没有人做过。这类问题的正确答案依赖数据库与文献，而模型的知识来自预训练，两者并不总是一致。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已有的可靠性研究主要关注「答案对不对」：MatPCR 用物理规律检验推理链 [3]，另一项工作用数据库接地检测编造 [4]。这些工作能发现错误，但不能回答一个更前置的问题：</w:t>
      </w:r>
      <w:r>
        <w:rPr>
          <w:rFonts w:ascii="Times New Roman" w:hAnsi="Times New Roman" w:eastAsia="宋体"/>
          <w:b/>
          <w:color w:val="1A1A1A"/>
          <w:sz w:val="21"/>
        </w:rPr>
        <w:t>这个错误本来能不能避免？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如果模型在数据不足时选择说「不知道」，很多错误就不会发生。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1.2 弃答是一个独立问题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弃答（abstention）不是「答错」的子集，而是一个单独的决策：给定问题与候选答案，系统选择输出答案还是输出「数据不足」。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通用领域的研究表明，模型确实具备基于置信度的元认知控制：它们对内部置信度设隐式阈值，超过阈值才回答；人为增强或抑制置信信号，弃答率会相应变化 [1]。也有工作比较「训练模型自己弃答」与「训练一个独立选择器」两条路线，发现选择器在部分数据集上能提升效用，但跨数据集的可靠弃答仍未解决 [2]。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这些结果说明两件事：弃答是可以被建模与评测的；但它不是一个已经解决的问题。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1.3 材料弃答的特殊性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材料领域有三个别处没有的信号，可以直接用来判断「该不该答」：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数据覆盖率。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材料数据高度不均衡：常见体系（如 Si、TiO₂、LiFePO₄）在数据库与文献里有成千上万条记录，罕见体系可能只有个位数。一个问题的答案是否可靠，与该成分在训练/检索中的近邻密度强相关。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条件冲突度。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同一材料在不同数据库、不同泛函、不同实验条件下可能有不同答案。跨库比对显示，17%—18% 的稳定性判定在数据库之间冲突 [5]。如果一个问题涉及的实体存在条件冲突，模型给出单一答案的风险就高，应该报告分歧或弃答。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外推距离。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候选材料与已知稳定材料集合的成分距离，决定了它是「插值」还是「外推」。外推区域的预测可靠性天然更低。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这三个信号都是可计算的，不依赖模型内部状态。这使得弃答决策可以被外部审计，也可以在没有 logit 的闭源模型上使用。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1.4 研究意义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理论意义。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弃答研究通常把「置信度」当作模型内部属性；本课题把它拆成可观察的外部信号，并检验这些信号能否替代内部置信度。这为「黑箱模型的弃答」提供了一条不依赖权重访问的路径。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应用意义。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一个会拒答的材料助手，比一个自信但错误的助手更适合进入真实工作流：它把「这个问题没有可靠数据」的判断交给使用者，而不是隐藏。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2 国内外研究现状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2.1 国内研究现状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国内在材料基因工程框架下已建立高通量计算与材料大数据平台 [6]，并在目标性质导向的材料生成上有系统综述 [7]。在材料问答的可靠性方向，国内工作主要集中在知识抽取与数据库构建，尚未见到针对「弃答决策」的专门研究。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2.2 通用领域的弃答研究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置信度驱动的弃答</w:t>
      </w:r>
      <w:r>
        <w:rPr>
          <w:rFonts w:ascii="Times New Roman" w:hAnsi="Times New Roman" w:eastAsia="宋体"/>
          <w:b w:val="0"/>
          <w:color w:val="1A1A1A"/>
          <w:sz w:val="21"/>
        </w:rPr>
        <w:t>：模型对内部置信度设隐式阈值，置信度是弃答行为的主要预测因子；激活引导可以因果地改变弃答率 [1]。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学习弃答</w:t>
      </w:r>
      <w:r>
        <w:rPr>
          <w:rFonts w:ascii="Times New Roman" w:hAnsi="Times New Roman" w:eastAsia="宋体"/>
          <w:b w:val="0"/>
          <w:color w:val="1A1A1A"/>
          <w:sz w:val="21"/>
        </w:rPr>
        <w:t>：比较训练模型自身与训练独立选择器两条路线，发现选择器在部分数据集上提升效用，但跨数据集仍不稳定 [2]。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弃答基准</w:t>
      </w:r>
      <w:r>
        <w:rPr>
          <w:rFonts w:ascii="Times New Roman" w:hAnsi="Times New Roman" w:eastAsia="宋体"/>
          <w:b w:val="0"/>
          <w:color w:val="1A1A1A"/>
          <w:sz w:val="21"/>
        </w:rPr>
        <w:t>：AbstentionBench 把弃答原因分类（信息缺失、虚假前提等），并给出评测协议 [9]。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这些工作的共同点是依赖模型自报置信度或内部信号；对于不提供 logit 的闭源模型，这条路走不通。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2.3 材料领域的可靠性研究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物理一致性</w:t>
      </w:r>
      <w:r>
        <w:rPr>
          <w:rFonts w:ascii="Times New Roman" w:hAnsi="Times New Roman" w:eastAsia="宋体"/>
          <w:b w:val="0"/>
          <w:color w:val="1A1A1A"/>
          <w:sz w:val="21"/>
        </w:rPr>
        <w:t>：MatPCR 用程序化 oracle 检验衍射几何、凸包稳定性、带隙类别与磁化，定义物理一致性率 [3]。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接地验证</w:t>
      </w:r>
      <w:r>
        <w:rPr>
          <w:rFonts w:ascii="Times New Roman" w:hAnsi="Times New Roman" w:eastAsia="宋体"/>
          <w:b w:val="0"/>
          <w:color w:val="1A1A1A"/>
          <w:sz w:val="21"/>
        </w:rPr>
        <w:t>：用数据库接地的方式检测与修复化学推理中的编造，报告检测是瓶颈而非修复 [4]。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检索增强</w:t>
      </w:r>
      <w:r>
        <w:rPr>
          <w:rFonts w:ascii="Times New Roman" w:hAnsi="Times New Roman" w:eastAsia="宋体"/>
          <w:b w:val="0"/>
          <w:color w:val="1A1A1A"/>
          <w:sz w:val="21"/>
        </w:rPr>
        <w:t>：LLaMP 用多模态 RAG 减少幻觉，并提出响应自一致性指标 [8]。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这些工作都在「答案错了之后」做检测或修复，没有在「生成之前」决定是否该答。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2.4 现有研究的空白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空白一：材料问答没有弃答基准。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现有材料基准评的是答案准确率或物理一致性 [3, 4]，不评「该不该答」。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空白二：材料特有的弃答信号没有被使用。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数据覆盖率、条件冲突度、外推距离在材料领域都可计算，但没有被组织成弃答判据。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空白三：风险—覆盖权衡没有被量化。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「多拒答能降低错误率」是常识，但降到什么程度、代价多大，没有数据。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3 研究内容与目标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3.1 研究目标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构造一个材料问答的弃答决策方法，在给定错误率上限下最大化可回答比例，并给出风险—覆盖曲线。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3.2 研究内容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内容一：材料弃答基准。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从 Elpasolite 的 DFT 子集与 Materials Project 构造问答集，每题给出标准答案，并记录模型实际答对/答错。</w:t>
      </w:r>
      <w:r>
        <w:rPr>
          <w:rFonts w:ascii="Times New Roman" w:hAnsi="Times New Roman" w:eastAsia="宋体"/>
          <w:b/>
          <w:color w:val="1A1A1A"/>
          <w:sz w:val="21"/>
        </w:rPr>
        <w:t>主标签是「模型是否答错」</w:t>
      </w:r>
      <w:r>
        <w:rPr>
          <w:rFonts w:ascii="Times New Roman" w:hAnsi="Times New Roman" w:eastAsia="宋体"/>
          <w:b w:val="0"/>
          <w:color w:val="1A1A1A"/>
          <w:sz w:val="21"/>
        </w:rPr>
        <w:t>；数据覆盖率、条件冲突度、外推距离作为辅助元数据，用于检验「外部信号能否预测错误」，而不是用来定义标签（否则构成循环论证，见 §3.3）。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内容二：CGA 算法。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用数据覆盖率、条件冲突度、外推距离三个信号构造弃答分数，学习阈值或权重。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内容三：风险—覆盖评测。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绘制不同方法的风险—覆盖曲线，比较 CGA 与内部置信度基线。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3.3 拟解决的关键问题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关键问题一：「模型答错」如何定义。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本课题不用「可答性规则」作为主标签，而用「模型实际答对/答错」：在 Elpasolite 的约 10⁴ DFT 真值子集上，模型答案与真值的差异超过阈值即判错。可答性规则（覆盖率 + 冲突度）降为辅助标签，用于检验「外部信号能否预测模型错误」，而不是用它定义标签再用它预测——后者会构成循环论证。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关键问题二：三个信号如何组合。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最简单是线性加权，但三个信号的量纲不同，且可能相关。本课题比较线性加权、逻辑回归与简单的树模型，以验证「信号是否有效」而不是「模型是否复杂」。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关键问题三：弃答会不会退化为「总是不知道」。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必须同时报告覆盖率，并设置「无冲突正常率」指标，防止用保守换分数。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4 研究方法与技术路线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4.1 问题形式化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设材料问题为 q，候选答案为 a，证据集合为 E。定义弃答决策函数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g(q, a, E) ∈ {answer, abstain}。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目标是：在错误率 err(g) ≤ α 的约束下，最大化覆盖率 cov(g)，其中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cov(g) = 被回答的问题数 / 总问题数，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err(g) = 被回答且答错的问题数 / 被回答的问题数。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4.2 核心算法：CGA（Confidence-Gated Abstention）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输入</w:t>
      </w:r>
      <w:r>
        <w:rPr>
          <w:rFonts w:ascii="Times New Roman" w:hAnsi="Times New Roman" w:eastAsia="宋体"/>
          <w:b w:val="0"/>
          <w:color w:val="1A1A1A"/>
          <w:sz w:val="21"/>
        </w:rPr>
        <w:t>：问题 q、候选答案 a、证据集合 E。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特征构造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1. </w:t>
      </w:r>
      <w:r>
        <w:rPr>
          <w:rFonts w:ascii="Times New Roman" w:hAnsi="Times New Roman" w:eastAsia="宋体"/>
          <w:b/>
          <w:color w:val="1A1A1A"/>
          <w:sz w:val="21"/>
        </w:rPr>
        <w:t>数据覆盖率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f₁：在数据源中检索与 a 涉及成分最接近的 k 条记录，计算近邻密度（如 k 近邻的平均成分距离的倒数）。密度低表示数据稀疏。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2. </w:t>
      </w:r>
      <w:r>
        <w:rPr>
          <w:rFonts w:ascii="Times New Roman" w:hAnsi="Times New Roman" w:eastAsia="宋体"/>
          <w:b/>
          <w:color w:val="1A1A1A"/>
          <w:sz w:val="21"/>
        </w:rPr>
        <w:t>条件冲突度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f₂：检查 E 中是否存在同一实体、条件不同、取值差异超过阈值 τ 的证据对。冲突越多，f₂ 越高。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3. </w:t>
      </w:r>
      <w:r>
        <w:rPr>
          <w:rFonts w:ascii="Times New Roman" w:hAnsi="Times New Roman" w:eastAsia="宋体"/>
          <w:b/>
          <w:color w:val="1A1A1A"/>
          <w:sz w:val="21"/>
        </w:rPr>
        <w:t>外推距离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f₃：a 的成分与已知稳定材料集合的元素分数距离的最小值。距离越大，外推越远。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4. </w:t>
      </w:r>
      <w:r>
        <w:rPr>
          <w:rFonts w:ascii="Times New Roman" w:hAnsi="Times New Roman" w:eastAsia="宋体"/>
          <w:b/>
          <w:color w:val="1A1A1A"/>
          <w:sz w:val="21"/>
        </w:rPr>
        <w:t>自报置信度的校准偏差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f₄（可选）：模型自报置信度与同区间历史实际正确率之差。这一项来自早期选题「校准决策」的并入——该方向关心「模型说 0.8 时实际是不是 0.8」，在拒答场景里它正好可以作为第四个信号。但它是模型内部信号，闭源模型可能不可得，因此作为可选特征，不放入主实验。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打分与门控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s = σ(w₁·f₁ + w₂·f₂ + w₃·f₃ + w₄·f₄ + b)，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若 s &gt; θ 则弃答，否则回答。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权重 w 与阈值 θ 在验证集上学习，目标是满足错误率约束下覆盖率最大。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与通用弃答的区别</w:t>
      </w:r>
      <w:r>
        <w:rPr>
          <w:rFonts w:ascii="Times New Roman" w:hAnsi="Times New Roman" w:eastAsia="宋体"/>
          <w:b w:val="0"/>
          <w:color w:val="1A1A1A"/>
          <w:sz w:val="21"/>
        </w:rPr>
        <w:t>：通用方法用模型自报置信度或 logit [1, 2]；CGA 以三个外部可计算信号（覆盖率、冲突度、外推距离）为主，外加一个可选的内部校准特征 f₄，不依赖模型内部，因此对闭源模型同样适用，也可以被第三方复算。f₄ 作为可选补充，用于检验「内部校准 + 外部信号」是否优于单用外部信号。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复杂度</w:t>
      </w:r>
      <w:r>
        <w:rPr>
          <w:rFonts w:ascii="Times New Roman" w:hAnsi="Times New Roman" w:eastAsia="宋体"/>
          <w:b w:val="0"/>
          <w:color w:val="1A1A1A"/>
          <w:sz w:val="21"/>
        </w:rPr>
        <w:t>：每个问题需要一次近邻检索与一次冲突检查，毫秒到秒级，远低于模型推理本身。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4.3 验证协议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在测试集上扫描 θ，得到风险—覆盖曲线；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与四个基线比较：固定阈值（用模型自报置信度）、总是回答、总是弃答、随机弃答；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报告 AUC（风险—覆盖曲线下面积）与在固定错误率（如 10%、20%）下的覆盖率；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消融四个特征（含可选的自报置信度校准），检验各自贡献。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4.4 技术路线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问答集构造（Elpasolite / MP / 文献 QA）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可答性标注（数据覆盖 + 一致性规则）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三个特征计算（覆盖 / 冲突 / 外推）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CGA 训练与阈值学习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风险—覆盖曲线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消融与错误分析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4.5 拒答理由与证据溯源：PCP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拒答只说「数据不足」不够。使用者会问：你查了什么？它们为什么冲突？这条溯源原为独立方向「知识溯源」，现并入本节，作为拒答的可解释模块。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PCP（Provenance Chain Parsing）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1. </w:t>
      </w:r>
      <w:r>
        <w:rPr>
          <w:rFonts w:ascii="Times New Roman" w:hAnsi="Times New Roman" w:eastAsia="宋体"/>
          <w:b/>
          <w:color w:val="1A1A1A"/>
          <w:sz w:val="21"/>
        </w:rPr>
        <w:t>主张分解</w:t>
      </w:r>
      <w:r>
        <w:rPr>
          <w:rFonts w:ascii="Times New Roman" w:hAnsi="Times New Roman" w:eastAsia="宋体"/>
          <w:b w:val="0"/>
          <w:color w:val="1A1A1A"/>
          <w:sz w:val="21"/>
        </w:rPr>
        <w:t>：把「该材料是否可答」拆成 (实体, 属性, 条件) 三元组；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2. </w:t>
      </w:r>
      <w:r>
        <w:rPr>
          <w:rFonts w:ascii="Times New Roman" w:hAnsi="Times New Roman" w:eastAsia="宋体"/>
          <w:b/>
          <w:color w:val="1A1A1A"/>
          <w:sz w:val="21"/>
        </w:rPr>
        <w:t>证据检索</w:t>
      </w:r>
      <w:r>
        <w:rPr>
          <w:rFonts w:ascii="Times New Roman" w:hAnsi="Times New Roman" w:eastAsia="宋体"/>
          <w:b w:val="0"/>
          <w:color w:val="1A1A1A"/>
          <w:sz w:val="21"/>
        </w:rPr>
        <w:t>：对每个主张检索匹配证据；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3. </w:t>
      </w:r>
      <w:r>
        <w:rPr>
          <w:rFonts w:ascii="Times New Roman" w:hAnsi="Times New Roman" w:eastAsia="宋体"/>
          <w:b/>
          <w:color w:val="1A1A1A"/>
          <w:sz w:val="21"/>
        </w:rPr>
        <w:t>三维打分</w:t>
      </w:r>
      <w:r>
        <w:rPr>
          <w:rFonts w:ascii="Times New Roman" w:hAnsi="Times New Roman" w:eastAsia="宋体"/>
          <w:b w:val="0"/>
          <w:color w:val="1A1A1A"/>
          <w:sz w:val="21"/>
        </w:rPr>
        <w:t>：来源类型（特征，权重不预设）、条件匹配度、新鲜度；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4. </w:t>
      </w:r>
      <w:r>
        <w:rPr>
          <w:rFonts w:ascii="Times New Roman" w:hAnsi="Times New Roman" w:eastAsia="宋体"/>
          <w:b/>
          <w:color w:val="1A1A1A"/>
          <w:sz w:val="21"/>
        </w:rPr>
        <w:t>可学习聚合</w:t>
      </w:r>
      <w:r>
        <w:rPr>
          <w:rFonts w:ascii="Times New Roman" w:hAnsi="Times New Roman" w:eastAsia="宋体"/>
          <w:b w:val="0"/>
          <w:color w:val="1A1A1A"/>
          <w:sz w:val="21"/>
        </w:rPr>
        <w:t>：Score = f(s₁,s₂,s₃)，用 pairwise 标注（证据 A 是否比 B 更支持主张）训练小排序模型，避免硬编码；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5. </w:t>
      </w:r>
      <w:r>
        <w:rPr>
          <w:rFonts w:ascii="Times New Roman" w:hAnsi="Times New Roman" w:eastAsia="宋体"/>
          <w:b/>
          <w:color w:val="1A1A1A"/>
          <w:sz w:val="21"/>
        </w:rPr>
        <w:t>输出</w:t>
      </w:r>
      <w:r>
        <w:rPr>
          <w:rFonts w:ascii="Times New Roman" w:hAnsi="Times New Roman" w:eastAsia="宋体"/>
          <w:b w:val="0"/>
          <w:color w:val="1A1A1A"/>
          <w:sz w:val="21"/>
        </w:rPr>
        <w:t>：拒答时附「已查来源 + 冲突说明」，而不是只输出「数据不足」。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与 ARIA 的区别</w:t>
      </w:r>
      <w:r>
        <w:rPr>
          <w:rFonts w:ascii="Times New Roman" w:hAnsi="Times New Roman" w:eastAsia="宋体"/>
          <w:b w:val="0"/>
          <w:color w:val="1A1A1A"/>
          <w:sz w:val="21"/>
        </w:rPr>
        <w:t>：ARIA 的 provenance 是知识图谱边的出处；PCP 是「主张—证据—条件」的结构化链路，强调条件匹配（泛函、温度）。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复杂度</w:t>
      </w:r>
      <w:r>
        <w:rPr>
          <w:rFonts w:ascii="Times New Roman" w:hAnsi="Times New Roman" w:eastAsia="宋体"/>
          <w:b w:val="0"/>
          <w:color w:val="1A1A1A"/>
          <w:sz w:val="21"/>
        </w:rPr>
        <w:t>：每个主张一次检索，毫秒到秒级。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5 实验设计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5.1 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来源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规模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用途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Elpasolite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2×10⁶ 化学空间（ML 预测，MAE≈0.1 eV/atom）；约 10⁴ DFT 真值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闭集问答只用 DFT 子集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Materials Project 子集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按体系选取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开放集问答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文献 QA（可选）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数百条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检验真实场景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问题类型：带隙数值、稳定性判断、是否存在某成分、某体系的最佳候选。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5.2 对比基线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编号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方法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B0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总是回答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下界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总是弃答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上界（覆盖率 0）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模型自报置信度阈值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通用弃答做法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B3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随机弃答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对照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B4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CGA（本文）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三信号门控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5.3 评价指标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风险—覆盖曲线与 AUC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固定错误率（10%、20%）下的覆盖率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弃答理由的准确性（弃答是否发生在数据确实不足的问题上）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无冲突正常率（防止过度弃答）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5.4 消融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三个特征各自的贡献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特征组合方式（线性 / 逻辑回归 / 树模型）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阈值 θ 的敏感性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不同模型（开源 / 闭源）上的表现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5.5 溯源实验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在拒答集与可答集上各抽 150 条，人工标注「证据是否支持结论」，比较四种做法：无溯源（只给弃答/回答）、LLM 自报来源、普通 RAG、PCP。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指标</w:t>
      </w:r>
      <w:r>
        <w:rPr>
          <w:rFonts w:ascii="Times New Roman" w:hAnsi="Times New Roman" w:eastAsia="宋体"/>
          <w:b w:val="0"/>
          <w:color w:val="1A1A1A"/>
          <w:sz w:val="21"/>
        </w:rPr>
        <w:t>：溯源准确率、引用一致性、条件匹配率。验证 PCP 是否让「拒答理由」变得可核查，而不是更长的套话。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5.6 真实实验验证（不具备，明确排除）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本课题是问答可靠性研究，评测对象是「模型是否该答」，</w:t>
      </w:r>
      <w:r>
        <w:rPr>
          <w:rFonts w:ascii="Times New Roman" w:hAnsi="Times New Roman" w:eastAsia="宋体"/>
          <w:b/>
          <w:color w:val="1A1A1A"/>
          <w:sz w:val="21"/>
        </w:rPr>
        <w:t>与材料合成实验无直接对应关系</w:t>
      </w:r>
      <w:r>
        <w:rPr>
          <w:rFonts w:ascii="Times New Roman" w:hAnsi="Times New Roman" w:eastAsia="宋体"/>
          <w:b w:val="0"/>
          <w:color w:val="1A1A1A"/>
          <w:sz w:val="21"/>
        </w:rPr>
        <w:t>：拒答是否恰当，取决于答案是否有据可查，而不取决于某个候选能否被制备出来。因此本课题不安排真实材料实验，这不是资源限制下的妥协，而是问题性质决定的。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若审阅者要求「落地证据」，可替代为</w:t>
      </w:r>
      <w:r>
        <w:rPr>
          <w:rFonts w:ascii="Times New Roman" w:hAnsi="Times New Roman" w:eastAsia="宋体"/>
          <w:b/>
          <w:color w:val="1A1A1A"/>
          <w:sz w:val="21"/>
        </w:rPr>
        <w:t>领域专家标注</w:t>
      </w:r>
      <w:r>
        <w:rPr>
          <w:rFonts w:ascii="Times New Roman" w:hAnsi="Times New Roman" w:eastAsia="宋体"/>
          <w:b w:val="0"/>
          <w:color w:val="1A1A1A"/>
          <w:sz w:val="21"/>
        </w:rPr>
        <w:t>：请 1—2 名材料方向研究者对 100 条弃答样本独立判断「此处是否确实应当弃答」，报告标注者间一致率（Cohen's κ）。这比一次合成实验更贴合本课题的构念效度，成本也低得多。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须在局限性中写明</w:t>
      </w:r>
      <w:r>
        <w:rPr>
          <w:rFonts w:ascii="Times New Roman" w:hAnsi="Times New Roman" w:eastAsia="宋体"/>
          <w:b w:val="0"/>
          <w:color w:val="1A1A1A"/>
          <w:sz w:val="21"/>
        </w:rPr>
        <w:t>：本课题的全部结论来自离线问答集与专家标注，不含任何合成或表征环节；「弃答判据在真实科研工作流中是否被采纳」不在本文验证范围内。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6 特色与创新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算法创新：CGA（置信门控拒答）。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通用弃答依赖模型自报置信度或 logit [1, 2]；CGA 用数据覆盖率、条件冲突度、外推距离三个外部可计算信号，不依赖模型内部，对闭源模型可用，也可被第三方复算。实现约 300 行（含检索与特征计算），验证方式是风险—覆盖曲线与四个基线的对比。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算法创新：PCP（证据链构建）。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拒答时附上「已查来源 + 冲突说明」，而不是只输出「数据不足」。PCP 把推荐拆成主张，逐条检索证据，用 pairwise 可学习排序打分——避免「为什么计算数据库一定比实验文献可信」这类硬编码先验。实现约 400 行，验证方式是 300 条人工标注的溯源准确率。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评测创新：首个材料问答弃答基准。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现有材料基准评答案准确率或物理一致性 [3, 4]，不评「该不该答」。本课题以</w:t>
      </w:r>
      <w:r>
        <w:rPr>
          <w:rFonts w:ascii="Times New Roman" w:hAnsi="Times New Roman" w:eastAsia="宋体"/>
          <w:b/>
          <w:color w:val="1A1A1A"/>
          <w:sz w:val="21"/>
        </w:rPr>
        <w:t>模型实际答错</w:t>
      </w:r>
      <w:r>
        <w:rPr>
          <w:rFonts w:ascii="Times New Roman" w:hAnsi="Times New Roman" w:eastAsia="宋体"/>
          <w:b w:val="0"/>
          <w:color w:val="1A1A1A"/>
          <w:sz w:val="21"/>
        </w:rPr>
        <w:t>为主标签构造弃答评测，规则只用于生成辅助特征——这样既避免主观标注，也避免「用规则定义标签再用规则评价模型」的循环。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方法创新：风险—覆盖权衡的定量结果。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不只报告「弃答能降错误率」，而是给出「在 10% 错误率下能回答多少问题」这类可直接使用的数字。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7 预期成果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硕士学位论文一篇。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SCI 论文一篇，拟投 npj Computational Materials、Journal of Chemical Information and Modeling 或 Digital Discovery。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开源基准与 CGA 实现。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4. 风险—覆盖结果表。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8 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主要工作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里程碑与判据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第一阶段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1—2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问答集构造、可答性标注、特征实现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标注规则可复核，特征可计算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第二阶段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3—4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CGA 训练、风险—覆盖评测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第一张对比表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第三阶段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5—6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消融、跨模型验证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结论在两个模型上一致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第四阶段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7—8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文献 QA 扩展、错误分析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真实场景可用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第五阶段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9—10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论文撰写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初稿完成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第六阶段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11—12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投稿、修改、答辩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论文投出，学位论文通过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阶段判据。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第 2 月末检查：如果可答性标注的人工抽检一致率低于 85%，说明规则不可靠，需要调整 k 与阈值。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9 研究基础与条件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本人具备 Python 与 PyTorch 编程能力，熟悉检索、特征工程与评测流程，能够完成近邻检索、冲突检测与曲线绘制。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算力条件为单张 RTX 5090，足以支撑 8B 模型推理与特征计算；闭源模型通过 API 抽样。数据来自公开基准。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尚未完成的准备工作包括：可答性标注规则的人工校准、文献 QA 的版权确认、以及针对「materials abstention」的定向查新补全。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10 可行性分析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三个特征都是常规计算：近邻检索用向量索引，冲突检测用规则，外推距离用成分向量距离。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数据可行性。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Elpasolite 的 2×10⁶ 成分中约 10⁴ 个有 DFT 真值（Faber 等 [10]），闭集问答与「答对/答错」判定只在这个 DFT 子集上进行；其余 2×10⁶ 为 ML 预测值（MAE≈0.1 eV/atom），</w:t>
      </w:r>
      <w:r>
        <w:rPr>
          <w:rFonts w:ascii="Times New Roman" w:hAnsi="Times New Roman" w:eastAsia="宋体"/>
          <w:b/>
          <w:color w:val="1A1A1A"/>
          <w:sz w:val="21"/>
        </w:rPr>
        <w:t>不作为精确真值使用</w:t>
      </w:r>
      <w:r>
        <w:rPr>
          <w:rFonts w:ascii="Times New Roman" w:hAnsi="Times New Roman" w:eastAsia="宋体"/>
          <w:b w:val="0"/>
          <w:color w:val="1A1A1A"/>
          <w:sz w:val="21"/>
        </w:rPr>
        <w:t>。Materials Project 提供 API。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成本可行性。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特征计算不调用大模型，成本主要在问答推理；若用本地 8B 模型，可控。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主要不确定性。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最大风险是「外部信号不如内部置信度」。如果 CGA 的风险—覆盖曲线不如 B2（模型自报置信度），说明材料特有信号的假设不成立。这必须在第 3—4 月用实验判定。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11 风险、退出条件与应对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风险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表现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应对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外部信号无效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CGA 不如模型自报置信度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转为「信号对比分析」，报告什么信号有用什么没用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可答性标注争议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人工抽检一致率低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公开规则与抽检结果，调整阈值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过度弃答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覆盖率过低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设置覆盖下限，报告曲线而非单点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闭源模型无法获取置信度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B2 基线跑不了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用「模型自报不确定性文本」替代，或只做开源模型对比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与知识冲突方向重叠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审稿人认为与报告 02 重复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明确区分：报告 02 处理「有冲突时怎么答」，本课题（01）处理「数据不足时答不答」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方向退出条件。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满足以下任一条件时停止当前方向：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第 3 月末，CGA 的风险—覆盖 AUC 低于模型自报置信度基线 5% 以上；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第 5 月末，三个特征中只有数据覆盖率有效，其余两个无贡献；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可答性标注在两次独立抽检中一致率低于 80%。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参考文献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[1] Causal Evidence that Language Models use Confidence to Drive Behavior. arXiv:2603.22161,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https://arxiv.org/pdf/2603.22161v1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[2] Can Language Models Learn When to Abstain? Policy Learning and Calibrated Answer Selection. arXiv:2610.13821,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https://arxiv.org/pdf/2610.13821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[3] Physics as the label for measuring and correcting materials reasoning in multimodal models. arXiv:2609.12181,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https://arxiv.org/html/2609.12181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[4] Grounded verification of chemical and materials reasoning: detection is the bottleneck. arXiv:2607.17417,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https://arxiv.org/abs/2607.17417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[5] How Much Do Materials Databases Disagree? Materials Project vs JARVIS vs AFLOW vs OQMD. LatticeGraph Atlas,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https://latticegraph.com/atlas/dft-database-disagreement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[6] 宿彦京, 付华栋, 白洋, 姜雪, 谢建新. 中国材料基因工程研究进展. 金属学报, 2020, 56(10): 1313–1323.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[7] 刘章赫, 陈新宇, 周跫桦, 王金兰. 目标性质导向的材料生成: 迈向按需构筑的材料逆向设计. 物理学报, 2025, 74(24): 240701.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[8] LLaMP: Large Language Model Made Powerful for High-fidelity Materials Knowledge Retrieval. arXiv:2401.17244, 2024.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https://arxiv.org/html/2401.17244v3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[9] Kirichenko P, Ibrahim M, Chaudhuri K, Bell S J. AbstentionBench: Reasoning LLMs Fail on Unanswerable Questions. NeurIPS 2025. arXiv:2506.09038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[10] Faber F A, Lindmaa A, von Lilienfeld O A, Armiento R. Machine Learning Energies of 2 M Elpasolite (ABC₂D₆) Crystals. Physical Review Letters, 2016, 117: 135502. arXiv:1508.05315. （Elpasolite 数据集来源（2×10⁶ ML 预测成分 + 约 10⁴ DFT 真值））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附：查新结论与证据边界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本方向的查新强度：中高。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检索覆盖「abstention materials LLM」「selective prediction materials」「uncertainty refusal materials」「risk-coverage materials」四组关键词。通用领域的弃答研究已核实存在：置信度驱动弃答的因果证据 [1]、学习弃答与选择器的对比 [2]、AbstentionBench 基准 [9]。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未发现材料领域的专门弃答研究。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材料可靠性工作集中在「答案对不对」[3, 4]与「检索增强」[8]，没有处理「该不该答」。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需要说明的边界：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「未发现」不等于「不存在」。正式开题前应补充检索 ACL、NeurIPS、npj Comput Mater 三条线，重点确认「materials abstention」「selective prediction for materials」是否已有工作。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本方向与报告 02（知识冲突）相邻，必须在论文中明确区分：02 处理「有冲突时怎么答」，本课题（01）处理「数据不足时答不答」。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3. </w:t>
      </w:r>
      <w:r>
        <w:rPr>
          <w:rFonts w:ascii="Times New Roman" w:hAnsi="Times New Roman" w:eastAsia="宋体"/>
          <w:b/>
          <w:color w:val="1A1A1A"/>
          <w:sz w:val="21"/>
        </w:rPr>
        <w:t>早期版本用规则定义「可答」、再用该规则评价模型，构成循环论证；本版已改为以「模型实际答错」为主标签</w:t>
      </w:r>
      <w:r>
        <w:rPr>
          <w:rFonts w:ascii="Times New Roman" w:hAnsi="Times New Roman" w:eastAsia="宋体"/>
          <w:b w:val="0"/>
          <w:color w:val="1A1A1A"/>
          <w:sz w:val="21"/>
        </w:rPr>
        <w:t>（§3.2、§3.3、§6），规则只作辅助特征。剩余风险是 DFT 子集只有约 10⁴ 条，样本量对风险—覆盖曲线的低错误率区段可能不足，需在第 3—4 月检查置信区间宽度。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文中所有实验设计均为拟议方案，尚未执行。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黑体"/>
        <w:b w:val="0"/>
        <w:color w:val="808080"/>
        <w:sz w:val="16"/>
      </w:rPr>
      <w:t>2026 年 10 月 18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黑体"/>
        <w:b w:val="0"/>
        <w:color w:val="808080"/>
        <w:sz w:val="16"/>
      </w:rPr>
      <w:t>硕士学位论文开题报告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