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定式：某些冲突意味着该证据完全不可用，某些只意味着不能直接引用但可作为背景，某些则需要向用户说明其条件差异并降级回答。这些处置决策直接影响答案正确率，且无法由规则枚举。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由规则生成处置标签并构造对照。对判定为冲突的配对，按证据可用的程度标注三类处置：完全排除、降级为背景、保留但标注条件差异。标签由规则依据冲突的具体位置与严重程度生成（如温度区间完全不重叠者排除，仅工艺标签不同者降级），同时保留一份人工核验集，报告规则标签与人工判断的一致率。</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工作关注语义覆盖与关系抽取的完整性，其知识组织单位是实体与关系，无法表达"同一成分在不同温度下的两条记录不可互换"这一约束。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拟创新点二：基于过程示范的小模型条件判断蒸馏方法（支撑性工作）。</w:t>
      </w:r>
      <w:r>
        <w:rPr>
          <w:rFonts w:ascii="Times New Roman" w:hAnsi="Times New Roman" w:eastAsia="宋体"/>
          <w:b w:val="0"/>
          <w:sz w:val="24"/>
        </w:rPr>
        <w:t xml:space="preserve"> 条件判定中规则无法处理的部分（表述变体、单位换算、部分条件吻合）需由小模型承担，而材料领域缺乏类型化训练所需的标注体系。本项以条件元组比对规则自动生成训练标签，绕开该障碍；教师示范采用逐项比对的过程而非仅给结论，使学生学到可迁移的判断方法；并分别度量规则覆盖率、规则与人工判断的一致率、模型在规则盲区上的准确率，以界定二者分工。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对，其中测试温度或制备工艺不同者 7,452 对。这一数字刻画的是数据侧的构造上限，不等同于可评测样本数：判定对是记录之间的关系，而评测需要的是问题、答案与证据齐全的三元组。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据实折算如下。同时具备性能值与测试温度、制备工艺的记录为 1,062 条，其中存在同成分不同条件干扰项者 722 条，构成可构造条件敏感提问的基础；无干扰项者 340 条，只能构成条件无关提问。按一条记录生成一题计，条件敏感问答对约 722 题，按百分之七十、十五、十五划分后测试集约 108 题。该规模足以支撑两组之间的正确率对比，但不足以支撑"问题类型×错误类型"的交叉分析，故须扩题。扩题采取两条途径：一是同一记录生成多种问法（须保证同记录的不同问法不跨数据分区），二是将试验类型放宽为非必需条件，后者可将基础记录从 1,062 条扩至约 1,311 条。实际可用题数在首次构造后报告，不在此处填预计数值。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按是否存在干扰项分层报告。判据为：该问题对应的成分在库中是否存在条件不同的其他记录。若条件元组确实在起作用，增益应集中出现在有干扰项的题目上，而在无干扰项的题目上接近零；若两层增益相当，则说明提升来自其他因素而非条件处理。该分层是因果归因的主要证据，其样本量来自前述实测（有干扰项约 722 条、无干扰项约 340 条）。答案正确的判定标准为：所述性能数值与所引记录一致、所引记录的条件与问题要求相符、且答案明确标注了该条件。另报逐条依据准确率、条件标注完整率与拒答率（条件不符时如实标注而非强行作答的比例），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