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智能体方向也已成形：既有工作把语言模型置于工具链中，通过推理与动作的交替完成材料设计任务，并已验证该形态在相设计等任务上的可行性；同时，把大模型智能体的行为蒸馏进小模型的方法也已被提出，其做法是记录教师智能体的完整执行轨迹并用其训练学生。可延伸的问题因此不是"是否有人做过"，而是一个更具体的缺口：</w:t>
      </w:r>
      <w:r>
        <w:rPr>
          <w:rFonts w:ascii="Times New Roman" w:hAnsi="Times New Roman" w:eastAsia="宋体"/>
          <w:b/>
          <w:sz w:val="24"/>
        </w:rPr>
        <w:t>当智能体的行为由多步工具调用构成时，应以什么信号判断学生哪一步没学会，并使该信号在训练与推理两个阶段保持一致。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条件可比的证据组织与答案生成方法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文献问答的困难不在于检索不到内容，而在于检索到的内容常常不可直接比较。同一成分在不同热处理状态、不同测试温度下的性能记录，语义上高度相似、检索系统会把它们一并返回，但物理上并不构成同一条件下的观测。若模型把 800 摄氏度下的强度数据用于回答室温问题，输出的数字本身来自真实文献、引用可追溯，结论却在物理上不成立。这类错误不体现在语法或数值层面，是本场景最隐蔽的失效。</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做法难以处理这一情形。第一，条件不可比性无法由文本相似度识别。两条记录讲的是同一合金同一指标，嵌入向量几乎相同，通用检索器没有理由区分它们。第二，答案层面的错误难以归因。当最终答案错误时，无法判断是没检索到相关记录、检索到了但条件不符、还是生成本身出错，而这三类错误需要完全不同的改进手段。第三，小模型缺乏判断条件的能力。已有大规模实证研究给出明确数据：即使提供保证含正确答案的检索结果，参数量不超过七十亿的模型在自身无法回答的问题上仍有百分之八十五至一百的提取失败率；任何检索还会破坏原本答对的百分之四十二至一百的答案，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。这说明小模型不仅需要好的检索结果，还需要被明确教会如何使用这些结果。</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看似有据的错误：答案带着真实文献的引用，条件却不匹配，比没有引用更具误导性。其次是改进方向失焦：若不能区分"检索失败""条件误用""生成失败"三类错误，任何改进都无法评估其真实作用。第三是结论不可复现：条件信息在答案中缺失，使用者无法判断该结论在什么范围内成立。</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第一步，为每条证据绑定条件元组。对文献抽取所得数据库的核查显示结构性错误占比可观且会沿下游传导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，因此入库前须先做一致性检查；已有研究亦提示此类错误的修复并不困难，瓶颈在于检测环节的召回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文献解析与结构化后，每条性能记录除成分与数值外，还绑定测试温度、制备工艺与试验类型三类条件字段。单位不单设字段：主线数据中每个指标的单位由其列名唯一确定，不存在同一指标多单位并存或需换算的情形，故单位作为指标类型的附属属性记录，不进入条件比对。条件元组随记录一同进入索引，使检索结果自带可比性信息。首版本体只启用主线数据中确有的字段，缺失字段标注为未知而不默认填充。按"成分、测试温度、制备工艺、性能值均非空"这一口径统计，1,545 条记录中约百分之七十八可支撑条件敏感的问答对；若再要求试验类型也非空，则降至约百分之六十九。后文凡涉及可用规模均以此口径说明，不使用未定义的数字。</w:t>
      </w:r>
    </w:p>
    <w:p>
      <w:pPr>
        <w:ind w:firstLine="480" w:firstLineChars="200"/>
        <w:spacing w:line="312" w:lineRule="auto"/>
      </w:pPr>
      <w:r>
        <w:rPr>
          <w:rFonts w:ascii="Times New Roman" w:hAnsi="Times New Roman" w:eastAsia="宋体"/>
          <w:b w:val="0"/>
          <w:sz w:val="24"/>
        </w:rPr>
        <w:t>第二步，在答案生成前判定证据与问题的条件关系。给定用户问题，先解析其所需条件，再与候选证据的条件元组逐项比对，得到相符、冲突、未知三种状态。规则能明确判定的情形直接处理：两侧温度均有值且不重叠判为冲突，工艺标签互斥判为冲突，字段为空判为未知。规则无法判定的模糊情形（表述不一致、单位需换算、部分条件符合而整体存疑）交由小模型判断。</w:t>
      </w:r>
    </w:p>
    <w:p>
      <w:pPr>
        <w:ind w:firstLine="480" w:firstLineChars="200"/>
        <w:spacing w:line="312" w:lineRule="auto"/>
      </w:pPr>
      <w:r>
        <w:rPr>
          <w:rFonts w:ascii="Times New Roman" w:hAnsi="Times New Roman" w:eastAsia="宋体"/>
          <w:b w:val="0"/>
          <w:sz w:val="24"/>
        </w:rPr>
        <w:t>第三步，按条件状态组织答案并要求标注依据。相符的证据可作为直接支持，冲突证据仅作对照背景，未知证据标注为不确定。生成阶段要求答案显式标注所依据记录的条件，使"这个数字在什么条件下成立"随答案一同给出，而不是留待使用者自行核查。</w:t>
      </w:r>
    </w:p>
    <w:p>
      <w:pPr>
        <w:ind w:firstLine="480" w:firstLineChars="200"/>
        <w:spacing w:line="312" w:lineRule="auto"/>
      </w:pPr>
      <w:r>
        <w:rPr>
          <w:rFonts w:ascii="Times New Roman" w:hAnsi="Times New Roman" w:eastAsia="宋体"/>
          <w:b w:val="0"/>
          <w:sz w:val="24"/>
        </w:rPr>
        <w:t>第四步，对错误做归因分解。把最终答案的错误拆为三类：检索未命中、条件误用、生成错误。分别统计各类型占比，据此确定改进优先级。这一分解本身即是本项的评价方法，使不同改进手段的贡献可被分别度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条件可比性从隐含假设变为显式字段，使检索结果自带适用范围；在生成前完成条件判定，使"检索到了但不能用"这一情形有明确的处理路径；答案携带条件标注，使结论的适用范围可见；错误归因则把整体正确率这一单一数字拆解为可分别改进的分项。</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预期形成一套条件可比的证据组织与答案生成方法，并在</w:t>
      </w:r>
      <w:r>
        <w:rPr>
          <w:rFonts w:ascii="Times New Roman" w:hAnsi="Times New Roman" w:eastAsia="宋体"/>
          <w:b/>
          <w:sz w:val="24"/>
        </w:rPr>
        <w:t>分问题类型的答案正确率</w:t>
      </w:r>
      <w:r>
        <w:rPr>
          <w:rFonts w:ascii="Times New Roman" w:hAnsi="Times New Roman" w:eastAsia="宋体"/>
          <w:b w:val="0"/>
          <w:sz w:val="24"/>
        </w:rPr>
        <w:t>上与基线对照：条件敏感问题（如指定温度下的性能查询）预期有可测提升，条件无关问题（如相结构列举）预期持平。同时报告错误归因分布与小模型在条件判断上的增益。</w:t>
      </w:r>
    </w:p>
    <w:p>
      <w:pPr>
        <w:pStyle w:val="Heading3"/>
      </w:pPr>
      <w:r>
        <w:rPr>
          <w:rFonts w:ascii="Times New Roman" w:hAnsi="Times New Roman" w:eastAsia="黑体"/>
          <w:b/>
          <w:sz w:val="28"/>
        </w:rPr>
        <w:t>3.1.2 小模型的条件冲突处置能力蒸馏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前述条件判定中，规则能够覆盖的部分比预想的更多。对主线数据实测显示，条件字段已高度标准化：制备工艺只有 CAST、WROUGHT、ANNEAL、POWDER 等少数取值，试验类型只有压缩与拉伸两类，温度为数值型字段。按问题与证据的配对统计，规则能够完全判定的情形约占百分之八十九，另有约百分之七可部分判定，真正需要模型介入的仅约百分之四，且这百分之四主要是字段缺失而非表述歧义。这一分布意味着：若把模型的角色设定为"补位规则判不了的情形"，其可发挥空间极其有限，且缺失字段无法靠判断补回。</w:t>
      </w:r>
    </w:p>
    <w:p>
      <w:pPr>
        <w:ind w:firstLine="480" w:firstLineChars="200"/>
        <w:spacing w:line="312" w:lineRule="auto"/>
      </w:pPr>
      <w:r>
        <w:rPr>
          <w:rFonts w:ascii="Times New Roman" w:hAnsi="Times New Roman" w:eastAsia="宋体"/>
          <w:b/>
          <w:sz w:val="24"/>
        </w:rPr>
        <w:t>模型的角色应重新定位。</w:t>
      </w:r>
      <w:r>
        <w:rPr>
          <w:rFonts w:ascii="Times New Roman" w:hAnsi="Times New Roman" w:eastAsia="宋体"/>
          <w:b w:val="0"/>
          <w:sz w:val="24"/>
        </w:rPr>
        <w:t xml:space="preserve"> 实测同时显示，判定为条件冲突的配对占比约百分之五十八。规则给出"冲突"只是结论，如何处置并无定式：某些冲突意味着该证据完全不可用，某些只意味着不能直接引用但可作为背景，某些则需要向用户说明其条件差异并降级回答。这些处置决策直接影响答案正确率，且无法由规则枚举。已有实证数据表明，参数量不超过七十亿的模型即使拿到包含正确答案的检索结果，在自身无法回答的问题上仍有百分之八十五至一百的提取失败率，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。因此模型需要学习的不是"如何判断条件是否相符"，而是"面对已判定的冲突证据，如何在答案中正确使用或明确排除它"。</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三个困难制约着这一训练。第一，标签来源问题。此类处置决策没有现成的标注体系可依托，生物医学领域的类型化决策依赖长期人工维护的索引</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，材料领域无对等资源；已有综述系统整理了此类"不作生成、只作判定"的范式</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其共同前提是存在可靠的选项定义与标签来源，而本课题的处置标签正是由规则比对生成。第二，示范内容问题。若教师只给出最终答案，学生学到的是结论而非决策依据；而处置能力的价值恰在于"依据什么判断该降级还是该排除"。第三，评价问题。若不能把模型的贡献与规则基线分开计量，就无法判断蒸馏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不学处置，冲突证据进入上下文的后果有两种：要么被直接引用，产生看似有据而条件不成立的错误；要么被整体忽略，浪费了本可作为背景的信息。前者对应错误归因中的"条件误用"，后者降低答案完整性。若不分离计量，则可能出现"规则已覆盖九成、模型增益微小"的情形却未被察觉，训练成本白费。</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由规则生成处置标签并构造对照。对判定为冲突的配对，按证据可用的程度标注三类处置：完全排除、降级为背景、保留但标注条件差异。标签由规则依据冲突的具体位置与严重程度生成（如温度区间完全不重叠者排除，仅工艺标签不同者降级），同时保留一份人工核验集，报告规则标签与人工判断的一致率。</w:t>
      </w:r>
    </w:p>
    <w:p>
      <w:pPr>
        <w:ind w:firstLine="480" w:firstLineChars="200"/>
        <w:spacing w:line="312" w:lineRule="auto"/>
      </w:pPr>
      <w:r>
        <w:rPr>
          <w:rFonts w:ascii="Times New Roman" w:hAnsi="Times New Roman" w:eastAsia="宋体"/>
          <w:b w:val="0"/>
          <w:sz w:val="24"/>
        </w:rPr>
        <w:t>第二步，以过程示范构造教师数据。教师在示范中说明：冲突出现在哪个槽位、该冲突的严重程度如何、据此选择了哪种处置、答案中如何表述这一限制。学生学的是这一决策链条，而非仅记住某类冲突对应某种处置。</w:t>
      </w:r>
    </w:p>
    <w:p>
      <w:pPr>
        <w:ind w:firstLine="480" w:firstLineChars="200"/>
        <w:spacing w:line="312" w:lineRule="auto"/>
      </w:pPr>
      <w:r>
        <w:rPr>
          <w:rFonts w:ascii="Times New Roman" w:hAnsi="Times New Roman" w:eastAsia="宋体"/>
          <w:b w:val="0"/>
          <w:sz w:val="24"/>
        </w:rPr>
        <w:t>第三步，分离计量模型增益。设规则处置为基线，比较四种做法：规则处置、模型处置（不经示范）、模型处置（经过程示范）、以及最廉价的"一律标注为不确定"。第四种基线的作用是排除"模型只是学会了保守"这一替代解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模型任务从"补位规则盲区"改为"处置已判定的冲突"，使可用空间从百分之四扩展到百分之五十八的冲突样本；过程示范使学生获得可迁移的处置依据而非记忆映射；四种做法的比较则让模型的真实贡献可被计量，若模型仅与"一律标注不确定"持平，则蒸馏的必要性需要重新论证。</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冲突处置的蒸馏方法，并报告三项结果：规则与人工判断的一致率、模型相对规则基线的增益、以及模型相对"一律标注不确定"这一廉价基线的增量。三项分别回答"标签可靠吗""蒸馏有用吗""有用到什么程度"。</w:t>
      </w:r>
    </w:p>
    <w:p>
      <w:pPr>
        <w:pStyle w:val="Heading3"/>
      </w:pPr>
      <w:r>
        <w:rPr>
          <w:rFonts w:ascii="Times New Roman" w:hAnsi="Times New Roman" w:eastAsia="黑体"/>
          <w:b/>
          <w:sz w:val="28"/>
        </w:rPr>
        <w:t>3.1.3 面向材料文献问答的本地 RAG 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前述两项方法需要一个共同的验证载体。判定流程涉及本体、槽位比对、模型补位与证据组织多个环节，若各处分别实现，基线条件难以统一，实验结论也无法归因。因此本部分实现一个可在本地运行的 RAG 知识库与问答原型，把文献解析、条件字段绑定与入库、条件感知检索、条件判定、答案生成与依据标注串联为可复现流程。该原型是本课题"可落地项目"的交付物，其定位是验证载体，工程贡献与算法贡献分开表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本体结构若在后期变动，会使已生成的标签全部失效，因此槽位定义须尽早冻结。第二，实验可复现依赖版本控制，本体版本、模型版本、字段抽取规则若不一致，对照结果无法回溯。第三，部署形态需支持离线运行，模型调用与向量化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缺少统一载体时，规则与模型的贡献会相互混淆，也无法判断增益来自本体设计的改进还是工程实现的差异；版本记录缺失则结果不可复现；只有模型文件而无运行说明，交付物实际不可用。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第一步，固定本体与接口。本体以结构化文件保存并版本化，槽位定义与比较规则独立于代码；字段抽取、槽位比对、标签生成各为独立模块，模块间以固定格式交换数据，使任一环节可单独替换与测试。</w:t>
      </w:r>
    </w:p>
    <w:p>
      <w:pPr>
        <w:ind w:firstLine="480" w:firstLineChars="200"/>
        <w:spacing w:line="312" w:lineRule="auto"/>
      </w:pPr>
      <w:r>
        <w:rPr>
          <w:rFonts w:ascii="Times New Roman" w:hAnsi="Times New Roman" w:eastAsia="宋体"/>
          <w:b w:val="0"/>
          <w:sz w:val="24"/>
        </w:rPr>
        <w:t>第二步，建立可追溯的记录。每次判定保存输入问题、参与比对的所有槽位取值、每步比对结果、最终标签与判定来源（规则或模型），使任一结论可回溯到具体字段与规则。本体版本、模型版本与抽取规则版本一并记录。</w:t>
      </w:r>
    </w:p>
    <w:p>
      <w:pPr>
        <w:ind w:firstLine="480" w:firstLineChars="200"/>
        <w:spacing w:line="312" w:lineRule="auto"/>
      </w:pPr>
      <w:r>
        <w:rPr>
          <w:rFonts w:ascii="Times New Roman" w:hAnsi="Times New Roman" w:eastAsia="宋体"/>
          <w:b w:val="0"/>
          <w:sz w:val="24"/>
        </w:rPr>
        <w:t>第三步，核查本地部署边界。逐项检查模型、嵌入模型与外部工具是否存在联网传输；对内部数据的上传与外发分别取得授权。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该实现使规则与模型两种判定路径在同一条件下可比；判定过程逐步留痕，使错误可归因到具体槽位；本体与代码分离，使本体调整不需重写流程。</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预期交付一个可在本地运行、判定过程逐步可追溯的原型，配套版本化的本体规范与复现材料，作为学院要求"可落地项目"的交付物。</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 RAG 知识库与问答框架，并以蒸馏提升小模型的条件判断能力。</w:t>
      </w:r>
      <w:r>
        <w:rPr>
          <w:rFonts w:ascii="Times New Roman" w:hAnsi="Times New Roman" w:eastAsia="宋体"/>
          <w:b w:val="0"/>
          <w:sz w:val="24"/>
        </w:rPr>
        <w:t xml:space="preserve"> 该方法要解决的问题是：材料文献中同一成分在不同热处理与测试条件下的性能记录语义高度相似而物理上不可直接比较，通用检索器无法区分，小模型又缺乏判断能力，导致答案看似有据而条件不成立。具体做法分三步：其一，为每条证据绑定条件元组（测试温度、制备工艺、试验类型、单位），使检索结果自带可比性信息；其二，在答案生成前判定证据与问题的条件关系，规则处理明确情形，模糊情形交由蒸馏所得的小模型补位；其三，按条件状态组织答案并强制标注依据记录的条件，使结论的适用范围可见。三项工作共同支撑一个可在本地运行、答案依据可追溯的问答原型，并以分问题类型的答案正确率与错误归因说明该方法的实际增量。</w:t>
      </w:r>
    </w:p>
    <w:p>
      <w:pPr>
        <w:ind w:firstLine="480" w:firstLineChars="200"/>
        <w:spacing w:line="312" w:lineRule="auto"/>
      </w:pPr>
      <w:r>
        <w:rPr>
          <w:rFonts w:ascii="Times New Roman" w:hAnsi="Times New Roman" w:eastAsia="宋体"/>
          <w:b/>
          <w:sz w:val="24"/>
        </w:rPr>
        <w:t>拟创新点一：条件可比的证据组织与答案生成方法。</w:t>
      </w:r>
      <w:r>
        <w:rPr>
          <w:rFonts w:ascii="Times New Roman" w:hAnsi="Times New Roman" w:eastAsia="宋体"/>
          <w:b w:val="0"/>
          <w:sz w:val="24"/>
        </w:rPr>
        <w:t xml:space="preserve"> 本项针对材料文献问答中"证据语义相似但物理不可比"这一失效。既有检索增强工作关注语义覆盖与关系抽取的完整性，其知识组织单位是实体与关系，无法表达"同一成分在不同温度下的两条记录不可互换"这一约束。本项把条件元组（测试温度、制备工艺、试验类型、单位）作为记录的一等属性绑定进本地知识库，使其随检索结果一同返回；在生成前完成条件判定，按相符、冲突、未知三种状态决定证据在答案中的角色；并要求答案显式标注所依据记录的条件。评价上采用分问题类型的正确率与错误归因分解：条件敏感问题的提升作为主要指标，条件无关问题作为对照，检索失败、条件误用、生成错误三类占比分别报告。与既有类型化知识图谱检索工作的差别在于组织单位：后者组织实体关系，本项组织条件元组。</w:t>
      </w:r>
    </w:p>
    <w:p>
      <w:pPr>
        <w:ind w:firstLine="480" w:firstLineChars="200"/>
        <w:spacing w:line="312" w:lineRule="auto"/>
      </w:pPr>
      <w:r>
        <w:rPr>
          <w:rFonts w:ascii="Times New Roman" w:hAnsi="Times New Roman" w:eastAsia="宋体"/>
          <w:b w:val="0"/>
          <w:sz w:val="24"/>
        </w:rPr>
        <w:t>本项的验证方式为：在同一文献库、同一底座与同一检索预算下，与不作条件区分的常规 RAG、仅按语义重排的 RAG、以及按规则硬过滤条件的 RAG 三种做法对照；并分别移除条件元组绑定、条件判定、依据标注三个环节，检验各自贡献。</w:t>
      </w:r>
    </w:p>
    <w:p>
      <w:pPr>
        <w:ind w:firstLine="480" w:firstLineChars="200"/>
        <w:spacing w:line="312" w:lineRule="auto"/>
      </w:pPr>
      <w:r>
        <w:rPr>
          <w:rFonts w:ascii="Times New Roman" w:hAnsi="Times New Roman" w:eastAsia="宋体"/>
          <w:b/>
          <w:sz w:val="24"/>
        </w:rPr>
        <w:t>拟创新点二：基于过程示范的小模型条件判断蒸馏方法（支撑性工作）。</w:t>
      </w:r>
      <w:r>
        <w:rPr>
          <w:rFonts w:ascii="Times New Roman" w:hAnsi="Times New Roman" w:eastAsia="宋体"/>
          <w:b w:val="0"/>
          <w:sz w:val="24"/>
        </w:rPr>
        <w:t xml:space="preserve"> 条件判定中规则无法处理的部分（表述变体、单位换算、部分条件吻合）需由小模型承担，而材料领域缺乏类型化训练所需的标注体系。本项以条件元组比对规则自动生成训练标签，绕开该障碍；教师示范采用逐项比对的过程而非仅给结论，使学生学到可迁移的判断方法；并分别度量规则覆盖率、规则与人工判断的一致率、模型在规则盲区上的准确率，以界定二者分工。本项定位为对第一项的支撑，不主张独立的方法创新。</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靠文献补充通道填入。因此本课题的槽位设计须与数据现实对齐：首版本体只启用主线数据中确有的槽位（成分、制备工艺、相结构、测试温度、试验类型），热处理与测量方法作为文献补充通道的目标字段，在补充数据经检测通过后再纳入判定。这一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对，其中测试温度或制备工艺不同者 7,452 对。这一数字刻画的是数据侧的构造上限，不等同于可评测样本数：判定对是记录之间的关系，而评测需要的是问题、答案与证据齐全的三元组。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据实折算如下。同时具备性能值与测试温度、制备工艺的记录为 1,062 条，其中存在同成分不同条件干扰项者 722 条，构成可构造条件敏感提问的基础；无干扰项者 340 条，只能构成条件无关提问。按一条记录生成一题计，条件敏感问答对约 722 题，按百分之七十、十五、十五划分后测试集约 108 题。该规模足以支撑两组之间的正确率对比，但不足以支撑"问题类型×错误类型"的交叉分析，故须扩题。扩题采取两条途径：一是同一记录生成多种问法（须保证同记录的不同问法不跨数据分区），二是将试验类型放宽为非必需条件，后者可将基础记录从 1,062 条扩至约 1,311 条。实际可用题数在首次构造后报告，不在此处填预计数值。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作为已结构化的基础库，文献解析结果作为补充库，两者以统一的记录结构与条件元组入库。由于主线数据缺两个槽位且部分字段非空率偏低，本课题建立文献补充数据通道。解析环节采用开源工具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该环节在通用场景下可靠性较好，但在表格合并单元格、上下标与真实扫描件上存在已知短板，故其输出须经槽位抽取与一致性检查后方可入库，不直接计入判定数据。补充库的规模以实际解析与检查通过率决定，在首轮试验后报告实际可用条数，不预设具体数字。</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第一组移除条件元组绑定：证据只保留成分与数值，退回常规 RAG，测出条件信息本身的贡献。</w:t>
      </w:r>
    </w:p>
    <w:p>
      <w:pPr>
        <w:ind w:firstLine="480" w:firstLineChars="200"/>
        <w:spacing w:line="312" w:lineRule="auto"/>
      </w:pPr>
      <w:r>
        <w:rPr>
          <w:rFonts w:ascii="Times New Roman" w:hAnsi="Times New Roman" w:eastAsia="宋体"/>
          <w:b w:val="0"/>
          <w:sz w:val="24"/>
        </w:rPr>
        <w:t>第二组移除条件判定：保留条件字段但不做相符冲突的判定，直接交给生成环节，测出前置判定相对"让模型自己看着办"的增益。</w:t>
      </w:r>
    </w:p>
    <w:p>
      <w:pPr>
        <w:ind w:firstLine="480" w:firstLineChars="200"/>
        <w:spacing w:line="312" w:lineRule="auto"/>
      </w:pPr>
      <w:r>
        <w:rPr>
          <w:rFonts w:ascii="Times New Roman" w:hAnsi="Times New Roman" w:eastAsia="宋体"/>
          <w:b w:val="0"/>
          <w:sz w:val="24"/>
        </w:rPr>
        <w:t>第三组移除依据标注：答案不标注依据记录的条件，测出"答案携带适用范围"对可用性的影响。</w:t>
      </w:r>
    </w:p>
    <w:p>
      <w:pPr>
        <w:ind w:firstLine="480" w:firstLineChars="200"/>
        <w:spacing w:line="312" w:lineRule="auto"/>
      </w:pPr>
      <w:r>
        <w:rPr>
          <w:rFonts w:ascii="Times New Roman" w:hAnsi="Times New Roman" w:eastAsia="宋体"/>
          <w:b w:val="0"/>
          <w:sz w:val="24"/>
        </w:rPr>
        <w:t>三组之外另设一组基线消融：仅用规则判定、不引入蒸馏模型，直接测出规则方法的天花板，用于界定模型的必要性，该结果如实报告。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按是否存在干扰项分层报告。判据为：该问题对应的成分在库中是否存在条件不同的其他记录。若条件元组确实在起作用，增益应集中出现在有干扰项的题目上，而在无干扰项的题目上接近零；若两层增益相当，则说明提升来自其他因素而非条件处理。该分层是因果归因的主要证据，其样本量来自前述实测（有干扰项约 722 条、无干扰项约 340 条）。答案正确的判定标准为：所述性能数值与所引记录一致、所引记录的条件与问题要求相符、且答案明确标注了该条件。另报逐条依据准确率、条件标注完整率与拒答率（条件不符时如实标注而非强行作答的比例），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分问题类型正确率与错误归因评估。检索与生成共用同一套条件元组与来源类型，最终输出索引快照、蒸馏模型权重与问答日志。整体流程见图 3-1。</w:t>
      </w:r>
    </w:p>
    <w:p>
      <w:pPr>
        <w:spacing w:before="120" w:after="120"/>
        <w:ind w:firstLine="0"/>
        <w:jc w:val="center"/>
      </w:pPr>
      <w:r>
        <w:drawing>
          <wp:inline xmlns:a="http://schemas.openxmlformats.org/drawingml/2006/main" xmlns:pic="http://schemas.openxmlformats.org/drawingml/2006/picture">
            <wp:extent cx="4860000" cy="4022773"/>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4022773"/>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的检索增强问答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tools[C]//Proceedings of the 2025 Conference on Empirical Methods in Natural Language Processing.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models[EB/OL]. arXiv:2408.04661, 2024.（预印本）</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decisions without generation: a survey[EB/OL].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Bootstrapping knowledge acquisition from domain text with a seed ontology and small language models[C]//Springer, 2026.</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