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面向材料文献问答的条件可比 RAG 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。更近的一类工作把语言模型放进工具链中运行：模型不再一次性给出答案，而是在推理与动作之间交替：先判断还缺什么信息，调用工具取回，再根据返回结果决定下一步，直至得到可交付的方案</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b w:val="0"/>
          <w:sz w:val="24"/>
        </w:rPr>
        <w:t>。这类"智能体"形态比单纯的文本生成更贴近实际设计流程，因为设计本身就是一个反复查询、验证、修改的过程。</w:t>
      </w:r>
    </w:p>
    <w:p>
      <w:pPr>
        <w:ind w:firstLine="480" w:firstLineChars="200"/>
        <w:spacing w:line="312" w:lineRule="auto"/>
      </w:pPr>
      <w:r>
        <w:rPr>
          <w:rFonts w:ascii="Times New Roman" w:hAnsi="Times New Roman" w:eastAsia="宋体"/>
          <w:b w:val="0"/>
          <w:sz w:val="24"/>
        </w:rPr>
        <w:t>这些结果说明路线可行，但也同时暴露了本课题要处理的具体问题：材料文献中"主题相关但条件不符"的证据极易被误用：同一成分在不同热处理与测试条件下的记录语义高度相似而物理上不可比较，通用检索结构无法区分二者，而这一失效不会在语法或数值层面暴露。</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材料文献问答是一项约束密集的任务，其难点不在生成语言，而在判断到手的信息是否可用。</w:t>
      </w:r>
      <w:r>
        <w:rPr>
          <w:rFonts w:ascii="Times New Roman" w:hAnsi="Times New Roman" w:eastAsia="宋体"/>
          <w:b w:val="0"/>
          <w:sz w:val="24"/>
        </w:rPr>
        <w:t xml:space="preserve"> 一条性能记录是否成立，取决于若干硬性条件：数值必须绑定其测量温度、制备工艺与试验类型；条件不同则数值不可直接比较。与此同时，同一成分在不同条件下往往存在多条记录，语义上高度相似。这一"语义相似而物理不可比"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语义相似而条件决定性"的专业问答场景都面临同样困难：材料文献、临床指南、法规条文，表述高度相似而适用条件不同，判定依据必须显式保留。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在智能体方向，已有工作把大模型智能体的完整行为蒸馏进小模型：教师智能体在推理与工具调用之间交替执行，其"推理—动作—观察"的完整轨迹被记录为学生要克隆的对象，并辅以提升轨迹质量的提示方法与提高测试时鲁棒性的自一致动作生成</w:t>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该做法与本课题的取向一致：教的不是答案，而是"遇到什么情况该调什么工具"。其评测集中在事实与数学推理任务，工具为检索与代码执行；本课题面向的材料设计任务还涉及条件适用性判断与数值约束，故其结论不能直接沿用。</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在科学文献问答方向，已有工作用类型化知识图谱改善本地小模型的检索：把文献中的证据组织为带类型的关系，并对比自动生成 schema 与专家定义 schema 两种做法，在自建基准上以六个维度（正确性、完整性等）评估，报告类型化检索优于常规检索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该类工作的组织单位是实体与关系，未涉及同一实体在不同实验条件下的可比性。此外，已有工作训练小模型承担证据接地的判断：用偏好优化把大模型推理蒸馏进四亿级参数的模型，判断文档与声明是否构成支持关系，在公开基准上取得与更大专用模型相当的准确率</w:t>
      </w:r>
      <w:r>
        <w:rPr>
          <w:rFonts w:ascii="Times New Roman" w:hAnsi="Times New Roman" w:eastAsia="宋体"/>
          <w:sz w:val="24"/>
          <w:vertAlign w:val="superscript"/>
        </w:rPr>
        <w:fldChar w:fldCharType="begin"/>
        <w:instrText xml:space="preserve"> REF _Ref_ref048 \h </w:instrText>
        <w:fldChar w:fldCharType="separate"/>
        <w:t xml:space="preserve">[48]</w:t>
        <w:fldChar w:fldCharType="end"/>
      </w:r>
      <w:r>
        <w:rPr>
          <w:rFonts w:ascii="Times New Roman" w:hAnsi="Times New Roman" w:eastAsia="宋体"/>
          <w:b w:val="0"/>
          <w:sz w:val="24"/>
        </w:rPr>
        <w:t>；其判定对象是"声明是否被文档支持"，不涉及"文档的测试条件是否与问题匹配"。另有工作把大模型 RAG 的证据与图谱蒸馏进小模型，以缓解幻觉</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，其蒸馏对象是检索与生成的整体行为，未区分条件层面的判断。本体在检索中的应用还有另一条路线：用本体锚定检索过程并按本体结构组织文档</w:t>
      </w:r>
      <w:r>
        <w:rPr>
          <w:rFonts w:ascii="Times New Roman" w:hAnsi="Times New Roman" w:eastAsia="宋体"/>
          <w:sz w:val="24"/>
          <w:vertAlign w:val="superscript"/>
        </w:rPr>
        <w:fldChar w:fldCharType="begin"/>
        <w:instrText xml:space="preserve"> REF _Ref_ref046 \h </w:instrText>
        <w:fldChar w:fldCharType="separate"/>
        <w:t xml:space="preserve">[46]</w:t>
        <w:fldChar w:fldCharType="end"/>
      </w:r>
      <w:r>
        <w:rPr>
          <w:rFonts w:ascii="Times New Roman" w:hAnsi="Times New Roman" w:eastAsia="宋体"/>
          <w:b w:val="0"/>
          <w:sz w:val="24"/>
        </w:rPr>
        <w:t>，或判定实体归属哪一本体类</w:t>
      </w:r>
      <w:r>
        <w:rPr>
          <w:rFonts w:ascii="Times New Roman" w:hAnsi="Times New Roman" w:eastAsia="宋体"/>
          <w:sz w:val="24"/>
          <w:vertAlign w:val="superscript"/>
        </w:rPr>
        <w:fldChar w:fldCharType="begin"/>
        <w:instrText xml:space="preserve"> REF _Ref_ref049 \h </w:instrText>
        <w:fldChar w:fldCharType="separate"/>
        <w:t xml:space="preserve">[49]</w:t>
        <w:fldChar w:fldCharType="end"/>
      </w:r>
      <w:r>
        <w:rPr>
          <w:rFonts w:ascii="Times New Roman" w:hAnsi="Times New Roman" w:eastAsia="宋体"/>
          <w:b w:val="0"/>
          <w:sz w:val="24"/>
        </w:rPr>
        <w:t>，或先用种子本体指导数据增强再微调小模型</w:t>
      </w:r>
      <w:r>
        <w:rPr>
          <w:rFonts w:ascii="Times New Roman" w:hAnsi="Times New Roman" w:eastAsia="宋体"/>
          <w:sz w:val="24"/>
          <w:vertAlign w:val="superscript"/>
        </w:rPr>
        <w:fldChar w:fldCharType="begin"/>
        <w:instrText xml:space="preserve"> REF _Ref_ref052 \h </w:instrText>
        <w:fldChar w:fldCharType="separate"/>
        <w:t xml:space="preserve">[52]</w:t>
        <w:fldChar w:fldCharType="end"/>
      </w:r>
      <w:r>
        <w:rPr>
          <w:rFonts w:ascii="Times New Roman" w:hAnsi="Times New Roman" w:eastAsia="宋体"/>
          <w:b w:val="0"/>
          <w:sz w:val="24"/>
        </w:rPr>
        <w:t>；这些工作的共同点是围绕实体与类型展开，均未把实验条件作为独立维度纳入判定。在材料领域，已有工作直接把"证据是否可用"作为推理的前置门控：ARIA 按因果完整性把推理分为三级，证据链完整时直接推理、不完整时降级为物理类比或参数化回退，并保留可审计的因果轨迹</w:t>
      </w:r>
      <w:r>
        <w:rPr>
          <w:rFonts w:ascii="Times New Roman" w:hAnsi="Times New Roman" w:eastAsia="宋体"/>
          <w:sz w:val="24"/>
          <w:vertAlign w:val="superscript"/>
        </w:rPr>
        <w:fldChar w:fldCharType="begin"/>
        <w:instrText xml:space="preserve"> REF _Ref_ref051 \h </w:instrText>
        <w:fldChar w:fldCharType="separate"/>
        <w:t xml:space="preserve">[51]</w:t>
        <w:fldChar w:fldCharType="end"/>
      </w:r>
      <w:r>
        <w:rPr>
          <w:rFonts w:ascii="Times New Roman" w:hAnsi="Times New Roman" w:eastAsia="宋体"/>
          <w:b w:val="0"/>
          <w:sz w:val="24"/>
        </w:rPr>
        <w:t>。这一设计说明"按证据完整性分级处置"的思路在材料任务上已获验证，其判据是因果链的完整性，而非本课题关注的条件字段一致性。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综合上述，领域适配、小模型蒸馏、数据选择与检索增强均已有较成熟的研究。科学文献问答方向亦已成形：既有工作用类型化知识图谱组织文献证据以改善小模型检索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，也有工作把大模型的检索与生成行为蒸馏进小模型</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；材料领域则已有双源离线检索增强的实践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。可延伸的问题因此不是"是否有人做过"，而是一个更具体的缺口：</w:t>
      </w:r>
      <w:r>
        <w:rPr>
          <w:rFonts w:ascii="Times New Roman" w:hAnsi="Times New Roman" w:eastAsia="宋体"/>
          <w:b/>
          <w:sz w:val="24"/>
        </w:rPr>
        <w:t>当检索到的证据在语义上高度相关、在物理条件上却不可直接比较时，应以何种数据结构保存条件、以何种信号判断其可用性，并使该判断在训练与推理两个阶段保持一致。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以"条件可比的检索增强生成"为技术形态，构建一个面向材料文献问答的本地知识库与问答原型，并通过选择性蒸馏提升小模型使用条件信息的能力。与不做条件区分的常规检索增强不同，本课题把实验条件作为证据的一等属性组织进知识库：每条证据绑定测试温度、制备工艺与试验类型，检索结果因此自带可比性信息；生成前先判定证据与问题的条件关系，答案须标注所依据记录的条件，使结论的适用范围可见。研究工作先界定知识库的记录结构与条件字段，明确可用字段与缺失处理；再构造问答对与评测集，按来源分组划分数据分区；核心环节是条件判定与冲突处置，规则处理可判定的情形，模型补位处置决策；最后在分问题类型的答案正确率与错误归因上完成评估。上述环节共同支撑一个可在本地运行、答案依据可追溯的问答原型。</w:t>
      </w:r>
    </w:p>
    <w:p>
      <w:pPr>
        <w:pStyle w:val="Heading3"/>
      </w:pPr>
      <w:r>
        <w:rPr>
          <w:rFonts w:ascii="Times New Roman" w:hAnsi="Times New Roman" w:eastAsia="黑体"/>
          <w:b/>
          <w:sz w:val="28"/>
        </w:rPr>
        <w:t>3.1.1 条件可比的证据组织与答案生成方法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材料文献问答的困难不在于检索不到内容，而在于检索到的内容常常不可直接比较。同一成分在不同热处理状态、不同测试温度下的性能记录，语义上高度相似、检索系统会把它们一并返回，但物理上并不构成同一条件下的观测。若模型把 800 摄氏度下的强度数据用于回答室温问题，输出的数字本身来自真实文献、引用可追溯，结论却在物理上不成立。这类错误不体现在语法或数值层面，是本场景最隐蔽的失效。</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使既有做法难以处理这一情形。第一，条件不可比性无法由文本相似度识别。两条记录讲的是同一合金同一指标，嵌入向量几乎相同，通用检索器没有理由区分它们。第二，答案层面的错误难以归因。当最终答案错误时，无法判断是没检索到相关记录、检索到了但条件不符、还是生成本身出错，而这三类错误需要完全不同的改进手段。第三，小模型缺乏判断条件的能力。已有大规模实证研究给出明确数据：即使提供保证含正确答案的检索结果，参数量不超过七十亿的模型在自身无法回答的问题上仍有百分之八十五至一百的提取失败率；任何检索还会破坏原本答对的百分之四十二至一百的答案，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。这说明小模型不仅需要好的检索结果，还需要被明确教会如何使用这些结果。</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看似有据的错误：答案带着真实文献的引用，条件却不匹配，比没有引用更具误导性。其次是改进方向失焦：若不能区分"检索失败""条件误用""生成失败"三类错误，任何改进都无法评估其真实作用。第三是结论不可复现：条件信息在答案中缺失，使用者无法判断该结论在什么范围内成立。</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第一步，为每条证据绑定条件元组。对文献抽取所得数据库的核查显示结构性错误占比可观且会沿下游传导</w:t>
      </w:r>
      <w:r>
        <w:rPr>
          <w:rFonts w:ascii="Times New Roman" w:hAnsi="Times New Roman" w:eastAsia="宋体"/>
          <w:sz w:val="24"/>
          <w:vertAlign w:val="superscript"/>
        </w:rPr>
        <w:fldChar w:fldCharType="begin"/>
        <w:instrText xml:space="preserve"> REF _Ref_ref045 \h </w:instrText>
        <w:fldChar w:fldCharType="separate"/>
        <w:t xml:space="preserve">[45]</w:t>
        <w:fldChar w:fldCharType="end"/>
      </w:r>
      <w:r>
        <w:rPr>
          <w:rFonts w:ascii="Times New Roman" w:hAnsi="Times New Roman" w:eastAsia="宋体"/>
          <w:b w:val="0"/>
          <w:sz w:val="24"/>
        </w:rPr>
        <w:t>，因此入库前须先做一致性检查；已有研究亦提示此类错误的修复并不困难，瓶颈在于检测环节的召回</w:t>
      </w:r>
      <w:r>
        <w:rPr>
          <w:rFonts w:ascii="Times New Roman" w:hAnsi="Times New Roman" w:eastAsia="宋体"/>
          <w:sz w:val="24"/>
          <w:vertAlign w:val="superscript"/>
        </w:rPr>
        <w:fldChar w:fldCharType="begin"/>
        <w:instrText xml:space="preserve"> REF _Ref_ref044 \h </w:instrText>
        <w:fldChar w:fldCharType="separate"/>
        <w:t xml:space="preserve">[44]</w:t>
        <w:fldChar w:fldCharType="end"/>
      </w:r>
      <w:r>
        <w:rPr>
          <w:rFonts w:ascii="Times New Roman" w:hAnsi="Times New Roman" w:eastAsia="宋体"/>
          <w:b w:val="0"/>
          <w:sz w:val="24"/>
        </w:rPr>
        <w:t>。文献解析与结构化后，每条性能记录除成分与数值外，还绑定测试温度、制备工艺与试验类型三类条件字段。单位不单设字段：主线数据中每个指标的单位由其列名唯一确定，不存在同一指标多单位并存或需换算的情形，故单位作为指标类型的附属属性记录，不进入条件比对。条件元组随记录一同进入索引，使检索结果自带可比性信息。首版本体只启用主线数据中确有的字段，缺失字段标注为未知而不默认填充。按"成分、测试温度、制备工艺、性能值均非空"这一口径统计，1,545 条记录中约百分之七十八可支撑条件敏感的问答对；若再要求试验类型也非空，则降至约百分之六十九。后文凡涉及可用规模均以此口径说明，不使用未定义的数字。</w:t>
      </w:r>
    </w:p>
    <w:p>
      <w:pPr>
        <w:ind w:firstLine="480" w:firstLineChars="200"/>
        <w:spacing w:line="312" w:lineRule="auto"/>
      </w:pPr>
      <w:r>
        <w:rPr>
          <w:rFonts w:ascii="Times New Roman" w:hAnsi="Times New Roman" w:eastAsia="宋体"/>
          <w:b w:val="0"/>
          <w:sz w:val="24"/>
        </w:rPr>
        <w:t>第二步，在答案生成前判定证据与问题的条件关系。给定用户问题，先解析其所需条件，再与候选证据的条件元组逐项比对，得到相符、冲突、未知三种状态。规则能明确判定的情形直接处理：两侧温度均有值且不重叠判为冲突，工艺标签互斥判为冲突，字段为空判为未知。规则无法判定的模糊情形（表述不一致、单位需换算、部分条件符合而整体存疑）交由小模型判断。</w:t>
      </w:r>
    </w:p>
    <w:p>
      <w:pPr>
        <w:ind w:firstLine="480" w:firstLineChars="200"/>
        <w:spacing w:line="312" w:lineRule="auto"/>
      </w:pPr>
      <w:r>
        <w:rPr>
          <w:rFonts w:ascii="Times New Roman" w:hAnsi="Times New Roman" w:eastAsia="宋体"/>
          <w:b w:val="0"/>
          <w:sz w:val="24"/>
        </w:rPr>
        <w:t>第三步，按条件状态组织答案并要求标注依据。相符的证据可作为直接支持，冲突证据仅作对照背景，未知证据标注为不确定。生成阶段要求答案显式标注所依据记录的条件，使"这个数字在什么条件下成立"随答案一同给出，而不是留待使用者自行核查。</w:t>
      </w:r>
    </w:p>
    <w:p>
      <w:pPr>
        <w:ind w:firstLine="480" w:firstLineChars="200"/>
        <w:spacing w:line="312" w:lineRule="auto"/>
      </w:pPr>
      <w:r>
        <w:rPr>
          <w:rFonts w:ascii="Times New Roman" w:hAnsi="Times New Roman" w:eastAsia="宋体"/>
          <w:b w:val="0"/>
          <w:sz w:val="24"/>
        </w:rPr>
        <w:t>第四步，对错误做归因分解。把最终答案的错误拆为三类：检索未命中、条件误用、生成错误。分别统计各类型占比，据此确定改进优先级。这一分解本身即是本项的评价方法，使不同改进手段的贡献可被分别度量。</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条件可比性从隐含假设变为显式字段，使检索结果自带适用范围；在生成前完成条件判定，使"检索到了但不能用"这一情形有明确的处理路径；答案携带条件标注，使结论的适用范围可见；错误归因则把整体正确率这一单一数字拆解为可分别改进的分项。</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预期形成一套条件可比的证据组织与答案生成方法，并在</w:t>
      </w:r>
      <w:r>
        <w:rPr>
          <w:rFonts w:ascii="Times New Roman" w:hAnsi="Times New Roman" w:eastAsia="宋体"/>
          <w:b/>
          <w:sz w:val="24"/>
        </w:rPr>
        <w:t>分问题类型的答案正确率</w:t>
      </w:r>
      <w:r>
        <w:rPr>
          <w:rFonts w:ascii="Times New Roman" w:hAnsi="Times New Roman" w:eastAsia="宋体"/>
          <w:b w:val="0"/>
          <w:sz w:val="24"/>
        </w:rPr>
        <w:t>上与基线对照：条件敏感问题（如指定温度下的性能查询）预期有可测提升，条件无关问题（如相结构列举）预期持平。同时报告错误归因分布与小模型在条件判断上的增益。</w:t>
      </w:r>
    </w:p>
    <w:p>
      <w:pPr>
        <w:pStyle w:val="Heading3"/>
      </w:pPr>
      <w:r>
        <w:rPr>
          <w:rFonts w:ascii="Times New Roman" w:hAnsi="Times New Roman" w:eastAsia="黑体"/>
          <w:b/>
          <w:sz w:val="28"/>
        </w:rPr>
        <w:t>3.1.2 小模型的条件冲突处置能力蒸馏</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前述条件判定中，规则能够覆盖的部分比预想的更多。对主线数据实测显示，条件字段已高度标准化：制备工艺只有 CAST、WROUGHT、ANNEAL、POWDER 等少数取值，试验类型只有压缩与拉伸两类，温度为数值型字段。按问题与证据的配对统计，规则能够完全判定的情形约占百分之八十九，另有约百分之七可部分判定，真正需要模型介入的仅约百分之四，且这百分之四主要是字段缺失而非表述歧义。这一分布意味着：若把模型的角色设定为"补位规则判不了的情形"，其可发挥空间极其有限，且缺失字段无法靠判断补回。</w:t>
      </w:r>
    </w:p>
    <w:p>
      <w:pPr>
        <w:ind w:firstLine="480" w:firstLineChars="200"/>
        <w:spacing w:line="312" w:lineRule="auto"/>
      </w:pPr>
      <w:r>
        <w:rPr>
          <w:rFonts w:ascii="Times New Roman" w:hAnsi="Times New Roman" w:eastAsia="宋体"/>
          <w:b/>
          <w:sz w:val="24"/>
        </w:rPr>
        <w:t>模型的角色应重新定位。</w:t>
      </w:r>
      <w:r>
        <w:rPr>
          <w:rFonts w:ascii="Times New Roman" w:hAnsi="Times New Roman" w:eastAsia="宋体"/>
          <w:b w:val="0"/>
          <w:sz w:val="24"/>
        </w:rPr>
        <w:t xml:space="preserve"> 实测同时显示，判定为条件冲突的配对占比约百分之五十八。规则给出"冲突"只是结论，如何处置并无唯一答案，且</w:t>
      </w:r>
      <w:r>
        <w:rPr>
          <w:rFonts w:ascii="Times New Roman" w:hAnsi="Times New Roman" w:eastAsia="宋体"/>
          <w:b/>
          <w:sz w:val="24"/>
        </w:rPr>
        <w:t>取决于用户意图与候选证据集合的整体情况</w:t>
      </w:r>
      <w:r>
        <w:rPr>
          <w:rFonts w:ascii="Times New Roman" w:hAnsi="Times New Roman" w:eastAsia="宋体"/>
          <w:b w:val="0"/>
          <w:sz w:val="24"/>
        </w:rPr>
        <w:t>：若用户问的是"室温性能"，高温记录不应作为答案；但若用户问的是"温度如何影响性能"，这些高温记录恰是必要证据。同一冲突在不同问法下处置不同，故处置不能由冲突字段单独枚举。规则只能按"字段是否一致"给出</w:t>
      </w:r>
      <w:r>
        <w:rPr>
          <w:rFonts w:ascii="Times New Roman" w:hAnsi="Times New Roman" w:eastAsia="宋体"/>
          <w:b/>
          <w:sz w:val="24"/>
        </w:rPr>
        <w:t>弱标签</w:t>
      </w:r>
      <w:r>
        <w:rPr>
          <w:rFonts w:ascii="Times New Roman" w:hAnsi="Times New Roman" w:eastAsia="宋体"/>
          <w:b w:val="0"/>
          <w:sz w:val="24"/>
        </w:rPr>
        <w:t>，而"这条证据在回答中的作用"须结合问题意图与整组证据判定，并由人工核验确定。已有实证数据表明，参数量不超过七十亿的模型即使拿到包含正确答案的检索结果，在自身无法回答的问题上仍有百分之八十五至一百的提取失败率，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。因此模型需要学习的不是"如何判断条件是否相符"，而是"面对已判定的冲突证据，如何在答案中正确使用或明确排除它"。</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三个困难制约着这一训练。第一，标签来源问题。此类处置决策没有现成的标注体系可依托，生物医学领域的类型化决策依赖长期人工维护的索引</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，材料领域无对等资源；已有工作对此类"不作生成、只作判定"的范式做了证据审计并给出评估清单</w:t>
      </w:r>
      <w:r>
        <w:rPr>
          <w:rFonts w:ascii="Times New Roman" w:hAnsi="Times New Roman" w:eastAsia="宋体"/>
          <w:sz w:val="24"/>
          <w:vertAlign w:val="superscript"/>
        </w:rPr>
        <w:fldChar w:fldCharType="begin"/>
        <w:instrText xml:space="preserve"> REF _Ref_ref050 \h </w:instrText>
        <w:fldChar w:fldCharType="separate"/>
        <w:t xml:space="preserve">[50]</w:t>
        <w:fldChar w:fldCharType="end"/>
      </w:r>
      <w:r>
        <w:rPr>
          <w:rFonts w:ascii="Times New Roman" w:hAnsi="Times New Roman" w:eastAsia="宋体"/>
          <w:b w:val="0"/>
          <w:sz w:val="24"/>
        </w:rPr>
        <w:t>，指出其共同前提是存在可靠的选项定义与标签来源，而本课题的处置标签正是由规则比对生成。第二，示范内容问题。若教师只给出最终答案，学生学到的是结论而非决策依据；而处置能力的价值恰在于"依据什么判断该降级还是该排除"。第三，评价问题。若不能把模型的贡献与规则基线分开计量，就无法判断蒸馏是否必要。</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模型不学处置，冲突证据进入上下文的后果有两种：要么被直接引用，产生看似有据而条件不成立的错误；要么被整体忽略，浪费了本可作为背景的信息。前者对应错误归因中的"条件误用"，后者降低答案完整性。若不分离计量，则可能出现"规则已覆盖九成、模型增益微小"的情形却未被察觉，训练成本白费。</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针对上述三点，本部分分步处理。</w:t>
      </w:r>
    </w:p>
    <w:p>
      <w:pPr>
        <w:ind w:firstLine="480" w:firstLineChars="200"/>
        <w:spacing w:line="312" w:lineRule="auto"/>
      </w:pPr>
      <w:r>
        <w:rPr>
          <w:rFonts w:ascii="Times New Roman" w:hAnsi="Times New Roman" w:eastAsia="宋体"/>
          <w:b w:val="0"/>
          <w:sz w:val="24"/>
        </w:rPr>
        <w:t>第一步，以规则弱标签加人工核验共同构造处置标签。对判定为冲突的证据，先由规则按冲突位置给出初始处置建议（如温度区间完全不重叠者建议排除，仅工艺标签不同者建议降级），该建议</w:t>
      </w:r>
      <w:r>
        <w:rPr>
          <w:rFonts w:ascii="Times New Roman" w:hAnsi="Times New Roman" w:eastAsia="宋体"/>
          <w:b/>
          <w:sz w:val="24"/>
        </w:rPr>
        <w:t>只作为标注起点而非真值</w:t>
      </w:r>
      <w:r>
        <w:rPr>
          <w:rFonts w:ascii="Times New Roman" w:hAnsi="Times New Roman" w:eastAsia="宋体"/>
          <w:b w:val="0"/>
          <w:sz w:val="24"/>
        </w:rPr>
        <w:t>；再由人工结合问题意图与整组候选证据核验并确定最终处置，标注为完全排除、降级为背景、或保留并标注条件差异三类。人工核验集的规模与实际处置分布如实报告，并报告规则弱标签与人工最终判断的一致率。若一致性过低，说明规则不足以支撑该任务，须重新设计标注协议。</w:t>
      </w:r>
    </w:p>
    <w:p>
      <w:pPr>
        <w:ind w:firstLine="480" w:firstLineChars="200"/>
        <w:spacing w:line="312" w:lineRule="auto"/>
      </w:pPr>
      <w:r>
        <w:rPr>
          <w:rFonts w:ascii="Times New Roman" w:hAnsi="Times New Roman" w:eastAsia="宋体"/>
          <w:b w:val="0"/>
          <w:sz w:val="24"/>
        </w:rPr>
        <w:t>第二步，以过程示范构造教师数据。教师在示范中说明：冲突出现在哪个槽位、该冲突的严重程度如何、据此选择了哪种处置、答案中如何表述这一限制。学生学的是这一决策链条，而非仅记住某类冲突对应某种处置。</w:t>
      </w:r>
    </w:p>
    <w:p>
      <w:pPr>
        <w:ind w:firstLine="480" w:firstLineChars="200"/>
        <w:spacing w:line="312" w:lineRule="auto"/>
      </w:pPr>
      <w:r>
        <w:rPr>
          <w:rFonts w:ascii="Times New Roman" w:hAnsi="Times New Roman" w:eastAsia="宋体"/>
          <w:b w:val="0"/>
          <w:sz w:val="24"/>
        </w:rPr>
        <w:t>第三步，分离计量模型增益。设规则处置为基线，比较四种做法：规则处置、模型处置（不经示范）、模型处置（经过程示范）、以及最廉价的"一律标注为不确定"。第四种基线的作用是排除"模型只是学会了保守"这一替代解释。</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把模型任务从"补位规则盲区"改为"处置已判定的冲突"，使可用空间从百分之四扩展到百分之五十八的冲突样本；过程示范使学生获得可迁移的处置依据而非记忆映射；四种做法的比较则让模型的真实贡献可被计量，若模型仅与"一律标注不确定"持平，则蒸馏的必要性需要重新论证。</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冲突处置的蒸馏方法，并报告三项结果：规则与人工判断的一致率、模型相对规则基线的增益、以及模型相对"一律标注不确定"这一廉价基线的增量。三项分别回答"标签可靠吗""蒸馏有用吗""有用到什么程度"。</w:t>
      </w:r>
    </w:p>
    <w:p>
      <w:pPr>
        <w:pStyle w:val="Heading3"/>
      </w:pPr>
      <w:r>
        <w:rPr>
          <w:rFonts w:ascii="Times New Roman" w:hAnsi="Times New Roman" w:eastAsia="黑体"/>
          <w:b/>
          <w:sz w:val="28"/>
        </w:rPr>
        <w:t>3.1.3 面向材料文献问答的多步 Agent 执行器实现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需要一个共同的验证载体，而这一载体不能是单轮问答。单轮问答只能检验"一次检索加一次生成"是否给出正确答案，无法检验本课题的核心主张：当检索到的证据条件不符时，系统能否作出恰当处置。这类处置在交互中才显现出来：检索到高温数据而用户问室温，系统是应当如实说明未找到该条件下的数据、还是追问用户是否接受相近条件、还是改用其他成分或工艺路径重新检索，三种反应对应不同的正确行为，单轮问答无法区分。因此本部分实现一个可在本地运行的多步 Agent 执行器，作为方法验证的载体。该执行器不主张算法创新，其定位是验证工具与本课题"可落地项目"的交付物。</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有四。第一，多步执行使状态管理复杂化：已检索过的条件、已判定为冲突的证据、已告知用户的限制，都需在轮次间保持，否则会重复检索或自相矛盾。第二，决策路径不唯一，同一任务可能有多条合理路径，这使"正确性"难以按单一轨迹判定，须改为按最终状态与关键决策点判定。第三，实验可复现依赖对决策过程的完整记录，若只保存最终答案，无法分析失败发生在哪一步。第四，本地部署形态下，模型、嵌入与检索均须离线，需逐项核查。</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缺少载体时，第二项研究内容的价值无法被观测：冲突处置的好坏只体现在细粒度的判定标签上，而无法体现为任务是否完成。若决策路径缺少记录，则多轮失败无法归因，也无法判断增益来自检索改进、判定改进还是决策策略改进。若状态管理不当，会出现同一问题在多轮中被反复检索、或先说明"未找到"随后又给出数据这类自相矛盾。</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执行器按四条线组织，方法与载体严格分离。</w:t>
      </w:r>
    </w:p>
    <w:p>
      <w:pPr>
        <w:ind w:firstLine="480" w:firstLineChars="200"/>
        <w:spacing w:line="312" w:lineRule="auto"/>
      </w:pPr>
      <w:r>
        <w:rPr>
          <w:rFonts w:ascii="Times New Roman" w:hAnsi="Times New Roman" w:eastAsia="宋体"/>
          <w:b w:val="0"/>
          <w:sz w:val="24"/>
        </w:rPr>
        <w:t>第一条，动作空间的最小化设计。执行器只暴露与条件处理直接相关的动作，避免把工程复杂度引入评测：检索（可带条件约束）、条件判定（复用 3.1.1 的规则与模型）、证据取舍（采用、降级、排除）、澄清追问（条件不足时向用户确认）、终止作答（给出答案或如实说明不可得）。动作集合保持固定，使其本身不成为实验变量。</w:t>
      </w:r>
    </w:p>
    <w:p>
      <w:pPr>
        <w:ind w:firstLine="480" w:firstLineChars="200"/>
        <w:spacing w:line="312" w:lineRule="auto"/>
      </w:pPr>
      <w:r>
        <w:rPr>
          <w:rFonts w:ascii="Times New Roman" w:hAnsi="Times New Roman" w:eastAsia="宋体"/>
          <w:b w:val="0"/>
          <w:sz w:val="24"/>
        </w:rPr>
        <w:t>第二条，逐轮状态的显式保存。每轮记录当前问题的条件需求、已检索候选及其条件状态、已作出的取舍、已向用户声明过的限制。状态以结构化形式保存，使任一时刻的决策可回溯到当时的可见信息，而不是事后重构。</w:t>
      </w:r>
    </w:p>
    <w:p>
      <w:pPr>
        <w:ind w:firstLine="480" w:firstLineChars="200"/>
        <w:spacing w:line="312" w:lineRule="auto"/>
      </w:pPr>
      <w:r>
        <w:rPr>
          <w:rFonts w:ascii="Times New Roman" w:hAnsi="Times New Roman" w:eastAsia="宋体"/>
          <w:b w:val="0"/>
          <w:sz w:val="24"/>
        </w:rPr>
        <w:t>第三条，决策过程的完整留痕。除最终答案外，保存每一步的动作选择、依据与中间结论。评测时既看最终答案是否正确，也看关键决策点是否处理正确，例如在仅有冲突证据时是否选择了澄清或如实说明，而非直接采用。</w:t>
      </w:r>
    </w:p>
    <w:p>
      <w:pPr>
        <w:ind w:firstLine="480" w:firstLineChars="200"/>
        <w:spacing w:line="312" w:lineRule="auto"/>
      </w:pPr>
      <w:r>
        <w:rPr>
          <w:rFonts w:ascii="Times New Roman" w:hAnsi="Times New Roman" w:eastAsia="宋体"/>
          <w:b w:val="0"/>
          <w:sz w:val="24"/>
        </w:rPr>
        <w:t>第四条，本地部署边界核查。逐项检查模型、嵌入模型与检索组件是否存在联网传输，对内部数据的上传与外发分别取得授权。</w:t>
      </w:r>
    </w:p>
    <w:p>
      <w:pPr>
        <w:ind w:firstLine="480" w:firstLineChars="200"/>
        <w:spacing w:line="312" w:lineRule="auto"/>
      </w:pPr>
      <w:r>
        <w:rPr>
          <w:rFonts w:ascii="Times New Roman" w:hAnsi="Times New Roman" w:eastAsia="宋体"/>
          <w:b/>
          <w:sz w:val="24"/>
        </w:rPr>
        <w:t>该实现能解决什么问题。</w:t>
      </w:r>
      <w:r>
        <w:rPr>
          <w:rFonts w:ascii="Times New Roman" w:hAnsi="Times New Roman" w:eastAsia="宋体"/>
          <w:b w:val="0"/>
          <w:sz w:val="24"/>
        </w:rPr>
        <w:t xml:space="preserve"> 该载体使冲突处置的价值可被观测：不仅能测判定标签是否准确，还能测该判定是否改变了最终任务结果。动作空间固定使不同方法的比较不受工程差异干扰；状态与过程留痕使多轮失败可归因到具体环节；方法层与载体层分离，使工程改动不会被误读为算法贡献。</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预期交付一个可在本地运行、决策过程逐步可追溯的多步 Agent 执行器，与条件绑定的知识库、条件判定模块共同构成完整的验证环境，并作为学院要求"可落地项目"的交付物。其评测结果作为第二项研究内容的支撑证据，主指标仍以单轮条件下的答案正确率与既有工作对比。</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数据选择与检索增强均已有较成熟的研究，但它们在材料文献问答这一类任务上仍留有具体缺口：既有工作多以语义相似度组织证据，未把实验条件作为可判定的显式属性，因而无法处理"语义相关而条件不可比"的情形。这一缺口构成本课题的切入点。</w:t>
      </w:r>
    </w:p>
    <w:p>
      <w:pPr>
        <w:ind w:firstLine="480" w:firstLineChars="200"/>
        <w:spacing w:line="312" w:lineRule="auto"/>
      </w:pPr>
      <w:r>
        <w:rPr>
          <w:rFonts w:ascii="Times New Roman" w:hAnsi="Times New Roman" w:eastAsia="宋体"/>
          <w:b/>
          <w:sz w:val="24"/>
        </w:rPr>
        <w:t>为解决上述问题，本文提出"条件可比的检索增强生成"方法，构建一个面向材料文献问答的本地 RAG 知识库与问答框架，并以蒸馏提升小模型的条件判断能力。</w:t>
      </w:r>
      <w:r>
        <w:rPr>
          <w:rFonts w:ascii="Times New Roman" w:hAnsi="Times New Roman" w:eastAsia="宋体"/>
          <w:b w:val="0"/>
          <w:sz w:val="24"/>
        </w:rPr>
        <w:t xml:space="preserve"> 该方法要解决的问题是：材料文献中同一成分在不同热处理与测试条件下的性能记录语义高度相似而物理上不可直接比较，通用检索器无法区分，小模型又缺乏判断能力，导致答案看似有据而条件不成立。具体做法分三步：其一，为每条证据绑定条件元组（测试温度、制备工艺、试验类型、单位），使检索结果自带可比性信息；其二，在答案生成前判定证据与问题的条件关系，规则处理明确情形，模糊情形交由蒸馏所得的小模型补位；其三，按条件状态组织答案并强制标注依据记录的条件，使结论的适用范围可见。三项工作共同支撑一个可在本地运行、答案依据可追溯的问答原型，并以分问题类型的答案正确率与错误归因说明该方法的实际增量。</w:t>
      </w:r>
    </w:p>
    <w:p>
      <w:pPr>
        <w:ind w:firstLine="480" w:firstLineChars="200"/>
        <w:spacing w:line="312" w:lineRule="auto"/>
      </w:pPr>
      <w:r>
        <w:rPr>
          <w:rFonts w:ascii="Times New Roman" w:hAnsi="Times New Roman" w:eastAsia="宋体"/>
          <w:b/>
          <w:sz w:val="24"/>
        </w:rPr>
        <w:t>拟创新点一：条件可比的证据组织与答案生成方法。</w:t>
      </w:r>
      <w:r>
        <w:rPr>
          <w:rFonts w:ascii="Times New Roman" w:hAnsi="Times New Roman" w:eastAsia="宋体"/>
          <w:b w:val="0"/>
          <w:sz w:val="24"/>
        </w:rPr>
        <w:t xml:space="preserve"> 本项针对材料文献问答中"证据语义相似但物理不可比"这一失效。既有检索增强与类型化知识图谱工作关注语义覆盖与关系抽取的完整性，其知识组织以实体与关系为主</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，部分工作亦保存证据窗口与出处；但"同一成分在不同温度下的两条记录不可直接互换"这一约束是否被显式表达，须视具体实现而定，不能笼统断言其无法表达。本项的可测主张是：</w:t>
      </w:r>
      <w:r>
        <w:rPr>
          <w:rFonts w:ascii="Times New Roman" w:hAnsi="Times New Roman" w:eastAsia="宋体"/>
          <w:b/>
          <w:sz w:val="24"/>
        </w:rPr>
        <w:t>把条件元组作为记录的显式属性、在生成前执行条件判定</w:t>
      </w:r>
      <w:r>
        <w:rPr>
          <w:rFonts w:ascii="Times New Roman" w:hAnsi="Times New Roman" w:eastAsia="宋体"/>
          <w:b w:val="0"/>
          <w:sz w:val="24"/>
        </w:rPr>
        <w:t>，相对仅存条件文本或依赖语义相似度排序的做法，能在条件敏感问题上取得可测的正确率差异。本项把条件元组（测试温度、制备工艺、试验类型、单位）作为记录的一等属性绑定进本地知识库，使其随检索结果一同返回；在生成前完成条件判定，按相符、冲突、未知三种状态决定证据在答案中的角色；并要求答案显式标注所依据记录的条件。评价上采用分问题类型的正确率与错误归因分解：条件敏感问题的提升作为主要指标，条件无关问题作为对照，检索失败、条件误用、生成错误三类占比分别报告。与既有类型化知识图谱检索工作的差别在于组织单位：后者组织实体关系，本项组织条件元组。</w:t>
      </w:r>
    </w:p>
    <w:p>
      <w:pPr>
        <w:ind w:firstLine="480" w:firstLineChars="200"/>
        <w:spacing w:line="312" w:lineRule="auto"/>
      </w:pPr>
      <w:r>
        <w:rPr>
          <w:rFonts w:ascii="Times New Roman" w:hAnsi="Times New Roman" w:eastAsia="宋体"/>
          <w:b w:val="0"/>
          <w:sz w:val="24"/>
        </w:rPr>
        <w:t>本项的验证方式为：在同一文献库、同一底座与同一检索预算下，与不作条件区分的常规 RAG、仅按语义重排的 RAG、以及按规则硬过滤条件的 RAG 三种做法对照；并分别移除条件元组绑定、条件判定、依据标注三个环节，检验各自贡献。</w:t>
      </w:r>
    </w:p>
    <w:p>
      <w:pPr>
        <w:ind w:firstLine="480" w:firstLineChars="200"/>
        <w:spacing w:line="312" w:lineRule="auto"/>
      </w:pPr>
      <w:r>
        <w:rPr>
          <w:rFonts w:ascii="Times New Roman" w:hAnsi="Times New Roman" w:eastAsia="宋体"/>
          <w:b/>
          <w:sz w:val="24"/>
        </w:rPr>
        <w:t>拟创新点二：基于过程示范的小模型条件处置蒸馏方法（支撑性工作）。</w:t>
      </w:r>
      <w:r>
        <w:rPr>
          <w:rFonts w:ascii="Times New Roman" w:hAnsi="Times New Roman" w:eastAsia="宋体"/>
          <w:b w:val="0"/>
          <w:sz w:val="24"/>
        </w:rPr>
        <w:t xml:space="preserve"> 条件处置的正确做法依赖问题意图与整组证据，规则只能按字段一致性给出弱标签，最终处置须人工核验，因此材料领域缺乏大规模类型化训练所需的标注体系。本项以规则弱标签加人工核验构造训练集，其规模受人工成本限制；教师示范采用逐项说明的过程而非仅给结论，示范内容为"该冲突出现在哪个槽位、问题意图是什么、因此该证据在回答中承担什么角色"；并分别度量规则弱标签与人工判断的一致率、模型相对规则弱标签的增益、以及模型相对"一律标注为不确定"这一廉价基线的增量。本项定位为对第一项的支撑，不主张独立的方法创新。</w:t>
      </w:r>
    </w:p>
    <w:p>
      <w:pPr>
        <w:ind w:firstLine="480" w:firstLineChars="200"/>
        <w:spacing w:line="312" w:lineRule="auto"/>
      </w:pPr>
      <w:r>
        <w:rPr>
          <w:rFonts w:ascii="Times New Roman" w:hAnsi="Times New Roman" w:eastAsia="宋体"/>
          <w:b/>
          <w:sz w:val="24"/>
        </w:rPr>
        <w:t>上述两项是相互衔接的拟研究改进，并非已证实的两个突破。方法创新集中于第一项（本体驱动的标签生成），第二项仅为其应用验证环节，不主张独立方法贡献。</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本课题对数据的需求与性能预测任务不同：不需要覆盖极宽的成分空间，而需要</w:t>
      </w:r>
      <w:r>
        <w:rPr>
          <w:rFonts w:ascii="Times New Roman" w:hAnsi="Times New Roman" w:eastAsia="宋体"/>
          <w:b/>
          <w:sz w:val="24"/>
        </w:rPr>
        <w:t>同一成分在不同条件下的多条记录</w:t>
      </w:r>
      <w:r>
        <w:rPr>
          <w:rFonts w:ascii="Times New Roman" w:hAnsi="Times New Roman" w:eastAsia="宋体"/>
          <w:b w:val="0"/>
          <w:sz w:val="24"/>
        </w:rPr>
        <w:t>，以便构造"条件相符"与"条件冲突"的判定对。这一需求决定了数据源的选型标准是字段完备性而非规模。</w:t>
      </w:r>
    </w:p>
    <w:p>
      <w:pPr>
        <w:ind w:firstLine="480" w:firstLineChars="200"/>
        <w:spacing w:line="312" w:lineRule="auto"/>
      </w:pPr>
      <w:r>
        <w:rPr>
          <w:rFonts w:ascii="Times New Roman" w:hAnsi="Times New Roman" w:eastAsia="宋体"/>
          <w:b w:val="0"/>
          <w:sz w:val="24"/>
        </w:rPr>
        <w:t>主线使用已确认可取得的公开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。当前固定版本含 1,545 条记录、630 种归一化成分与 265 个 DOI。对本体所设四类槽位逐项核对实际可得性，结果如下。这组数字是本课题判断数据是否够用的依据，而非装饰性的规模说明。</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line="240" w:lineRule="auto"/>
              <w:ind w:firstLine="0"/>
            </w:pPr>
            <w:r>
              <w:rPr>
                <w:rFonts w:ascii="Times New Roman" w:hAnsi="Times New Roman" w:eastAsia="黑体"/>
                <w:b/>
                <w:sz w:val="21"/>
              </w:rPr>
              <w:t>本体槽位</w:t>
            </w:r>
          </w:p>
        </w:tc>
        <w:tc>
          <w:tcPr>
            <w:tcW w:type="dxa" w:w="2078"/>
          </w:tcPr>
          <w:p>
            <w:pPr>
              <w:spacing w:line="240" w:lineRule="auto"/>
              <w:ind w:firstLine="0"/>
            </w:pPr>
            <w:r>
              <w:rPr>
                <w:rFonts w:ascii="Times New Roman" w:hAnsi="Times New Roman" w:eastAsia="黑体"/>
                <w:b/>
                <w:sz w:val="21"/>
              </w:rPr>
              <w:t>数据字段</w:t>
            </w:r>
          </w:p>
        </w:tc>
        <w:tc>
          <w:tcPr>
            <w:tcW w:type="dxa" w:w="2078"/>
          </w:tcPr>
          <w:p>
            <w:pPr>
              <w:spacing w:line="240" w:lineRule="auto"/>
              <w:ind w:firstLine="0"/>
            </w:pPr>
            <w:r>
              <w:rPr>
                <w:rFonts w:ascii="Times New Roman" w:hAnsi="Times New Roman" w:eastAsia="黑体"/>
                <w:b/>
                <w:sz w:val="21"/>
              </w:rPr>
              <w:t>非空率</w:t>
            </w:r>
          </w:p>
        </w:tc>
        <w:tc>
          <w:tcPr>
            <w:tcW w:type="dxa" w:w="2078"/>
          </w:tcPr>
          <w:p>
            <w:pPr>
              <w:spacing w:line="240" w:lineRule="auto"/>
              <w:ind w:firstLine="0"/>
            </w:pPr>
            <w:r>
              <w:rPr>
                <w:rFonts w:ascii="Times New Roman" w:hAnsi="Times New Roman" w:eastAsia="黑体"/>
                <w:b/>
                <w:sz w:val="21"/>
              </w:rPr>
              <w:t>说明</w:t>
            </w:r>
          </w:p>
        </w:tc>
      </w:tr>
      <w:tr>
        <w:tc>
          <w:tcPr>
            <w:tcW w:type="dxa" w:w="2078"/>
          </w:tcPr>
          <w:p>
            <w:pPr>
              <w:spacing w:line="240" w:lineRule="auto"/>
              <w:ind w:firstLine="0"/>
            </w:pPr>
            <w:r>
              <w:rPr>
                <w:rFonts w:ascii="Times New Roman" w:hAnsi="Times New Roman" w:eastAsia="宋体"/>
                <w:sz w:val="21"/>
              </w:rPr>
              <w:t>成分</w:t>
            </w:r>
          </w:p>
        </w:tc>
        <w:tc>
          <w:tcPr>
            <w:tcW w:type="dxa" w:w="2078"/>
          </w:tcPr>
          <w:p>
            <w:pPr>
              <w:spacing w:line="240" w:lineRule="auto"/>
              <w:ind w:firstLine="0"/>
            </w:pPr>
            <w:r>
              <w:rPr>
                <w:rFonts w:ascii="Times New Roman" w:hAnsi="Times New Roman" w:eastAsia="宋体"/>
                <w:sz w:val="21"/>
              </w:rPr>
              <w:t>FORMULA</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含元素集合，归一化后可作为比对基准</w:t>
            </w:r>
          </w:p>
        </w:tc>
      </w:tr>
      <w:tr>
        <w:tc>
          <w:tcPr>
            <w:tcW w:type="dxa" w:w="2078"/>
          </w:tcPr>
          <w:p>
            <w:pPr>
              <w:spacing w:line="240" w:lineRule="auto"/>
              <w:ind w:firstLine="0"/>
            </w:pPr>
            <w:r>
              <w:rPr>
                <w:rFonts w:ascii="Times New Roman" w:hAnsi="Times New Roman" w:eastAsia="宋体"/>
                <w:sz w:val="21"/>
              </w:rPr>
              <w:t>状态·制备工艺</w:t>
            </w:r>
          </w:p>
        </w:tc>
        <w:tc>
          <w:tcPr>
            <w:tcW w:type="dxa" w:w="2078"/>
          </w:tcPr>
          <w:p>
            <w:pPr>
              <w:spacing w:line="240" w:lineRule="auto"/>
              <w:ind w:firstLine="0"/>
            </w:pPr>
            <w:r>
              <w:rPr>
                <w:rFonts w:ascii="Times New Roman" w:hAnsi="Times New Roman" w:eastAsia="宋体"/>
                <w:sz w:val="21"/>
              </w:rPr>
              <w:t>Processing method</w:t>
            </w:r>
          </w:p>
        </w:tc>
        <w:tc>
          <w:tcPr>
            <w:tcW w:type="dxa" w:w="2078"/>
          </w:tcPr>
          <w:p>
            <w:pPr>
              <w:spacing w:line="240" w:lineRule="auto"/>
              <w:ind w:firstLine="0"/>
            </w:pPr>
            <w:r>
              <w:rPr>
                <w:rFonts w:ascii="Times New Roman" w:hAnsi="Times New Roman" w:eastAsia="宋体"/>
                <w:sz w:val="21"/>
              </w:rPr>
              <w:t>92.3%</w:t>
            </w:r>
          </w:p>
        </w:tc>
        <w:tc>
          <w:tcPr>
            <w:tcW w:type="dxa" w:w="2078"/>
          </w:tcPr>
          <w:p>
            <w:pPr>
              <w:spacing w:line="240" w:lineRule="auto"/>
              <w:ind w:firstLine="0"/>
            </w:pPr>
            <w:r>
              <w:rPr>
                <w:rFonts w:ascii="Times New Roman" w:hAnsi="Times New Roman" w:eastAsia="宋体"/>
                <w:sz w:val="21"/>
              </w:rPr>
              <w:t>粗标签（如 CAST），粒度有限</w:t>
            </w:r>
          </w:p>
        </w:tc>
      </w:tr>
      <w:tr>
        <w:tc>
          <w:tcPr>
            <w:tcW w:type="dxa" w:w="2078"/>
          </w:tcPr>
          <w:p>
            <w:pPr>
              <w:spacing w:line="240" w:lineRule="auto"/>
              <w:ind w:firstLine="0"/>
            </w:pPr>
            <w:r>
              <w:rPr>
                <w:rFonts w:ascii="Times New Roman" w:hAnsi="Times New Roman" w:eastAsia="宋体"/>
                <w:sz w:val="21"/>
              </w:rPr>
              <w:t>状态·相结构</w:t>
            </w:r>
          </w:p>
        </w:tc>
        <w:tc>
          <w:tcPr>
            <w:tcW w:type="dxa" w:w="2078"/>
          </w:tcPr>
          <w:p>
            <w:pPr>
              <w:spacing w:line="240" w:lineRule="auto"/>
              <w:ind w:firstLine="0"/>
            </w:pPr>
            <w:r>
              <w:rPr>
                <w:rFonts w:ascii="Times New Roman" w:hAnsi="Times New Roman" w:eastAsia="宋体"/>
                <w:sz w:val="21"/>
              </w:rPr>
              <w:t>BCC/FCC/other</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可作为状态差异的一个维度</w:t>
            </w:r>
          </w:p>
        </w:tc>
      </w:tr>
      <w:tr>
        <w:tc>
          <w:tcPr>
            <w:tcW w:type="dxa" w:w="2078"/>
          </w:tcPr>
          <w:p>
            <w:pPr>
              <w:spacing w:line="240" w:lineRule="auto"/>
              <w:ind w:firstLine="0"/>
            </w:pPr>
            <w:r>
              <w:rPr>
                <w:rFonts w:ascii="Times New Roman" w:hAnsi="Times New Roman" w:eastAsia="宋体"/>
                <w:sz w:val="21"/>
              </w:rPr>
              <w:t>状态·热处理</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测试·测试温度</w:t>
            </w:r>
          </w:p>
        </w:tc>
        <w:tc>
          <w:tcPr>
            <w:tcW w:type="dxa" w:w="2078"/>
          </w:tcPr>
          <w:p>
            <w:pPr>
              <w:spacing w:line="240" w:lineRule="auto"/>
              <w:ind w:firstLine="0"/>
            </w:pPr>
            <w:r>
              <w:rPr>
                <w:rFonts w:ascii="Times New Roman" w:hAnsi="Times New Roman" w:eastAsia="宋体"/>
                <w:sz w:val="21"/>
              </w:rPr>
              <w:t>Test temperature</w:t>
            </w:r>
          </w:p>
        </w:tc>
        <w:tc>
          <w:tcPr>
            <w:tcW w:type="dxa" w:w="2078"/>
          </w:tcPr>
          <w:p>
            <w:pPr>
              <w:spacing w:line="240" w:lineRule="auto"/>
              <w:ind w:firstLine="0"/>
            </w:pPr>
            <w:r>
              <w:rPr>
                <w:rFonts w:ascii="Times New Roman" w:hAnsi="Times New Roman" w:eastAsia="宋体"/>
                <w:sz w:val="21"/>
              </w:rPr>
              <w:t>88.3%</w:t>
            </w:r>
          </w:p>
        </w:tc>
        <w:tc>
          <w:tcPr>
            <w:tcW w:type="dxa" w:w="2078"/>
          </w:tcPr>
          <w:p>
            <w:pPr>
              <w:spacing w:line="240" w:lineRule="auto"/>
              <w:ind w:firstLine="0"/>
            </w:pPr>
            <w:r>
              <w:rPr>
                <w:rFonts w:ascii="Times New Roman" w:hAnsi="Times New Roman" w:eastAsia="宋体"/>
                <w:sz w:val="21"/>
              </w:rPr>
              <w:t>条件判定的主要依据</w:t>
            </w:r>
          </w:p>
        </w:tc>
      </w:tr>
      <w:tr>
        <w:tc>
          <w:tcPr>
            <w:tcW w:type="dxa" w:w="2078"/>
          </w:tcPr>
          <w:p>
            <w:pPr>
              <w:spacing w:line="240" w:lineRule="auto"/>
              <w:ind w:firstLine="0"/>
            </w:pPr>
            <w:r>
              <w:rPr>
                <w:rFonts w:ascii="Times New Roman" w:hAnsi="Times New Roman" w:eastAsia="宋体"/>
                <w:sz w:val="21"/>
              </w:rPr>
              <w:t>测试·试验类型</w:t>
            </w:r>
          </w:p>
        </w:tc>
        <w:tc>
          <w:tcPr>
            <w:tcW w:type="dxa" w:w="2078"/>
          </w:tcPr>
          <w:p>
            <w:pPr>
              <w:spacing w:line="240" w:lineRule="auto"/>
              <w:ind w:firstLine="0"/>
            </w:pPr>
            <w:r>
              <w:rPr>
                <w:rFonts w:ascii="Times New Roman" w:hAnsi="Times New Roman" w:eastAsia="宋体"/>
                <w:sz w:val="21"/>
              </w:rPr>
              <w:t>Type of test</w:t>
            </w:r>
          </w:p>
        </w:tc>
        <w:tc>
          <w:tcPr>
            <w:tcW w:type="dxa" w:w="2078"/>
          </w:tcPr>
          <w:p>
            <w:pPr>
              <w:spacing w:line="240" w:lineRule="auto"/>
              <w:ind w:firstLine="0"/>
            </w:pPr>
            <w:r>
              <w:rPr>
                <w:rFonts w:ascii="Times New Roman" w:hAnsi="Times New Roman" w:eastAsia="宋体"/>
                <w:sz w:val="21"/>
              </w:rPr>
              <w:t>74.4%</w:t>
            </w:r>
          </w:p>
        </w:tc>
        <w:tc>
          <w:tcPr>
            <w:tcW w:type="dxa" w:w="2078"/>
          </w:tcPr>
          <w:p>
            <w:pPr>
              <w:spacing w:line="240" w:lineRule="auto"/>
              <w:ind w:firstLine="0"/>
            </w:pPr>
            <w:r>
              <w:rPr>
                <w:rFonts w:ascii="Times New Roman" w:hAnsi="Times New Roman" w:eastAsia="宋体"/>
                <w:sz w:val="21"/>
              </w:rPr>
              <w:t>决定性能是否可跨记录比较</w:t>
            </w:r>
          </w:p>
        </w:tc>
      </w:tr>
      <w:tr>
        <w:tc>
          <w:tcPr>
            <w:tcW w:type="dxa" w:w="2078"/>
          </w:tcPr>
          <w:p>
            <w:pPr>
              <w:spacing w:line="240" w:lineRule="auto"/>
              <w:ind w:firstLine="0"/>
            </w:pPr>
            <w:r>
              <w:rPr>
                <w:rFonts w:ascii="Times New Roman" w:hAnsi="Times New Roman" w:eastAsia="宋体"/>
                <w:sz w:val="21"/>
              </w:rPr>
              <w:t>测试·测量方法</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性能·硬度</w:t>
            </w:r>
          </w:p>
        </w:tc>
        <w:tc>
          <w:tcPr>
            <w:tcW w:type="dxa" w:w="2078"/>
          </w:tcPr>
          <w:p>
            <w:pPr>
              <w:spacing w:line="240" w:lineRule="auto"/>
              <w:ind w:firstLine="0"/>
            </w:pPr>
            <w:r>
              <w:rPr>
                <w:rFonts w:ascii="Times New Roman" w:hAnsi="Times New Roman" w:eastAsia="宋体"/>
                <w:sz w:val="21"/>
              </w:rPr>
              <w:t>HV</w:t>
            </w:r>
          </w:p>
        </w:tc>
        <w:tc>
          <w:tcPr>
            <w:tcW w:type="dxa" w:w="2078"/>
          </w:tcPr>
          <w:p>
            <w:pPr>
              <w:spacing w:line="240" w:lineRule="auto"/>
              <w:ind w:firstLine="0"/>
            </w:pPr>
            <w:r>
              <w:rPr>
                <w:rFonts w:ascii="Times New Roman" w:hAnsi="Times New Roman" w:eastAsia="宋体"/>
                <w:sz w:val="21"/>
              </w:rPr>
              <w:t>34.3%</w:t>
            </w:r>
          </w:p>
        </w:tc>
        <w:tc>
          <w:tcPr>
            <w:tcW w:type="dxa" w:w="2078"/>
          </w:tcPr>
          <w:p>
            <w:pPr>
              <w:spacing w:line="240" w:lineRule="auto"/>
              <w:ind w:firstLine="0"/>
            </w:pPr>
            <w:r>
              <w:rPr>
                <w:rFonts w:ascii="Times New Roman" w:hAnsi="Times New Roman" w:eastAsia="宋体"/>
                <w:sz w:val="21"/>
              </w:rPr>
              <w:t>覆盖率偏低</w:t>
            </w:r>
          </w:p>
        </w:tc>
      </w:tr>
      <w:tr>
        <w:tc>
          <w:tcPr>
            <w:tcW w:type="dxa" w:w="2078"/>
          </w:tcPr>
          <w:p>
            <w:pPr>
              <w:spacing w:line="240" w:lineRule="auto"/>
              <w:ind w:firstLine="0"/>
            </w:pPr>
            <w:r>
              <w:rPr>
                <w:rFonts w:ascii="Times New Roman" w:hAnsi="Times New Roman" w:eastAsia="宋体"/>
                <w:sz w:val="21"/>
              </w:rPr>
              <w:t>性能·屈服强度</w:t>
            </w:r>
          </w:p>
        </w:tc>
        <w:tc>
          <w:tcPr>
            <w:tcW w:type="dxa" w:w="2078"/>
          </w:tcPr>
          <w:p>
            <w:pPr>
              <w:spacing w:line="240" w:lineRule="auto"/>
              <w:ind w:firstLine="0"/>
            </w:pPr>
            <w:r>
              <w:rPr>
                <w:rFonts w:ascii="Times New Roman" w:hAnsi="Times New Roman" w:eastAsia="宋体"/>
                <w:sz w:val="21"/>
              </w:rPr>
              <w:t>YS</w:t>
            </w:r>
          </w:p>
        </w:tc>
        <w:tc>
          <w:tcPr>
            <w:tcW w:type="dxa" w:w="2078"/>
          </w:tcPr>
          <w:p>
            <w:pPr>
              <w:spacing w:line="240" w:lineRule="auto"/>
              <w:ind w:firstLine="0"/>
            </w:pPr>
            <w:r>
              <w:rPr>
                <w:rFonts w:ascii="Times New Roman" w:hAnsi="Times New Roman" w:eastAsia="宋体"/>
                <w:sz w:val="21"/>
              </w:rPr>
              <w:t>69.1%</w:t>
            </w:r>
          </w:p>
        </w:tc>
        <w:tc>
          <w:tcPr>
            <w:tcW w:type="dxa" w:w="2078"/>
          </w:tcPr>
          <w:p>
            <w:pPr>
              <w:spacing w:line="240" w:lineRule="auto"/>
              <w:ind w:firstLine="0"/>
            </w:pPr>
            <w:r>
              <w:rPr>
                <w:rFonts w:ascii="Times New Roman" w:hAnsi="Times New Roman" w:eastAsia="宋体"/>
                <w:sz w:val="21"/>
              </w:rPr>
              <w:t>相对完整</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这张表暴露了一个必须正面处理的事实：</w:t>
      </w:r>
      <w:r>
        <w:rPr>
          <w:rFonts w:ascii="Times New Roman" w:hAnsi="Times New Roman" w:eastAsia="宋体"/>
          <w:b/>
          <w:sz w:val="24"/>
        </w:rPr>
        <w:t>本体所设的四类槽位中，热处理与测量方法在主线数据中根本没有对应字段</w:t>
      </w:r>
      <w:r>
        <w:rPr>
          <w:rFonts w:ascii="Times New Roman" w:hAnsi="Times New Roman" w:eastAsia="宋体"/>
          <w:b w:val="0"/>
          <w:sz w:val="24"/>
        </w:rPr>
        <w:t>。这不是数据清洗能解决的问题，只能从论文全文中抽取。本课题为此备有约两万篇材料学论文的授权语料，热处理与测量方法正是该通道的首要目标字段。</w:t>
      </w:r>
    </w:p>
    <w:p>
      <w:pPr>
        <w:ind w:firstLine="480" w:firstLineChars="200"/>
        <w:spacing w:line="312" w:lineRule="auto"/>
      </w:pPr>
      <w:r>
        <w:rPr>
          <w:rFonts w:ascii="Times New Roman" w:hAnsi="Times New Roman" w:eastAsia="宋体"/>
          <w:b w:val="0"/>
          <w:sz w:val="24"/>
        </w:rPr>
        <w:t>槽位启用采取分阶段策略，以降低对抽取成功率的依赖。首版本体只启用主线数据中确有的槽位（成分、制备工艺、相结构、测试温度、试验类型），使第一项研究内容不依赖文献抽取即可开展；热处理与测量方法作为第二阶段字段，在补充库的抽取结果经一致性检查、且该字段的实测覆盖率报告之后纳入判定。这一安排的用意是使研究的核心结论不悬置于一个尚未验证的抽取环节之上。若抽取成功率低于预期，前五个槽位上的实验仍可独立成立，只需相应收紧结论范围。该取舍在开题阶段即予声明，避免后期因字段缺失而被迫修改标签体系。</w:t>
      </w:r>
    </w:p>
    <w:p>
      <w:pPr>
        <w:ind w:firstLine="480" w:firstLineChars="200"/>
        <w:spacing w:line="312" w:lineRule="auto"/>
      </w:pPr>
      <w:r>
        <w:rPr>
          <w:rFonts w:ascii="Times New Roman" w:hAnsi="Times New Roman" w:eastAsia="宋体"/>
          <w:b w:val="0"/>
          <w:sz w:val="24"/>
        </w:rPr>
        <w:t>判定对的构造能力实测如下。630 种成分中有 186 种存在多于一条记录，按同成分记录两两配对可得 8,857 对；其中测试温度或制备工艺的取值不同者有 7,452 对。须进一步区分：这 7,452 对中有 1,571 对至少一侧字段为空，其差异属缺失而非已知冲突；扣除此部分后，</w:t>
      </w:r>
      <w:r>
        <w:rPr>
          <w:rFonts w:ascii="Times New Roman" w:hAnsi="Times New Roman" w:eastAsia="宋体"/>
          <w:b/>
          <w:sz w:val="24"/>
        </w:rPr>
        <w:t>两侧字段均有值且取值不同者 5,881 对</w:t>
      </w:r>
      <w:r>
        <w:rPr>
          <w:rFonts w:ascii="Times New Roman" w:hAnsi="Times New Roman" w:eastAsia="宋体"/>
          <w:b w:val="0"/>
          <w:sz w:val="24"/>
        </w:rPr>
        <w:t>，才构成已知条件冲突的候选。后续凡称"条件冲突"均指这 5,881 对，不使用含缺失的 7,452 对作为冲突样本数。这一数字仍只是数据侧的构造上限，不等于可评测样本数：判定对是记录之间的关系，而评测需要的是问题、答案与证据齐全的三元组。</w:t>
      </w:r>
    </w:p>
    <w:p>
      <w:pPr>
        <w:ind w:firstLine="480" w:firstLineChars="200"/>
        <w:spacing w:line="312" w:lineRule="auto"/>
      </w:pPr>
      <w:r>
        <w:rPr>
          <w:rFonts w:ascii="Times New Roman" w:hAnsi="Times New Roman" w:eastAsia="宋体"/>
          <w:b w:val="0"/>
          <w:sz w:val="24"/>
        </w:rPr>
        <w:t>据实折算如下，三个数字分别对应三种口径，不可混用。其一，</w:t>
      </w:r>
      <w:r>
        <w:rPr>
          <w:rFonts w:ascii="Times New Roman" w:hAnsi="Times New Roman" w:eastAsia="宋体"/>
          <w:b/>
          <w:sz w:val="24"/>
        </w:rPr>
        <w:t>同时具备性能值（HV 或 YS）与测试温度、制备工艺的记录共 1,205 条</w:t>
      </w:r>
      <w:r>
        <w:rPr>
          <w:rFonts w:ascii="Times New Roman" w:hAnsi="Times New Roman" w:eastAsia="宋体"/>
          <w:b w:val="0"/>
          <w:sz w:val="24"/>
        </w:rPr>
        <w:t>；其二，</w:t>
      </w:r>
      <w:r>
        <w:rPr>
          <w:rFonts w:ascii="Times New Roman" w:hAnsi="Times New Roman" w:eastAsia="宋体"/>
          <w:b/>
          <w:sz w:val="24"/>
        </w:rPr>
        <w:t>在此基础上再要求试验类型也非空者 1,062 条</w:t>
      </w:r>
      <w:r>
        <w:rPr>
          <w:rFonts w:ascii="Times New Roman" w:hAnsi="Times New Roman" w:eastAsia="宋体"/>
          <w:b w:val="0"/>
          <w:sz w:val="24"/>
        </w:rPr>
        <w:t>，这是构造"条件完整"题的基础；其三，</w:t>
      </w:r>
      <w:r>
        <w:rPr>
          <w:rFonts w:ascii="Times New Roman" w:hAnsi="Times New Roman" w:eastAsia="宋体"/>
          <w:b/>
          <w:sz w:val="24"/>
        </w:rPr>
        <w:t>仅要求温度与工艺非空、不要求有性能值者 1,311 条</w:t>
      </w:r>
      <w:r>
        <w:rPr>
          <w:rFonts w:ascii="Times New Roman" w:hAnsi="Times New Roman" w:eastAsia="宋体"/>
          <w:b w:val="0"/>
          <w:sz w:val="24"/>
        </w:rPr>
        <w:t>，该口径下的记录不能用于性能问答，只可用于条件判定类任务。正文后述以 1,062 条为首版口径。</w:t>
      </w:r>
    </w:p>
    <w:p>
      <w:pPr>
        <w:ind w:firstLine="480" w:firstLineChars="200"/>
        <w:spacing w:line="312" w:lineRule="auto"/>
      </w:pPr>
      <w:r>
        <w:rPr>
          <w:rFonts w:ascii="Times New Roman" w:hAnsi="Times New Roman" w:eastAsia="宋体"/>
          <w:b w:val="0"/>
          <w:sz w:val="24"/>
        </w:rPr>
        <w:t>在 1,062 条中，存在同成分不同条件干扰项者 722 条，无干扰项者 340 条。</w:t>
      </w:r>
      <w:r>
        <w:rPr>
          <w:rFonts w:ascii="Times New Roman" w:hAnsi="Times New Roman" w:eastAsia="宋体"/>
          <w:b/>
          <w:sz w:val="24"/>
        </w:rPr>
        <w:t>须说明的是，无干扰项的记录同样可以构造条件敏感题</w:t>
      </w:r>
      <w:r>
        <w:rPr>
          <w:rFonts w:ascii="Times New Roman" w:hAnsi="Times New Roman" w:eastAsia="宋体"/>
          <w:b w:val="0"/>
          <w:sz w:val="24"/>
        </w:rPr>
        <w:t>：其干扰项不来自库中同成分的其他记录，而可由系统按该记录的已知条件反向构造错误条件的问法（如取该记录温度以外的温度提问），此时正确行为是如实说明"未找到该条件下的数据"。故 340 条并非只能做条件无关题，而是其干扰来源不同。</w:t>
      </w:r>
    </w:p>
    <w:p>
      <w:pPr>
        <w:ind w:firstLine="480" w:firstLineChars="200"/>
        <w:spacing w:line="312" w:lineRule="auto"/>
      </w:pPr>
      <w:r>
        <w:rPr>
          <w:rFonts w:ascii="Times New Roman" w:hAnsi="Times New Roman" w:eastAsia="宋体"/>
          <w:b w:val="0"/>
          <w:sz w:val="24"/>
        </w:rPr>
        <w:t>按一条记录生成一题计，条件敏感问答对约 722 题（库内干扰）+ 340 题（构造干扰），条件无关题另计。按百分之七十、十五、十五划分后，测试集规模在百余题量级。该规模足以支撑两组之间的正确率对比，但不足以支撑"问题类型×错误类型"的交叉分析，故须扩题。扩题途径为同一记录生成多种问法，须保证同记录的不同问法不跨数据分区。实际可用题数在首次构造后报告，不在此处填预计数值。</w:t>
      </w:r>
    </w:p>
    <w:p>
      <w:pPr>
        <w:ind w:firstLine="480" w:firstLineChars="200"/>
        <w:spacing w:line="312" w:lineRule="auto"/>
      </w:pPr>
      <w:r>
        <w:rPr>
          <w:rFonts w:ascii="Times New Roman" w:hAnsi="Times New Roman" w:eastAsia="宋体"/>
          <w:b w:val="0"/>
          <w:sz w:val="24"/>
        </w:rPr>
        <w:t>上述两部分数据共同构成条件感知的本地知识库：MPEA 作为已结构化的基础库，文献解析结果作为补充库，两者以统一的记录结构与条件元组入库。</w:t>
      </w:r>
    </w:p>
    <w:p>
      <w:pPr>
        <w:ind w:firstLine="480" w:firstLineChars="200"/>
        <w:spacing w:line="312" w:lineRule="auto"/>
      </w:pPr>
      <w:r>
        <w:rPr>
          <w:rFonts w:ascii="Times New Roman" w:hAnsi="Times New Roman" w:eastAsia="宋体"/>
          <w:b w:val="0"/>
          <w:sz w:val="24"/>
        </w:rPr>
        <w:t>补充库的来源为一套已获授权、规模约两万篇的材料学论文全文语料。该语料的使用价值在于三处：其一，主线数据中热处理与测量方法两个槽位无对应字段，这两类信息通常存在于论文的表格表头、表注与实验方法章节，只能从全文抽取；其二，主线数据仅 265 个来源，按来源关联分组划分后每区组数偏少，扩大语料可使独立来源数提升一个数量级；其三，真实全文的抽取结果带有真实噪声，可作为方法在非理想数据上的评测场景，而不只是在已清洗的结构化表上验证。</w:t>
      </w:r>
    </w:p>
    <w:p>
      <w:pPr>
        <w:ind w:firstLine="480" w:firstLineChars="200"/>
        <w:spacing w:line="312" w:lineRule="auto"/>
      </w:pPr>
      <w:r>
        <w:rPr>
          <w:rFonts w:ascii="Times New Roman" w:hAnsi="Times New Roman" w:eastAsia="宋体"/>
          <w:b w:val="0"/>
          <w:sz w:val="24"/>
        </w:rPr>
        <w:t>须明确的是，语料篇数不等于可用记录数，两者之间存在多级损耗：并非每篇论文都含实验性能数据（综述、纯计算与理论类论文往往没有）；解析环节在表格合并单元格、上下标与真实扫描件上存在已知短板；三类条件字段须同时可定位方构成本课题所需的条件完整记录。因此本课题不按篇数推算样本规模，而以实测可用率折算。</w:t>
      </w:r>
    </w:p>
    <w:p>
      <w:pPr>
        <w:ind w:firstLine="480" w:firstLineChars="200"/>
        <w:spacing w:line="312" w:lineRule="auto"/>
      </w:pPr>
      <w:r>
        <w:rPr>
          <w:rFonts w:ascii="Times New Roman" w:hAnsi="Times New Roman" w:eastAsia="宋体"/>
          <w:b w:val="0"/>
          <w:sz w:val="24"/>
        </w:rPr>
        <w:t>处理流程分三步，且先验证后扩量。第一步抽样约两百篇跑通完整管线，依次经解析、字段抽取与一致性检查，实测各级损耗并报告真实可用率；第二步依据该可用率决定是否扩大处理规模，若抽取环节存在系统性缺陷则先修正管线再扩量；第三步在确认管线可用后处理全量语料，并按来源分组完成数据划分。</w:t>
      </w:r>
    </w:p>
    <w:p>
      <w:pPr>
        <w:ind w:firstLine="480" w:firstLineChars="200"/>
        <w:spacing w:line="312" w:lineRule="auto"/>
      </w:pPr>
      <w:r>
        <w:rPr>
          <w:rFonts w:ascii="Times New Roman" w:hAnsi="Times New Roman" w:eastAsia="宋体"/>
          <w:b w:val="0"/>
          <w:sz w:val="24"/>
        </w:rPr>
        <w:t>解析环节采用开源工具 MinerU 将 PDF 转换为结构化文本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其输出须经槽位抽取与一致性检查后方可入库，不直接计入判定数据。抽取环节须区分实验值与计算值：计算得到的性能与实测性能不属同一类别，混同会使"所引记录与所述数值一致"这一判定标准失效，故每条记录须标注数值来源类型。补充库的实际可用条数、各槽位覆盖率与来源数在首轮试验后报告，此处不填预计数值。</w:t>
      </w:r>
    </w:p>
    <w:p>
      <w:pPr>
        <w:ind w:firstLine="480" w:firstLineChars="200"/>
        <w:spacing w:line="312" w:lineRule="auto"/>
      </w:pPr>
      <w:r>
        <w:rPr>
          <w:rFonts w:ascii="Times New Roman" w:hAnsi="Times New Roman" w:eastAsia="宋体"/>
          <w:b w:val="0"/>
          <w:sz w:val="24"/>
        </w:rPr>
        <w:t>其他公开合金数据源已作初步排查，均未达到本课题的可用条件。难熔高熵合金方向存在规模更大的数据库（如 ULTERA，报告约 2,700 种合金、6,500 条性质数据、540 篇文献），但其数据未公开，需经合作申请获取；其他以性能汇总为主的数据集侧重成分与性能两列，缺少可比的测试条件与来源字段，无法支撑条件适用性判定。材料领域的离线检索增强已有实践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，其做法是整合文献与结构化数据两类来源，本课题在数据组织上采用相近思路，但把条件元组作为独立字段处理。MPEA 作为主线的依据不在于规模，而在于同时提供成分、状态、测试条件与来源标识四类字段。若具备许可与下载条件，可选用再生铝合金模拟数据扩展规模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，但它不是高熵合金实测数据，正式使用前须核对版本、字段与缺失值，不作为当前必需前提。</w:t>
      </w:r>
    </w:p>
    <w:p>
      <w:pPr>
        <w:ind w:firstLine="480" w:firstLineChars="200"/>
        <w:spacing w:line="312" w:lineRule="auto"/>
      </w:pPr>
      <w:r>
        <w:rPr>
          <w:rFonts w:ascii="Times New Roman" w:hAnsi="Times New Roman" w:eastAsia="宋体"/>
          <w:b w:val="0"/>
          <w:sz w:val="24"/>
        </w:rPr>
        <w:t>数据划分以来源关联组为单位，约按 70%、15%、15% 分配训练、开发与测试，同组不可拆分。划分后先确认每区是否有足够的来源组与可比较判定对；若不足以支撑稳定的留出比较，则扩大获准资料或收紧结论范围，不以增加同记录改写次数代替独立来源。实际可用的判定对数、来源组数与各槽位覆盖率在首次划分完成后报告。</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构造判定对。教师示范池仅由训练资料产生；本体比较规则的阈值、置信度门槛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基础对照包括五组，各组使用同一文献库、同一检索召回数与同一底座，只改变条件处理策略，其余设置保持一致。其一为常规 RAG，不作条件区分。其二为</w:t>
      </w:r>
      <w:r>
        <w:rPr>
          <w:rFonts w:ascii="Times New Roman" w:hAnsi="Times New Roman" w:eastAsia="宋体"/>
          <w:b/>
          <w:sz w:val="24"/>
        </w:rPr>
        <w:t>文本拼接对照</w:t>
      </w:r>
      <w:r>
        <w:rPr>
          <w:rFonts w:ascii="Times New Roman" w:hAnsi="Times New Roman" w:eastAsia="宋体"/>
          <w:b w:val="0"/>
          <w:sz w:val="24"/>
        </w:rPr>
        <w:t>：把成分、性能与三条件字段拼成一段自然语言写入检索单元，不做结构化绑定，也不做前置判定。这一组是关键，它回答"条件信息以结构化方式组织是否必要"，若其结果与完整方案相当，则条件元组的组织方式不构成贡献。其三为仅按语义重排的 RAG。其四为规则硬过滤 RAG，仅按条件做硬性筛选、不做冲突处置与依据标注；该组本身使用了条件字段，故须与消融结果结合解读，才能分离"字段有用"与"过滤有用"。其五为用大模型直接问答，作为性能上界参考。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判定实验固定同一批判定对与同一底座，比较纯规则、纯模型、规则+模型三种做法；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消融实验聚焦三项核心设计，每组只改动一处，其余设置保持不变，使改进归因可追溯。</w:t>
      </w:r>
    </w:p>
    <w:p>
      <w:pPr>
        <w:ind w:firstLine="480" w:firstLineChars="200"/>
        <w:spacing w:line="312" w:lineRule="auto"/>
      </w:pPr>
      <w:r>
        <w:rPr>
          <w:rFonts w:ascii="Times New Roman" w:hAnsi="Times New Roman" w:eastAsia="宋体"/>
          <w:b w:val="0"/>
          <w:sz w:val="24"/>
        </w:rPr>
        <w:t>第一组移除条件元组绑定：证据只保留成分与数值，退回常规 RAG，测出条件信息本身的贡献。</w:t>
      </w:r>
    </w:p>
    <w:p>
      <w:pPr>
        <w:ind w:firstLine="480" w:firstLineChars="200"/>
        <w:spacing w:line="312" w:lineRule="auto"/>
      </w:pPr>
      <w:r>
        <w:rPr>
          <w:rFonts w:ascii="Times New Roman" w:hAnsi="Times New Roman" w:eastAsia="宋体"/>
          <w:b w:val="0"/>
          <w:sz w:val="24"/>
        </w:rPr>
        <w:t>第二组移除条件判定：保留条件字段但不做相符冲突的判定，直接交给生成环节，测出前置判定相对"让模型自己看着办"的增益。</w:t>
      </w:r>
    </w:p>
    <w:p>
      <w:pPr>
        <w:ind w:firstLine="480" w:firstLineChars="200"/>
        <w:spacing w:line="312" w:lineRule="auto"/>
      </w:pPr>
      <w:r>
        <w:rPr>
          <w:rFonts w:ascii="Times New Roman" w:hAnsi="Times New Roman" w:eastAsia="宋体"/>
          <w:b w:val="0"/>
          <w:sz w:val="24"/>
        </w:rPr>
        <w:t>第三组移除依据标注：答案不标注依据记录的条件，测出"答案携带适用范围"对可用性的影响。</w:t>
      </w:r>
    </w:p>
    <w:p>
      <w:pPr>
        <w:ind w:firstLine="480" w:firstLineChars="200"/>
        <w:spacing w:line="312" w:lineRule="auto"/>
      </w:pPr>
      <w:r>
        <w:rPr>
          <w:rFonts w:ascii="Times New Roman" w:hAnsi="Times New Roman" w:eastAsia="宋体"/>
          <w:b w:val="0"/>
          <w:sz w:val="24"/>
        </w:rPr>
        <w:t>三组之外另设一组基线消融：仅用规则判定、不引入蒸馏模型，直接测出规则方法的天花板，用于界定模型的必要性，该结果如实报告。</w:t>
      </w:r>
    </w:p>
    <w:p>
      <w:pPr>
        <w:ind w:firstLine="480" w:firstLineChars="200"/>
        <w:spacing w:line="312" w:lineRule="auto"/>
      </w:pPr>
      <w:r>
        <w:rPr>
          <w:rFonts w:ascii="Times New Roman" w:hAnsi="Times New Roman" w:eastAsia="宋体"/>
          <w:b w:val="0"/>
          <w:sz w:val="24"/>
        </w:rPr>
        <w:t>为检验小模型是否只承担无增益外壳，加入"同一需求解析结果加传统约束优化器、不调用语言模型做决策"的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分问题类型的答案正确率。问题按是否涉及条件敏感查询分为两组：条件敏感组（如指定测试温度或工艺状态下的性能查询）与条件无关组（如相结构列举、元素组成查询）。两组分别报告正确率，其中条件敏感组的提升为主要结论依据，条件无关组用作对照以排除整体性提升来自其他因素。</w:t>
      </w:r>
    </w:p>
    <w:p>
      <w:pPr>
        <w:ind w:firstLine="480" w:firstLineChars="200"/>
        <w:spacing w:line="312" w:lineRule="auto"/>
      </w:pPr>
      <w:r>
        <w:rPr>
          <w:rFonts w:ascii="Times New Roman" w:hAnsi="Times New Roman" w:eastAsia="宋体"/>
          <w:b w:val="0"/>
          <w:sz w:val="24"/>
        </w:rPr>
        <w:t>条件敏感组内进一步做两类分层报告，二者用途不同。</w:t>
      </w:r>
    </w:p>
    <w:p>
      <w:pPr>
        <w:ind w:firstLine="480" w:firstLineChars="200"/>
        <w:spacing w:line="312" w:lineRule="auto"/>
      </w:pPr>
      <w:r>
        <w:rPr>
          <w:rFonts w:ascii="Times New Roman" w:hAnsi="Times New Roman" w:eastAsia="宋体"/>
          <w:b w:val="0"/>
          <w:sz w:val="24"/>
        </w:rPr>
        <w:t>第一类按库内是否存在同成分干扰项分层。若条件元组确实在起作用，增益应较多出现在库内存在同成分不同条件记录的题目上。须说明这是</w:t>
      </w:r>
      <w:r>
        <w:rPr>
          <w:rFonts w:ascii="Times New Roman" w:hAnsi="Times New Roman" w:eastAsia="宋体"/>
          <w:b/>
          <w:sz w:val="24"/>
        </w:rPr>
        <w:t>机制线索而非因果证据</w:t>
      </w:r>
      <w:r>
        <w:rPr>
          <w:rFonts w:ascii="Times New Roman" w:hAnsi="Times New Roman" w:eastAsia="宋体"/>
          <w:b w:val="0"/>
          <w:sz w:val="24"/>
        </w:rPr>
        <w:t>：分层由数据固有属性决定，不是随机分配的，因此不能把两层差异直接称为因果。真正的因果证据来自下一条的受控比较。</w:t>
      </w:r>
    </w:p>
    <w:p>
      <w:pPr>
        <w:ind w:firstLine="480" w:firstLineChars="200"/>
        <w:spacing w:line="312" w:lineRule="auto"/>
      </w:pPr>
      <w:r>
        <w:rPr>
          <w:rFonts w:ascii="Times New Roman" w:hAnsi="Times New Roman" w:eastAsia="宋体"/>
          <w:b w:val="0"/>
          <w:sz w:val="24"/>
        </w:rPr>
        <w:t>第二类做同题受控加减干扰：对同一道题，分别在候选集合中保留与移除同成分不同条件的干扰记录，其他设置完全固定，比较答案正确率的变化。这是随机可控的比较，其差值直接度量条件处理的作用。</w:t>
      </w:r>
    </w:p>
    <w:p>
      <w:pPr>
        <w:ind w:firstLine="480" w:firstLineChars="200"/>
        <w:spacing w:line="312" w:lineRule="auto"/>
      </w:pPr>
      <w:r>
        <w:rPr>
          <w:rFonts w:ascii="Times New Roman" w:hAnsi="Times New Roman" w:eastAsia="宋体"/>
          <w:b/>
          <w:sz w:val="24"/>
        </w:rPr>
        <w:t>答案正确性判定与依据标注完整性分开计分</w:t>
      </w:r>
      <w:r>
        <w:rPr>
          <w:rFonts w:ascii="Times New Roman" w:hAnsi="Times New Roman" w:eastAsia="宋体"/>
          <w:b w:val="0"/>
          <w:sz w:val="24"/>
        </w:rPr>
        <w:t>，避免格式要求污染正确率。正确性只看：所述性能数值是否与所引记录一致、所引记录的条件是否与问题要求相符、条件不符时是否如实拒答。依据标注是否完整（答案是否写明所依据记录的条件）作为独立的完整率指标单独报告。这样，消融中移除依据标注一组的正确率不会因定义而必然下降，其影响只体现在完整率与人工可用性评价上。</w:t>
      </w:r>
    </w:p>
    <w:p>
      <w:pPr>
        <w:ind w:firstLine="480" w:firstLineChars="200"/>
        <w:spacing w:line="312" w:lineRule="auto"/>
      </w:pPr>
      <w:r>
        <w:rPr>
          <w:rFonts w:ascii="Times New Roman" w:hAnsi="Times New Roman" w:eastAsia="宋体"/>
          <w:b w:val="0"/>
          <w:sz w:val="24"/>
        </w:rPr>
        <w:t>另报逐条依据准确率、条件标注完整率与拒答率。</w:t>
      </w:r>
    </w:p>
    <w:p>
      <w:pPr>
        <w:ind w:firstLine="480" w:firstLineChars="200"/>
        <w:spacing w:line="312" w:lineRule="auto"/>
      </w:pPr>
      <w:r>
        <w:rPr>
          <w:rFonts w:ascii="Times New Roman" w:hAnsi="Times New Roman" w:eastAsia="宋体"/>
          <w:b w:val="0"/>
          <w:sz w:val="24"/>
        </w:rPr>
        <w:t>上述指标均在单轮条件下测得，以便与既有工作直接比较。此外在多步 Agent 载体上设一项</w:t>
      </w:r>
      <w:r>
        <w:rPr>
          <w:rFonts w:ascii="Times New Roman" w:hAnsi="Times New Roman" w:eastAsia="宋体"/>
          <w:b/>
          <w:sz w:val="24"/>
        </w:rPr>
        <w:t>补充指标：任务完成度</w:t>
      </w:r>
      <w:r>
        <w:rPr>
          <w:rFonts w:ascii="Times New Roman" w:hAnsi="Times New Roman" w:eastAsia="宋体"/>
          <w:b w:val="0"/>
          <w:sz w:val="24"/>
        </w:rPr>
        <w:t>，用于检验冲突处置在交互中是否真正改变了结果。任务完成度的判定不看单条回答是否正确，而看三类关键决策点是否处理得当。其一，在仅检索到条件冲突证据时，是否选择了澄清追问或如实说明不可得，而非直接采用；其二，在用户补充条件或改换追问后，是否基于新条件重新检索而非沿用旧候选；其三，终止作答时，给出的结论是否与全程已检索到的证据一致，不出现先声明未找到后又给出数据这类自相矛盾。三项按通过与否分别统计，并报告失败样本的失败环节。</w:t>
      </w:r>
    </w:p>
    <w:p>
      <w:pPr>
        <w:ind w:firstLine="480" w:firstLineChars="200"/>
        <w:spacing w:line="312" w:lineRule="auto"/>
      </w:pPr>
      <w:r>
        <w:rPr>
          <w:rFonts w:ascii="Times New Roman" w:hAnsi="Times New Roman" w:eastAsia="宋体"/>
          <w:b w:val="0"/>
          <w:sz w:val="24"/>
        </w:rPr>
        <w:t>须说明的是，</w:t>
      </w:r>
      <w:r>
        <w:rPr>
          <w:rFonts w:ascii="Times New Roman" w:hAnsi="Times New Roman" w:eastAsia="宋体"/>
          <w:b/>
          <w:sz w:val="24"/>
        </w:rPr>
        <w:t>主指标仍是单轮答案正确率</w:t>
      </w:r>
      <w:r>
        <w:rPr>
          <w:rFonts w:ascii="Times New Roman" w:hAnsi="Times New Roman" w:eastAsia="宋体"/>
          <w:b w:val="0"/>
          <w:sz w:val="24"/>
        </w:rPr>
        <w:t>，任务完成度仅用于支撑第二项研究内容，不替代主指标。原因是多步任务的评价尚无公认口径，且决策路径不唯一，若以其为主指标，结论难以与既有工作比较。任务资格在评测前由构造协议与独立检查确定，不因某方法是否成功检索或输出而改变分母；资格不确定的题目单列并报告纳入与排除数量。</w:t>
      </w:r>
    </w:p>
    <w:p>
      <w:pPr>
        <w:ind w:firstLine="480" w:firstLineChars="200"/>
        <w:spacing w:line="312" w:lineRule="auto"/>
      </w:pPr>
      <w:r>
        <w:rPr>
          <w:rFonts w:ascii="Times New Roman" w:hAnsi="Times New Roman" w:eastAsia="宋体"/>
          <w:b w:val="0"/>
          <w:sz w:val="24"/>
        </w:rPr>
        <w:t>错误按三类归因分别统计：检索未命中（正确记录未出现在候选中）、条件误用（记录被检索到但条件不符仍被采用）、生成错误（证据与条件均正确而表述出错）。为使三类可被分离测量而非事后推断，另设两种评测条件：在"给定正确证据"的条件下运行，此时若仍出错即排除检索因素；在"给定正确证据且条件已正确标注"的条件下运行，此时若仍出错即为纯生成问题。两种条件下的结果与自然条件下的结果并列报告，其差值分别对应检索环节与条件处理环节的贡献。该设置参照科学问答中区分检索、接地与合成瓶颈的常见做法。三类占比分别报告，作为判断改进优先级与评价各环节贡献的依据。数值约束冲突、证据不足与需要澄清的问题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技术路线为：文献解析与条件字段抽取、条件元组绑定与本地知识库构建、条件感知检索、规则与模型协同的条件判定、条件标注下的答案生成、多步 Agent 执行与决策留痕、分问题类型正确率与错误归因评估。检索、判定与生成共用同一套条件元组与来源类型，方法与载体分离：条件处理的方法层构成研究内容，多步执行器仅作为验证载体。最终输出索引快照、蒸馏模型权重、判定日志与执行轨迹。整体流程见图 3-1。</w:t>
      </w:r>
    </w:p>
    <w:p>
      <w:pPr>
        <w:spacing w:before="120" w:after="120"/>
        <w:ind w:firstLine="0"/>
        <w:jc w:val="center"/>
      </w:pPr>
      <w:r>
        <w:drawing>
          <wp:inline xmlns:a="http://schemas.openxmlformats.org/drawingml/2006/main" xmlns:pic="http://schemas.openxmlformats.org/drawingml/2006/picture">
            <wp:extent cx="4860000" cy="4022773"/>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4022773"/>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全文语料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全文语料的实际可用率可能显著低于预期。两万篇篇数不等于可用记录数，损耗来自三处：综述与纯计算类论文不含实验性能数据；解析环节在表格与扫描件上存在已知短板；三类条件须同时可定位方可入库。处理办法是先抽样验证再决定是否扩量，并以实测可用率折算样本规模，不按篇数推算。若可用率过低，则只启用不依赖抽取的前五个槽位，相应收紧结论范围；若抽取结果的实验值与计算值难以区分，则该批数据不用于性能一致性判定，仅用于条件字段的补充。</w:t>
      </w:r>
    </w:p>
    <w:p>
      <w:pPr>
        <w:ind w:firstLine="480" w:firstLineChars="200"/>
        <w:spacing w:line="312" w:lineRule="auto"/>
      </w:pPr>
      <w:r>
        <w:rPr>
          <w:rFonts w:ascii="Times New Roman" w:hAnsi="Times New Roman" w:eastAsia="宋体"/>
          <w:b w:val="0"/>
          <w:sz w:val="24"/>
        </w:rPr>
        <w:t>第三，抽取所得条件字段可能与原文不符。这是本课题要处理的问题本身，不能反过来假定抽取结果可信。处理办法是：抽取结果须附来源标识（DOI 与页码）与原文片段，抽样人工核验并报告一致率；不一致的处理作为检测环节的输入而非噪声直接剔除；若人工核验一致率过低，说明抽取协议须重新设计，不得在低质量数据上继续后续实验。</w:t>
      </w:r>
    </w:p>
    <w:p>
      <w:pPr>
        <w:ind w:firstLine="480" w:firstLineChars="200"/>
        <w:spacing w:line="312" w:lineRule="auto"/>
      </w:pPr>
      <w:r>
        <w:rPr>
          <w:rFonts w:ascii="Times New Roman" w:hAnsi="Times New Roman" w:eastAsia="宋体"/>
          <w:b w:val="0"/>
          <w:sz w:val="24"/>
        </w:rPr>
        <w:t>第四，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五，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六，多步执行可能使评价口径失焦。决策路径不唯一，同一任务可能有多条合理路径，若按单一轨迹判定正确性会误判。处理办法是把评价拆为最终答案正确性与关键决策点通过与否两部分，并说明主指标仍为单轮答案正确率；若多步结果与单轮结果方向不一致，以单轮结果为主并在结果中如实报告差异，不以多步表现替代主指标。凡属工程层面的选择，不作为方法贡献计入，其收益单独列出。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预期形成一份带条件元组的材料文献知识库规范、一种条件可比的证据组织与答案生成方法、一个小型条件冲突处置模型，以及一个可在本地运行、决策过程可追溯的多步 Agent 执行器。成果应包括版本化实验配置、对照结果与适用范围，而不只是模型文件或界面演示。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参考文献以正式发表的期刊论文与会议论文为主；其中编号 43 至 45 的三项工作为近期预印本，尚无正式发表版本，引用时已明确标注。这三项分别用于说明解析工具的能力边界、检测环节的瓶颈结论与数据库纠错的必要性，均为本课题立论所必需，故予保留。</w:t>
      </w:r>
    </w:p>
    <w:p>
      <w:pPr>
        <w:ind w:firstLine="480" w:firstLineChars="200"/>
        <w:spacing w:line="312" w:lineRule="auto"/>
      </w:pPr>
      <w:r>
        <w:rPr>
          <w:rFonts w:ascii="Times New Roman" w:hAnsi="Times New Roman" w:eastAsia="宋体"/>
          <w:b w:val="0"/>
          <w:sz w:val="24"/>
        </w:rPr>
        <w:t>本报告为研究计划，本体构建、标签生成、模型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个月：完成本体设计与槽位比较规则实现，统计规则覆盖率与重复标注一致率，据此确定规则与模型的分工边界；同步完成判定对构造与基线实现。</w:t>
      </w:r>
    </w:p>
    <w:p>
      <w:pPr>
        <w:ind w:firstLine="480" w:firstLineChars="200"/>
        <w:spacing w:line="312" w:lineRule="auto"/>
      </w:pPr>
      <w:r>
        <w:rPr>
          <w:rFonts w:ascii="Times New Roman" w:hAnsi="Times New Roman" w:eastAsia="宋体"/>
          <w:b w:val="0"/>
          <w:sz w:val="24"/>
        </w:rPr>
        <w:t>第 5 个月：构造条件处置的训练与核验数据（规则弱标签加人工核验），完成教师示范采集与小模型蒸馏，并与规则弱标签、纯模型（不经过程示范）、一律标注不确定三种做法对照，确认过程示范相对其他做法的实际收益。同月完成多步 Agent 执行器的集成，固定动作空间与状态表示。</w:t>
      </w:r>
    </w:p>
    <w:p>
      <w:pPr>
        <w:ind w:firstLine="480" w:firstLineChars="200"/>
        <w:spacing w:line="312" w:lineRule="auto"/>
      </w:pPr>
      <w:r>
        <w:rPr>
          <w:rFonts w:ascii="Times New Roman" w:hAnsi="Times New Roman" w:eastAsia="宋体"/>
          <w:b w:val="0"/>
          <w:sz w:val="24"/>
        </w:rPr>
        <w:t>第 6 个月：完成条件字段绑定、条件判定、依据标注三项消融，逐组确认改进来源；另设仅用规则的基线测规则天花板，界定模型的必要性。同步在多步 Agent 载体上采集任务完成度数据，检验冲突处置是否改变最终任务结果。</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个月：整理结果与复现材料，完成论文撰写、局限性讨论与修改，准备学位论文送审与答辩。若资源不足，优先完成本体判定与规则/模型边界分析，减少额外模型与外部验证扩展，不删去关键对照。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2025.（预印本）</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294.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2025.（预印本）</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2026.（预印本）</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network[R/OL]. 2015. arXiv:1503.02531.（该文为会议报告与预印本，无正式期刊发表版本）</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2026.（预印本）</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2026.（预印本，期刊发表信息待核实）</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selection[EB/OL]. arXiv:2609.05198, 2026.（预印本）</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distillation[EB/OL]. arXiv:2609.37377, 2026.（预印本）</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coverage[EB/OL]. arXiv:2605.28247, 2026.（预印本）</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16(6): 1-27. DOI: 10.1145/3699518.</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alignment[EB/OL]. arXiv:2304.06767, 2023.（预印本）</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Yao S, Zhao J, Yu D, et al. ReAct: synergizing reasoning and acting in language models[C]//Proceedings of the Eleventh International Conference on Learning Representations. 2023.</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Zhang Y, Wang S, Liang S, et al. Distilling LLM agent into small models with retrieval and code tools[C]//Advances in Neural Information Processing Systems 38 (NeurIPS 2025). 2025.</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Wang B, Xu C, Zhao X, Ouyang L, et al. MinerU: an open-source solution for precise document content extraction[EB/OL]. arXiv:2409.18839, 2024.（预印本，该工具为开源项目，代码见 opendatalab/MinerU）</w:t>
      </w:r>
    </w:p>
    <w:p>
      <w:pPr>
        <w:spacing w:line="312" w:lineRule="auto"/>
        <w:ind w:left="480" w:leftChars="0" w:hanging="480" w:hangingChars="200"/>
      </w:pPr>
      <w:bookmarkStart w:id="1044" w:name="_Ref_ref044"/>
      <w:r>
        <w:rPr>
          <w:rFonts w:ascii="Times New Roman" w:hAnsi="Times New Roman" w:eastAsia="宋体"/>
          <w:sz w:val="21"/>
        </w:rPr>
        <w:t>[44]</w:t>
      </w:r>
      <w:bookmarkEnd w:id="1044"/>
      <w:r>
        <w:rPr>
          <w:rFonts w:ascii="Times New Roman" w:hAnsi="Times New Roman" w:eastAsia="宋体"/>
          <w:sz w:val="21"/>
        </w:rPr>
        <w:t xml:space="preserve"> Grounded verification of chemical and materials reasoning: detection is the bottleneck[EB/OL]. arXiv:2607.17417, 2026.（预印本）</w:t>
      </w:r>
    </w:p>
    <w:p>
      <w:pPr>
        <w:spacing w:line="312" w:lineRule="auto"/>
        <w:ind w:left="480" w:leftChars="0" w:hanging="480" w:hangingChars="200"/>
      </w:pPr>
      <w:bookmarkStart w:id="1045" w:name="_Ref_ref045"/>
      <w:r>
        <w:rPr>
          <w:rFonts w:ascii="Times New Roman" w:hAnsi="Times New Roman" w:eastAsia="宋体"/>
          <w:sz w:val="21"/>
        </w:rPr>
        <w:t>[45]</w:t>
      </w:r>
      <w:bookmarkEnd w:id="1045"/>
      <w:r>
        <w:rPr>
          <w:rFonts w:ascii="Times New Roman" w:hAnsi="Times New Roman" w:eastAsia="宋体"/>
          <w:sz w:val="21"/>
        </w:rPr>
        <w:t xml:space="preserve"> LitMOF: an LLM multi-agent for literature-validated metal-organic frameworks database correction and expansion[EB/OL]. arXiv:2512.01693, 2025.（预印本）</w:t>
      </w:r>
    </w:p>
    <w:p>
      <w:pPr>
        <w:spacing w:line="312" w:lineRule="auto"/>
        <w:ind w:left="480" w:leftChars="0" w:hanging="480" w:hangingChars="200"/>
      </w:pPr>
      <w:bookmarkStart w:id="1046" w:name="_Ref_ref046"/>
      <w:r>
        <w:rPr>
          <w:rFonts w:ascii="Times New Roman" w:hAnsi="Times New Roman" w:eastAsia="宋体"/>
          <w:sz w:val="21"/>
        </w:rPr>
        <w:t>[46]</w:t>
      </w:r>
      <w:bookmarkEnd w:id="1046"/>
      <w:r>
        <w:rPr>
          <w:rFonts w:ascii="Times New Roman" w:hAnsi="Times New Roman" w:eastAsia="宋体"/>
          <w:sz w:val="21"/>
        </w:rPr>
        <w:t xml:space="preserve"> OG-RAG: ontology-grounded retrieval-augmented generation for large language models[EB/OL]. arXiv:2412.15235, 2024.（预印本）</w:t>
      </w:r>
    </w:p>
    <w:p>
      <w:pPr>
        <w:spacing w:line="312" w:lineRule="auto"/>
        <w:ind w:left="480" w:leftChars="0" w:hanging="480" w:hangingChars="200"/>
      </w:pPr>
      <w:bookmarkStart w:id="1047" w:name="_Ref_ref047"/>
      <w:r>
        <w:rPr>
          <w:rFonts w:ascii="Times New Roman" w:hAnsi="Times New Roman" w:eastAsia="宋体"/>
          <w:sz w:val="21"/>
        </w:rPr>
        <w:t>[47]</w:t>
      </w:r>
      <w:bookmarkEnd w:id="1047"/>
      <w:r>
        <w:rPr>
          <w:rFonts w:ascii="Times New Roman" w:hAnsi="Times New Roman" w:eastAsia="宋体"/>
          <w:sz w:val="21"/>
        </w:rPr>
        <w:t xml:space="preserve"> Can small language models use what they retrieve? An empirical study of retrieval utilization across model scale[EB/OL]. arXiv:2603.11513, 2026.（预印本）</w:t>
      </w:r>
    </w:p>
    <w:p>
      <w:pPr>
        <w:spacing w:line="312" w:lineRule="auto"/>
        <w:ind w:left="480" w:leftChars="0" w:hanging="480" w:hangingChars="200"/>
      </w:pPr>
      <w:bookmarkStart w:id="1048" w:name="_Ref_ref048"/>
      <w:r>
        <w:rPr>
          <w:rFonts w:ascii="Times New Roman" w:hAnsi="Times New Roman" w:eastAsia="宋体"/>
          <w:sz w:val="21"/>
        </w:rPr>
        <w:t>[48]</w:t>
      </w:r>
      <w:bookmarkEnd w:id="1048"/>
      <w:r>
        <w:rPr>
          <w:rFonts w:ascii="Times New Roman" w:hAnsi="Times New Roman" w:eastAsia="宋体"/>
          <w:sz w:val="21"/>
        </w:rPr>
        <w:t xml:space="preserve"> HalluGuard: evidence-grounded small reasoning models to mitigate hallucinations in retrieval-augmented generation[EB/OL]. arXiv:2510.00880, 2025.（预印本）</w:t>
      </w:r>
    </w:p>
    <w:p>
      <w:pPr>
        <w:spacing w:line="312" w:lineRule="auto"/>
        <w:ind w:left="480" w:leftChars="0" w:hanging="480" w:hangingChars="200"/>
      </w:pPr>
      <w:bookmarkStart w:id="1049" w:name="_Ref_ref049"/>
      <w:r>
        <w:rPr>
          <w:rFonts w:ascii="Times New Roman" w:hAnsi="Times New Roman" w:eastAsia="宋体"/>
          <w:sz w:val="21"/>
        </w:rPr>
        <w:t>[49]</w:t>
      </w:r>
      <w:bookmarkEnd w:id="1049"/>
      <w:r>
        <w:rPr>
          <w:rFonts w:ascii="Times New Roman" w:hAnsi="Times New Roman" w:eastAsia="宋体"/>
          <w:sz w:val="21"/>
        </w:rPr>
        <w:t xml:space="preserve"> Ontology-conformal recognition of materials entities using language models[J]. Scientific Reports, 2025. DOI: 10.1038/s41598-025-03619-y.</w:t>
      </w:r>
    </w:p>
    <w:p>
      <w:pPr>
        <w:spacing w:line="312" w:lineRule="auto"/>
        <w:ind w:left="480" w:leftChars="0" w:hanging="480" w:hangingChars="200"/>
      </w:pPr>
      <w:bookmarkStart w:id="1050" w:name="_Ref_ref050"/>
      <w:r>
        <w:rPr>
          <w:rFonts w:ascii="Times New Roman" w:hAnsi="Times New Roman" w:eastAsia="宋体"/>
          <w:sz w:val="21"/>
        </w:rPr>
        <w:t>[50]</w:t>
      </w:r>
      <w:bookmarkEnd w:id="1050"/>
      <w:r>
        <w:rPr>
          <w:rFonts w:ascii="Times New Roman" w:hAnsi="Times New Roman" w:eastAsia="宋体"/>
          <w:sz w:val="21"/>
        </w:rPr>
        <w:t xml:space="preserve"> Typed decision models: an early evidence audit and evaluation checklist[EB/OL]. arXiv:2609.32160, 2026.（预印本）</w:t>
      </w:r>
    </w:p>
    <w:p>
      <w:pPr>
        <w:spacing w:line="312" w:lineRule="auto"/>
        <w:ind w:left="480" w:leftChars="0" w:hanging="480" w:hangingChars="200"/>
      </w:pPr>
      <w:bookmarkStart w:id="1051" w:name="_Ref_ref051"/>
      <w:r>
        <w:rPr>
          <w:rFonts w:ascii="Times New Roman" w:hAnsi="Times New Roman" w:eastAsia="宋体"/>
          <w:sz w:val="21"/>
        </w:rPr>
        <w:t>[51]</w:t>
      </w:r>
      <w:bookmarkEnd w:id="1051"/>
      <w:r>
        <w:rPr>
          <w:rFonts w:ascii="Times New Roman" w:hAnsi="Times New Roman" w:eastAsia="宋体"/>
          <w:sz w:val="21"/>
        </w:rPr>
        <w:t xml:space="preserve"> Cao Y, Wang L, Chen J, et al. ARIA: a causal-aware framework for rescuing LLM reasoning in trustworthy materials discovery[C]//Proceedings of the 32nd ACM SIGKDD Conference on Knowledge Discovery and Data Mining. 2026.</w:t>
      </w:r>
    </w:p>
    <w:p>
      <w:pPr>
        <w:spacing w:line="312" w:lineRule="auto"/>
        <w:ind w:left="480" w:leftChars="0" w:hanging="480" w:hangingChars="200"/>
      </w:pPr>
      <w:bookmarkStart w:id="1052" w:name="_Ref_ref052"/>
      <w:r>
        <w:rPr>
          <w:rFonts w:ascii="Times New Roman" w:hAnsi="Times New Roman" w:eastAsia="宋体"/>
          <w:sz w:val="21"/>
        </w:rPr>
        <w:t>[52]</w:t>
      </w:r>
      <w:bookmarkEnd w:id="1052"/>
      <w:r>
        <w:rPr>
          <w:rFonts w:ascii="Times New Roman" w:hAnsi="Times New Roman" w:eastAsia="宋体"/>
          <w:sz w:val="21"/>
        </w:rPr>
        <w:t xml:space="preserve"> Tan Y, Yuan Y, Li, et al. Bootstrapping knowledge acquisition from domain text with a seed ontology and small language models[C]//Lecture Notes in Computer Science. 2026: 190-207. DOI: 10.1007/978-3-032-41614-8_11.</w:t>
      </w:r>
    </w:p>
    <w:p>
      <w:pPr>
        <w:spacing w:line="312" w:lineRule="auto"/>
        <w:ind w:left="480" w:leftChars="0" w:hanging="480" w:hangingChars="200"/>
      </w:pPr>
      <w:bookmarkStart w:id="1053" w:name="_Ref_ref053"/>
      <w:r>
        <w:rPr>
          <w:rFonts w:ascii="Times New Roman" w:hAnsi="Times New Roman" w:eastAsia="宋体"/>
          <w:sz w:val="21"/>
        </w:rPr>
        <w:t>[53]</w:t>
      </w:r>
      <w:bookmarkEnd w:id="1053"/>
      <w:r>
        <w:rPr>
          <w:rFonts w:ascii="Times New Roman" w:hAnsi="Times New Roman" w:eastAsia="宋体"/>
          <w:sz w:val="21"/>
        </w:rPr>
        <w:t xml:space="preserve"> DRAG: distilling RAG for SLMs from LLMs to transfer knowledge and mitigate hallucination via evidence and graph-based distillation[EB/OL]. arXiv:2506.01954, 2025.（预印本）</w:t>
      </w:r>
    </w:p>
    <w:p>
      <w:pPr>
        <w:spacing w:line="312" w:lineRule="auto"/>
        <w:ind w:left="480" w:leftChars="0" w:hanging="480" w:hangingChars="200"/>
      </w:pPr>
      <w:bookmarkStart w:id="1054" w:name="_Ref_ref054"/>
      <w:r>
        <w:rPr>
          <w:rFonts w:ascii="Times New Roman" w:hAnsi="Times New Roman" w:eastAsia="宋体"/>
          <w:sz w:val="21"/>
        </w:rPr>
        <w:t>[54]</w:t>
      </w:r>
      <w:bookmarkEnd w:id="1054"/>
      <w:r>
        <w:rPr>
          <w:rFonts w:ascii="Times New Roman" w:hAnsi="Times New Roman" w:eastAsia="宋体"/>
          <w:sz w:val="21"/>
        </w:rPr>
        <w:t xml:space="preserve"> EGT-KG: evidence-grounded typed KG retrieval for practical scientific QA with small language models[EB/OL]. arXiv:2609.00479, 2026.（预印本）</w:t>
      </w:r>
    </w:p>
    <w:p>
      <w:pPr>
        <w:spacing w:line="312" w:lineRule="auto"/>
        <w:ind w:left="480" w:leftChars="0" w:hanging="480" w:hangingChars="200"/>
      </w:pPr>
      <w:bookmarkStart w:id="1055" w:name="_Ref_ref055"/>
      <w:r>
        <w:rPr>
          <w:rFonts w:ascii="Times New Roman" w:hAnsi="Times New Roman" w:eastAsia="宋体"/>
          <w:sz w:val="21"/>
        </w:rPr>
        <w:t>[55]</w:t>
      </w:r>
      <w:bookmarkEnd w:id="1055"/>
      <w:r>
        <w:rPr>
          <w:rFonts w:ascii="Times New Roman" w:hAnsi="Times New Roman" w:eastAsia="宋体"/>
          <w:sz w:val="21"/>
        </w:rPr>
        <w:t xml:space="preserve"> Materials dual-source knowledge retrieval-augmented generation for local large language models in photocatalysts[J]. Journal of Chemical Information and Modeling, 2025. DOI: 10.1021/acs.jcim.5c01941.</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面向材料文献问答的条件可比 RAG 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