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黑体"/>
          <w:b/>
          <w:color w:val="1B3A52"/>
          <w:sz w:val="40"/>
        </w:rPr>
        <w:t>硕士学位论文开题报告</w:t>
      </w:r>
    </w:p>
    <w:p>
      <w:pPr>
        <w:spacing w:before="320" w:after="120"/>
      </w:pPr>
      <w:r>
        <w:rPr>
          <w:rFonts w:ascii="Times New Roman" w:hAnsi="Times New Roman" w:eastAsia="黑体"/>
          <w:b/>
          <w:color w:val="1B3A52"/>
          <w:sz w:val="30"/>
        </w:rPr>
        <w:t>材料知识冲突的识别与消解：面向可信材料推理的冲突感知方法</w:t>
      </w:r>
    </w:p>
    <w:p>
      <w:pPr>
        <w:spacing w:after="80"/>
        <w:ind w:firstLine="420"/>
      </w:pPr>
      <w:r>
        <w:rPr>
          <w:rFonts w:ascii="Times New Roman" w:hAnsi="Times New Roman" w:eastAsia="宋体"/>
          <w:b w:val="0"/>
          <w:color w:val="1A1A1A"/>
          <w:sz w:val="21"/>
        </w:rPr>
        <w:t>关键词：材料推理；知识冲突；跨数据库不一致；可信 AI；大语言模型</w:t>
      </w:r>
    </w:p>
    <w:p>
      <w:pPr>
        <w:jc w:val="center"/>
      </w:pPr>
      <w:r>
        <w:rPr>
          <w:rFonts w:ascii="Times New Roman" w:hAnsi="Times New Roman" w:eastAsia="宋体"/>
          <w:b w:val="0"/>
          <w:color w:val="1A1A1A"/>
          <w:sz w:val="21"/>
        </w:rPr>
        <w:t>学科专业：计算机科学与技术</w:t>
      </w:r>
    </w:p>
    <w:p>
      <w:pPr>
        <w:jc w:val="center"/>
      </w:pPr>
      <w:r>
        <w:rPr>
          <w:rFonts w:ascii="Times New Roman" w:hAnsi="Times New Roman" w:eastAsia="宋体"/>
          <w:b w:val="0"/>
          <w:color w:val="1A1A1A"/>
          <w:sz w:val="21"/>
        </w:rPr>
        <w:t>研究方向：大模型与材料智能设计</w:t>
      </w:r>
    </w:p>
    <w:p>
      <w:pPr>
        <w:jc w:val="center"/>
      </w:pPr>
      <w:r>
        <w:rPr>
          <w:rFonts w:ascii="Times New Roman" w:hAnsi="Times New Roman" w:eastAsia="宋体"/>
          <w:b w:val="0"/>
          <w:color w:val="1A1A1A"/>
          <w:sz w:val="21"/>
        </w:rPr>
        <w:t>报告日期：2026 年 10 月 18 日</w:t>
      </w:r>
    </w:p>
    <w:p>
      <w:pPr>
        <w:jc w:val="center"/>
      </w:pPr>
      <w:r>
        <w:rPr>
          <w:rFonts w:ascii="Times New Roman" w:hAnsi="Times New Roman" w:eastAsia="宋体"/>
          <w:b w:val="0"/>
          <w:color w:val="1A1A1A"/>
          <w:sz w:val="21"/>
        </w:rPr>
        <w:t>工作语言：中文</w:t>
      </w:r>
    </w:p>
    <w:p>
      <w:pPr>
        <w:spacing w:before="320" w:after="120"/>
      </w:pPr>
      <w:r>
        <w:rPr>
          <w:rFonts w:ascii="Times New Roman" w:hAnsi="Times New Roman" w:eastAsia="黑体"/>
          <w:b/>
          <w:color w:val="1B3A52"/>
          <w:sz w:val="30"/>
        </w:rPr>
        <w:t>摘要</w:t>
      </w:r>
    </w:p>
    <w:p>
      <w:pPr>
        <w:spacing w:after="80"/>
        <w:ind w:firstLine="420"/>
      </w:pPr>
      <w:r>
        <w:rPr>
          <w:rFonts w:ascii="Times New Roman" w:hAnsi="Times New Roman" w:eastAsia="宋体"/>
          <w:b w:val="0"/>
          <w:color w:val="1A1A1A"/>
          <w:sz w:val="21"/>
        </w:rPr>
        <w:t>材料知识从来不是单一来源。同一个化合物，Materials Project、OQMD、AFLOW 与 JARVIS-DFT 可能给出不同的形成能、不同的带隙，甚至不同的稳定性判定。已有对 62,803 个跨库共有成分的比对显示，约 17%—18% 的化合物在一个数据库中被判定在凸包上、在另一个中却在凸包之上；7%—9% 的化合物在两个数据库之间发生金属/半导体翻转 [1]。大语言模型正是在这些互相矛盾的数据上训练、并依赖它们做推理，但「模型遇到冲突时会怎么做」在材料领域从未被系统研究。</w:t>
      </w:r>
    </w:p>
    <w:p>
      <w:pPr>
        <w:spacing w:after="80"/>
        <w:ind w:firstLine="420"/>
      </w:pPr>
      <w:r>
        <w:rPr>
          <w:rFonts w:ascii="Times New Roman" w:hAnsi="Times New Roman" w:eastAsia="宋体"/>
          <w:b w:val="0"/>
          <w:color w:val="1A1A1A"/>
          <w:sz w:val="21"/>
        </w:rPr>
        <w:t>通用领域已经有成熟的知识冲突研究：ConflictBank、WhoQA、KC-Bench 与 TRACK 分别从训练期冲突、检索期冲突、智能体多源冲突与多步推理冲突四个角度建立了基准与评测协议 [2–5]。材料领域没有对应的基准，也没有针对材料冲突结构的分析方法。</w:t>
      </w:r>
    </w:p>
    <w:p>
      <w:pPr>
        <w:spacing w:after="80"/>
        <w:ind w:firstLine="420"/>
      </w:pPr>
      <w:r>
        <w:rPr>
          <w:rFonts w:ascii="Times New Roman" w:hAnsi="Times New Roman" w:eastAsia="宋体"/>
          <w:b w:val="0"/>
          <w:color w:val="1A1A1A"/>
          <w:sz w:val="21"/>
        </w:rPr>
        <w:t>本课题填补这一空白。具体而言：（1）建立材料知识冲突的类型学，区分数据库间冲突、时间冲突（旧文献与新计算）与粒度冲突（计算与实验）；（2）基于四个公开数据库的交叉匹配构建冲突基准，并给出可复核的冲突判定规则；（3）系统评测主流大模型在冲突下的行为——是选边、报告冲突，还是回避；（4）提出冲突感知的推理方法，在给出结论的同时报告证据分歧与置信度。</w:t>
      </w:r>
    </w:p>
    <w:p>
      <w:pPr>
        <w:spacing w:after="80"/>
        <w:ind w:firstLine="420"/>
      </w:pPr>
      <w:r>
        <w:rPr>
          <w:rFonts w:ascii="Times New Roman" w:hAnsi="Times New Roman" w:eastAsia="宋体"/>
          <w:b w:val="0"/>
          <w:color w:val="1A1A1A"/>
          <w:sz w:val="21"/>
        </w:rPr>
        <w:t>预期贡献：首个材料知识冲突基准；材料冲突结构（而不是通用语义冲突）的分析框架；一个可评测的冲突感知推理基线。</w:t>
      </w:r>
    </w:p>
    <w:p>
      <w:pPr>
        <w:spacing w:before="320" w:after="120"/>
      </w:pPr>
      <w:r>
        <w:rPr>
          <w:rFonts w:ascii="Times New Roman" w:hAnsi="Times New Roman" w:eastAsia="黑体"/>
          <w:b/>
          <w:color w:val="1B3A52"/>
          <w:sz w:val="30"/>
        </w:rPr>
        <w:t>1 研究背景与意义</w:t>
      </w:r>
    </w:p>
    <w:p>
      <w:pPr>
        <w:spacing w:before="200" w:after="80"/>
      </w:pPr>
      <w:r>
        <w:rPr>
          <w:rFonts w:ascii="Times New Roman" w:hAnsi="Times New Roman" w:eastAsia="黑体"/>
          <w:b/>
          <w:color w:val="1B3A52"/>
          <w:sz w:val="23"/>
        </w:rPr>
        <w:t>1.1 材料知识的多源性与不一致</w:t>
      </w:r>
    </w:p>
    <w:p>
      <w:pPr>
        <w:spacing w:after="80"/>
        <w:ind w:firstLine="420"/>
      </w:pPr>
      <w:r>
        <w:rPr>
          <w:rFonts w:ascii="Times New Roman" w:hAnsi="Times New Roman" w:eastAsia="宋体"/>
          <w:b w:val="0"/>
          <w:color w:val="1A1A1A"/>
          <w:sz w:val="21"/>
        </w:rPr>
        <w:t>材料数据分散在多个公开数据库中。Materials Project、OQMD、AFLOW 与 JARVIS-DFT 都运行密度泛函理论，但选择不同：Materials Project 使用 PBE 与 PBE+U，部分条目用 r2SCAN；JARVIS-DFT 使用 OptB88vdW 且不加 Hubbard U；AFLOW 与 OQMD 使用 PBE 并对部分过渡金属加 U [1]。</w:t>
      </w:r>
    </w:p>
    <w:p>
      <w:pPr>
        <w:spacing w:after="80"/>
        <w:ind w:firstLine="420"/>
      </w:pPr>
      <w:r>
        <w:rPr>
          <w:rFonts w:ascii="Times New Roman" w:hAnsi="Times New Roman" w:eastAsia="宋体"/>
          <w:b w:val="0"/>
          <w:color w:val="1A1A1A"/>
          <w:sz w:val="21"/>
        </w:rPr>
        <w:t>这些选择带来系统性差异。对 34,422 个 MP 与 JARVIS 共有成分，一半的带隙差异在 0.01 eV 以内（很多是双方都判为金属的情形），但在都有带隙的成分上平均相差 0.31 eV；8.5% 的成分带隙差异超过 0.5 eV；7.3% 的成分被一个数据库判为金属、另一个判为半导体。稳定性判定更脆弱：MP 与 OQMD 共有的 43,064 个成分中，17.3% 在一个库里在凸包上、在另一个库里在凸包之上。这些冲突不是错误，而是建模选择的结果——但它们对下游使用者而言就是「同一个问题有两个答案」[1]。</w:t>
      </w:r>
    </w:p>
    <w:p>
      <w:pPr>
        <w:spacing w:before="200" w:after="80"/>
      </w:pPr>
      <w:r>
        <w:rPr>
          <w:rFonts w:ascii="Times New Roman" w:hAnsi="Times New Roman" w:eastAsia="黑体"/>
          <w:b/>
          <w:color w:val="1B3A52"/>
          <w:sz w:val="23"/>
        </w:rPr>
        <w:t>1.2 大模型站在冲突之上</w:t>
      </w:r>
    </w:p>
    <w:p>
      <w:pPr>
        <w:spacing w:after="80"/>
        <w:ind w:firstLine="420"/>
      </w:pPr>
      <w:r>
        <w:rPr>
          <w:rFonts w:ascii="Times New Roman" w:hAnsi="Times New Roman" w:eastAsia="宋体"/>
          <w:b w:val="0"/>
          <w:color w:val="1A1A1A"/>
          <w:sz w:val="21"/>
        </w:rPr>
        <w:t>大语言模型被越来越广泛地用于材料问答、性质预测与候选筛选。它的知识来自文献与网络文本，而这些文本本身引用了不同数据库、不同泛函、不同实验条件。于是模型面对的输入天然带有冲突：一段检索文本说某材料带隙 3.92 eV，另一段说 0.38 eV——后者不是笔误，而是 LiFePO₄ 在 MP（GGA+U）与 JARVIS（无 U）中的真实差异 [1]。</w:t>
      </w:r>
    </w:p>
    <w:p>
      <w:pPr>
        <w:spacing w:after="80"/>
        <w:ind w:firstLine="420"/>
      </w:pPr>
      <w:r>
        <w:rPr>
          <w:rFonts w:ascii="Times New Roman" w:hAnsi="Times New Roman" w:eastAsia="宋体"/>
          <w:b w:val="0"/>
          <w:color w:val="1A1A1A"/>
          <w:sz w:val="21"/>
        </w:rPr>
        <w:t>模型在这种情况下应该怎么做？理想的回答是：指出冲突、说明来源、给出条件依赖的结论。但通用领域的研究表明，模型更常见的做法是选一个看起来更「流行」或更靠前的证据，然后给出一个自信的单一答案 [3, 5]。这会直接损害材料决策——一个被错误判为稳定的候选会被送进实验，而真实原因是两个数据库的泛函不同。</w:t>
      </w:r>
    </w:p>
    <w:p>
      <w:pPr>
        <w:spacing w:before="200" w:after="80"/>
      </w:pPr>
      <w:r>
        <w:rPr>
          <w:rFonts w:ascii="Times New Roman" w:hAnsi="Times New Roman" w:eastAsia="黑体"/>
          <w:b/>
          <w:color w:val="1B3A52"/>
          <w:sz w:val="23"/>
        </w:rPr>
        <w:t>1.3 研究意义</w:t>
      </w:r>
    </w:p>
    <w:p>
      <w:pPr>
        <w:spacing w:after="80"/>
        <w:ind w:firstLine="420"/>
      </w:pPr>
      <w:r>
        <w:rPr>
          <w:rFonts w:ascii="Times New Roman" w:hAnsi="Times New Roman" w:eastAsia="宋体"/>
          <w:b/>
          <w:color w:val="1A1A1A"/>
          <w:sz w:val="21"/>
        </w:rPr>
        <w:t>理论意义。</w:t>
      </w:r>
      <w:r>
        <w:rPr>
          <w:rFonts w:ascii="Times New Roman" w:hAnsi="Times New Roman" w:eastAsia="宋体"/>
          <w:b w:val="0"/>
          <w:color w:val="1A1A1A"/>
          <w:sz w:val="21"/>
        </w:rPr>
        <w:t xml:space="preserve"> 材料冲突有独特的结构：它不是「事实矛盾」，而是「同一测量在不同条件下得到不同结果」。这使得冲突的判定不能简单照搬通用知识冲突的「对/错」二分，而需要引入条件元数据。本课题要把这一结构形式化，并给出可计算的冲突判定规则。</w:t>
      </w:r>
    </w:p>
    <w:p>
      <w:pPr>
        <w:spacing w:after="80"/>
        <w:ind w:firstLine="420"/>
      </w:pPr>
      <w:r>
        <w:rPr>
          <w:rFonts w:ascii="Times New Roman" w:hAnsi="Times New Roman" w:eastAsia="宋体"/>
          <w:b/>
          <w:color w:val="1A1A1A"/>
          <w:sz w:val="21"/>
        </w:rPr>
        <w:t>应用意义。</w:t>
      </w:r>
      <w:r>
        <w:rPr>
          <w:rFonts w:ascii="Times New Roman" w:hAnsi="Times New Roman" w:eastAsia="宋体"/>
          <w:b w:val="0"/>
          <w:color w:val="1A1A1A"/>
          <w:sz w:val="21"/>
        </w:rPr>
        <w:t xml:space="preserve"> 一个能报告冲突的材料助手，比一个自信但单一的助手更有用：它把「该选哪个数据库」这个判断交还给使用者，而不是替使用者隐藏。</w:t>
      </w:r>
    </w:p>
    <w:p>
      <w:pPr>
        <w:spacing w:before="320" w:after="120"/>
      </w:pPr>
      <w:r>
        <w:rPr>
          <w:rFonts w:ascii="Times New Roman" w:hAnsi="Times New Roman" w:eastAsia="黑体"/>
          <w:b/>
          <w:color w:val="1B3A52"/>
          <w:sz w:val="30"/>
        </w:rPr>
        <w:t>2 国内外研究现状</w:t>
      </w:r>
    </w:p>
    <w:p>
      <w:pPr>
        <w:spacing w:before="200" w:after="80"/>
      </w:pPr>
      <w:r>
        <w:rPr>
          <w:rFonts w:ascii="Times New Roman" w:hAnsi="Times New Roman" w:eastAsia="黑体"/>
          <w:b/>
          <w:color w:val="1B3A52"/>
          <w:sz w:val="23"/>
        </w:rPr>
        <w:t>2.1 国内研究现状</w:t>
      </w:r>
    </w:p>
    <w:p>
      <w:pPr>
        <w:spacing w:after="80"/>
        <w:ind w:firstLine="420"/>
      </w:pPr>
      <w:r>
        <w:rPr>
          <w:rFonts w:ascii="Times New Roman" w:hAnsi="Times New Roman" w:eastAsia="宋体"/>
          <w:b w:val="0"/>
          <w:color w:val="1A1A1A"/>
          <w:sz w:val="21"/>
        </w:rPr>
        <w:t>国内在材料基因工程框架下已建立高通量计算、高通量实验与材料大数据三大平台 [6]。在生成模型方向，刘章赫、王兰等系统综述了目标性质导向的材料生成，并指出材料成分生成需要满足电中性、电负性匹配等隐含规则 [7]。这些工作为材料数据的规范化提供了基础，但没有处理「同一材料在不同来源下结论不同」这一问题。</w:t>
      </w:r>
    </w:p>
    <w:p>
      <w:pPr>
        <w:spacing w:after="80"/>
        <w:ind w:firstLine="420"/>
      </w:pPr>
      <w:r>
        <w:rPr>
          <w:rFonts w:ascii="Times New Roman" w:hAnsi="Times New Roman" w:eastAsia="宋体"/>
          <w:b w:val="0"/>
          <w:color w:val="1A1A1A"/>
          <w:sz w:val="21"/>
        </w:rPr>
        <w:t>在知识冲突方向，国内团队参与了通用冲突基准的构建与评测 [2]，但据本轮检索，尚未见到针对材料领域的专门工作。</w:t>
      </w:r>
    </w:p>
    <w:p>
      <w:pPr>
        <w:spacing w:before="200" w:after="80"/>
      </w:pPr>
      <w:r>
        <w:rPr>
          <w:rFonts w:ascii="Times New Roman" w:hAnsi="Times New Roman" w:eastAsia="黑体"/>
          <w:b/>
          <w:color w:val="1B3A52"/>
          <w:sz w:val="23"/>
        </w:rPr>
        <w:t>2.2 通用知识冲突研究</w:t>
      </w:r>
    </w:p>
    <w:p>
      <w:pPr>
        <w:spacing w:after="80"/>
        <w:ind w:firstLine="420"/>
      </w:pPr>
      <w:r>
        <w:rPr>
          <w:rFonts w:ascii="Times New Roman" w:hAnsi="Times New Roman" w:eastAsia="宋体"/>
          <w:b w:val="0"/>
          <w:color w:val="1A1A1A"/>
          <w:sz w:val="21"/>
        </w:rPr>
        <w:t>知识冲突指模型内部知识与外部证据、或不同外部证据之间相互矛盾。通用领域已经形成较完整的研究线：</w:t>
      </w:r>
    </w:p>
    <w:p>
      <w:pPr>
        <w:pStyle w:val="ListBullet"/>
        <w:spacing w:line="336" w:lineRule="auto" w:after="40"/>
      </w:pPr>
      <w:r>
        <w:rPr>
          <w:rFonts w:ascii="Times New Roman" w:hAnsi="Times New Roman" w:eastAsia="宋体"/>
          <w:b/>
          <w:color w:val="1A1A1A"/>
          <w:sz w:val="21"/>
        </w:rPr>
        <w:t>ConflictBank</w:t>
      </w:r>
      <w:r>
        <w:rPr>
          <w:rFonts w:ascii="Times New Roman" w:hAnsi="Times New Roman" w:eastAsia="宋体"/>
          <w:b w:val="0"/>
          <w:color w:val="1A1A1A"/>
          <w:sz w:val="21"/>
        </w:rPr>
        <w:t xml:space="preserve"> 构建了覆盖 misinformation、temporal、semantic 三类冲突的基准，含约 700 万 claim-evidence 对与 55 万问答对，发现冲突显著影响模型可信度 [2]。</w:t>
      </w:r>
    </w:p>
    <w:p>
      <w:pPr>
        <w:pStyle w:val="ListBullet"/>
        <w:spacing w:line="336" w:lineRule="auto" w:after="40"/>
      </w:pPr>
      <w:r>
        <w:rPr>
          <w:rFonts w:ascii="Times New Roman" w:hAnsi="Times New Roman" w:eastAsia="宋体"/>
          <w:b/>
          <w:color w:val="1A1A1A"/>
          <w:sz w:val="21"/>
        </w:rPr>
        <w:t>WhoQA</w:t>
      </w:r>
      <w:r>
        <w:rPr>
          <w:rFonts w:ascii="Times New Roman" w:hAnsi="Times New Roman" w:eastAsia="宋体"/>
          <w:b w:val="0"/>
          <w:color w:val="1A1A1A"/>
          <w:sz w:val="21"/>
        </w:rPr>
        <w:t xml:space="preserve"> 通过同名实体的共享属性诱导自然冲突，发现当前模型对细微冲突不敏感，且冲突会显著降低 RAG 场景下的表现 [3]。</w:t>
      </w:r>
    </w:p>
    <w:p>
      <w:pPr>
        <w:pStyle w:val="ListBullet"/>
        <w:spacing w:line="336" w:lineRule="auto" w:after="40"/>
      </w:pPr>
      <w:r>
        <w:rPr>
          <w:rFonts w:ascii="Times New Roman" w:hAnsi="Times New Roman" w:eastAsia="宋体"/>
          <w:b/>
          <w:color w:val="1A1A1A"/>
          <w:sz w:val="21"/>
        </w:rPr>
        <w:t>KC-Bench</w:t>
      </w:r>
      <w:r>
        <w:rPr>
          <w:rFonts w:ascii="Times New Roman" w:hAnsi="Times New Roman" w:eastAsia="宋体"/>
          <w:b w:val="0"/>
          <w:color w:val="1A1A1A"/>
          <w:sz w:val="21"/>
        </w:rPr>
        <w:t xml:space="preserve"> 面向智能体，构造了世界知识冲突、输入不一致与多源时间冲突三类多轮任务，发现没有模型能在所有类型上稳定处理 [4]。</w:t>
      </w:r>
    </w:p>
    <w:p>
      <w:pPr>
        <w:pStyle w:val="ListBullet"/>
        <w:spacing w:line="336" w:lineRule="auto" w:after="40"/>
      </w:pPr>
      <w:r>
        <w:rPr>
          <w:rFonts w:ascii="Times New Roman" w:hAnsi="Times New Roman" w:eastAsia="宋体"/>
          <w:b/>
          <w:color w:val="1A1A1A"/>
          <w:sz w:val="21"/>
        </w:rPr>
        <w:t>TRACK</w:t>
      </w:r>
      <w:r>
        <w:rPr>
          <w:rFonts w:ascii="Times New Roman" w:hAnsi="Times New Roman" w:eastAsia="宋体"/>
          <w:b w:val="0"/>
          <w:color w:val="1A1A1A"/>
          <w:sz w:val="21"/>
        </w:rPr>
        <w:t xml:space="preserve"> 研究多步推理中冲突知识的传播，发现提供更新事实反而可能降低表现，且更新越多退化越严重 [5]。</w:t>
      </w:r>
    </w:p>
    <w:p>
      <w:pPr>
        <w:pStyle w:val="ListBullet"/>
        <w:spacing w:line="336" w:lineRule="auto" w:after="40"/>
      </w:pPr>
      <w:r>
        <w:rPr>
          <w:rFonts w:ascii="Times New Roman" w:hAnsi="Times New Roman" w:eastAsia="宋体"/>
          <w:b/>
          <w:color w:val="1A1A1A"/>
          <w:sz w:val="21"/>
        </w:rPr>
        <w:t>Kcr</w:t>
      </w:r>
      <w:r>
        <w:rPr>
          <w:rFonts w:ascii="Times New Roman" w:hAnsi="Times New Roman" w:eastAsia="宋体"/>
          <w:b w:val="0"/>
          <w:color w:val="1A1A1A"/>
          <w:sz w:val="21"/>
        </w:rPr>
        <w:t xml:space="preserve"> 用 RLVR 训练模型在冲突上下文中做逻辑一致性推理，7B 模型在复杂冲突裁决上超过部分闭源模型 [8]。</w:t>
      </w:r>
    </w:p>
    <w:p>
      <w:pPr>
        <w:spacing w:after="80"/>
        <w:ind w:firstLine="420"/>
      </w:pPr>
      <w:r>
        <w:rPr>
          <w:rFonts w:ascii="Times New Roman" w:hAnsi="Times New Roman" w:eastAsia="宋体"/>
          <w:b w:val="0"/>
          <w:color w:val="1A1A1A"/>
          <w:sz w:val="21"/>
        </w:rPr>
        <w:t>这些工作确立了两件事：冲突是普遍且有害的；冲突处理能力可以用基准测量。但它们都以百科、医疗、代码或数学为场景，冲突的「正确解」通常是唯一事实。</w:t>
      </w:r>
    </w:p>
    <w:p>
      <w:pPr>
        <w:spacing w:before="200" w:after="80"/>
      </w:pPr>
      <w:r>
        <w:rPr>
          <w:rFonts w:ascii="Times New Roman" w:hAnsi="Times New Roman" w:eastAsia="黑体"/>
          <w:b/>
          <w:color w:val="1B3A52"/>
          <w:sz w:val="23"/>
        </w:rPr>
        <w:t>2.3 材料领域的数据不一致与推理可靠性</w:t>
      </w:r>
    </w:p>
    <w:p>
      <w:pPr>
        <w:spacing w:after="80"/>
        <w:ind w:firstLine="420"/>
      </w:pPr>
      <w:r>
        <w:rPr>
          <w:rFonts w:ascii="Times New Roman" w:hAnsi="Times New Roman" w:eastAsia="宋体"/>
          <w:b w:val="0"/>
          <w:color w:val="1A1A1A"/>
          <w:sz w:val="21"/>
        </w:rPr>
        <w:t>材料领域对「数据不一致」有零散认识，但主要停留在数据工程层面。MATCOR 等工具用于跨数据库属性比对，指出了 ICSD 标识符与数据库条目并非一一对应这一基础困难 [9]。近期的跨库分析系统量化了带隙与凸包能量的差异，并定位到泛函与 U 值选择这一主因 [1]。</w:t>
      </w:r>
    </w:p>
    <w:p>
      <w:pPr>
        <w:spacing w:after="80"/>
        <w:ind w:firstLine="420"/>
      </w:pPr>
      <w:r>
        <w:rPr>
          <w:rFonts w:ascii="Times New Roman" w:hAnsi="Times New Roman" w:eastAsia="宋体"/>
          <w:b w:val="0"/>
          <w:color w:val="1A1A1A"/>
          <w:sz w:val="21"/>
        </w:rPr>
        <w:t>在推理可靠性方向，已有工作开始用物理规律检验模型输出。MatPCR 提出用程序化 oracle 检验衍射几何、凸包稳定性、带隙类别与磁化，定义了物理一致性率，并给出约束接地的自验证循环 [10]；另一项工作用数据库接地的方式检测与修复化学推理中的编造 [11]。这些工作检验的是「模型说的话是否符合物理」，而不是「当物理本身有多个版本时模型怎么选」。</w:t>
      </w:r>
    </w:p>
    <w:p>
      <w:pPr>
        <w:spacing w:before="200" w:after="80"/>
      </w:pPr>
      <w:r>
        <w:rPr>
          <w:rFonts w:ascii="Times New Roman" w:hAnsi="Times New Roman" w:eastAsia="黑体"/>
          <w:b/>
          <w:color w:val="1B3A52"/>
          <w:sz w:val="23"/>
        </w:rPr>
        <w:t>2.4 现有研究的空白</w:t>
      </w:r>
    </w:p>
    <w:p>
      <w:pPr>
        <w:spacing w:after="80"/>
        <w:ind w:firstLine="420"/>
      </w:pPr>
      <w:r>
        <w:rPr>
          <w:rFonts w:ascii="Times New Roman" w:hAnsi="Times New Roman" w:eastAsia="宋体"/>
          <w:b/>
          <w:color w:val="1A1A1A"/>
          <w:sz w:val="21"/>
        </w:rPr>
        <w:t>空白一：材料知识冲突没有被系统定义与测量。</w:t>
      </w:r>
      <w:r>
        <w:rPr>
          <w:rFonts w:ascii="Times New Roman" w:hAnsi="Times New Roman" w:eastAsia="宋体"/>
          <w:b w:val="0"/>
          <w:color w:val="1A1A1A"/>
          <w:sz w:val="21"/>
        </w:rPr>
        <w:t xml:space="preserve"> 通用冲突基准的冲突类型（错误信息、时间更新、语义歧义）无法直接覆盖材料冲突的主因——建模选择差异 [2–5]。据本轮检索，尚无材料专门的冲突基准。</w:t>
      </w:r>
    </w:p>
    <w:p>
      <w:pPr>
        <w:spacing w:after="80"/>
        <w:ind w:firstLine="420"/>
      </w:pPr>
      <w:r>
        <w:rPr>
          <w:rFonts w:ascii="Times New Roman" w:hAnsi="Times New Roman" w:eastAsia="宋体"/>
          <w:b/>
          <w:color w:val="1A1A1A"/>
          <w:sz w:val="21"/>
        </w:rPr>
        <w:t>空白二：材料冲突的「条件依赖」结构没有被利用。</w:t>
      </w:r>
      <w:r>
        <w:rPr>
          <w:rFonts w:ascii="Times New Roman" w:hAnsi="Times New Roman" w:eastAsia="宋体"/>
          <w:b w:val="0"/>
          <w:color w:val="1A1A1A"/>
          <w:sz w:val="21"/>
        </w:rPr>
        <w:t xml:space="preserve"> 材料的冲突答案往往各自正确，只是条件不同（泛函、温度、压力、合成路线）。一个只判断「谁对」的方法会误判；需要判断「在什么条件下哪个成立」。</w:t>
      </w:r>
    </w:p>
    <w:p>
      <w:pPr>
        <w:spacing w:after="80"/>
        <w:ind w:firstLine="420"/>
      </w:pPr>
      <w:r>
        <w:rPr>
          <w:rFonts w:ascii="Times New Roman" w:hAnsi="Times New Roman" w:eastAsia="宋体"/>
          <w:b/>
          <w:color w:val="1A1A1A"/>
          <w:sz w:val="21"/>
        </w:rPr>
        <w:t>空白三：冲突感知的材料推理方法没有被提出。</w:t>
      </w:r>
      <w:r>
        <w:rPr>
          <w:rFonts w:ascii="Times New Roman" w:hAnsi="Times New Roman" w:eastAsia="宋体"/>
          <w:b w:val="0"/>
          <w:color w:val="1A1A1A"/>
          <w:sz w:val="21"/>
        </w:rPr>
        <w:t xml:space="preserve"> 现有材料推理工作追求「给出正确答案」[10, 11]，没有把「报告分歧」作为一等输出。</w:t>
      </w:r>
    </w:p>
    <w:p>
      <w:pPr>
        <w:spacing w:before="320" w:after="120"/>
      </w:pPr>
      <w:r>
        <w:rPr>
          <w:rFonts w:ascii="Times New Roman" w:hAnsi="Times New Roman" w:eastAsia="黑体"/>
          <w:b/>
          <w:color w:val="1B3A52"/>
          <w:sz w:val="30"/>
        </w:rPr>
        <w:t>3 研究内容与目标</w:t>
      </w:r>
    </w:p>
    <w:p>
      <w:pPr>
        <w:spacing w:before="200" w:after="80"/>
      </w:pPr>
      <w:r>
        <w:rPr>
          <w:rFonts w:ascii="Times New Roman" w:hAnsi="Times New Roman" w:eastAsia="黑体"/>
          <w:b/>
          <w:color w:val="1B3A52"/>
          <w:sz w:val="23"/>
        </w:rPr>
        <w:t>3.1 研究目标</w:t>
      </w:r>
    </w:p>
    <w:p>
      <w:pPr>
        <w:spacing w:after="80"/>
        <w:ind w:firstLine="420"/>
      </w:pPr>
      <w:r>
        <w:rPr>
          <w:rFonts w:ascii="Times New Roman" w:hAnsi="Times New Roman" w:eastAsia="宋体"/>
          <w:b w:val="0"/>
          <w:color w:val="1A1A1A"/>
          <w:sz w:val="21"/>
        </w:rPr>
        <w:t>建立可复核的材料知识冲突基准，量化主流大模型在冲突下的行为，并给出一个能同时输出结论、分歧与条件的冲突感知推理方法。</w:t>
      </w:r>
    </w:p>
    <w:p>
      <w:pPr>
        <w:spacing w:before="200" w:after="80"/>
      </w:pPr>
      <w:r>
        <w:rPr>
          <w:rFonts w:ascii="Times New Roman" w:hAnsi="Times New Roman" w:eastAsia="黑体"/>
          <w:b/>
          <w:color w:val="1B3A52"/>
          <w:sz w:val="23"/>
        </w:rPr>
        <w:t>3.2 研究内容</w:t>
      </w:r>
    </w:p>
    <w:p>
      <w:pPr>
        <w:spacing w:after="80"/>
        <w:ind w:firstLine="420"/>
      </w:pPr>
      <w:r>
        <w:rPr>
          <w:rFonts w:ascii="Times New Roman" w:hAnsi="Times New Roman" w:eastAsia="宋体"/>
          <w:b/>
          <w:color w:val="1A1A1A"/>
          <w:sz w:val="21"/>
        </w:rPr>
        <w:t>内容一：材料知识冲突的类型学与判定规则。</w:t>
      </w:r>
      <w:r>
        <w:rPr>
          <w:rFonts w:ascii="Times New Roman" w:hAnsi="Times New Roman" w:eastAsia="宋体"/>
          <w:b w:val="0"/>
          <w:color w:val="1A1A1A"/>
          <w:sz w:val="21"/>
        </w:rPr>
        <w:t xml:space="preserve"> 区分三类冲突：数据库间冲突（同一成分在不同数据库的标签不同）、时间冲突（旧文献结论与新计算结果不同）、粒度冲突（计算与实验、不同实验条件之间）。为每类给出可计算的判定规则与最小证据要求。</w:t>
      </w:r>
    </w:p>
    <w:p>
      <w:pPr>
        <w:spacing w:after="80"/>
        <w:ind w:firstLine="420"/>
      </w:pPr>
      <w:r>
        <w:rPr>
          <w:rFonts w:ascii="Times New Roman" w:hAnsi="Times New Roman" w:eastAsia="宋体"/>
          <w:b/>
          <w:color w:val="1A1A1A"/>
          <w:sz w:val="21"/>
        </w:rPr>
        <w:t>内容二：冲突基准的构建。</w:t>
      </w:r>
      <w:r>
        <w:rPr>
          <w:rFonts w:ascii="Times New Roman" w:hAnsi="Times New Roman" w:eastAsia="宋体"/>
          <w:b w:val="0"/>
          <w:color w:val="1A1A1A"/>
          <w:sz w:val="21"/>
        </w:rPr>
        <w:t xml:space="preserve"> 基于 Materials Project、OQMD、AFLOW 与 JARVIS-DFT 的交叉匹配，构造冲突对与冲突组；为每组标注冲突类型、来源、条件元数据与「是否存在公认答案」。</w:t>
      </w:r>
    </w:p>
    <w:p>
      <w:pPr>
        <w:spacing w:after="80"/>
        <w:ind w:firstLine="420"/>
      </w:pPr>
      <w:r>
        <w:rPr>
          <w:rFonts w:ascii="Times New Roman" w:hAnsi="Times New Roman" w:eastAsia="宋体"/>
          <w:b/>
          <w:color w:val="1A1A1A"/>
          <w:sz w:val="21"/>
        </w:rPr>
        <w:t>内容三：模型行为的系统评测。</w:t>
      </w:r>
      <w:r>
        <w:rPr>
          <w:rFonts w:ascii="Times New Roman" w:hAnsi="Times New Roman" w:eastAsia="宋体"/>
          <w:b w:val="0"/>
          <w:color w:val="1A1A1A"/>
          <w:sz w:val="21"/>
        </w:rPr>
        <w:t xml:space="preserve"> 在冲突场景下评测主流大模型：是否检测到冲突、是否选边、选边依据是什么、是否报告不确定性。对比零样本、RAG、多数投票与「明确要求报告冲突」的提示。</w:t>
      </w:r>
    </w:p>
    <w:p>
      <w:pPr>
        <w:spacing w:after="80"/>
        <w:ind w:firstLine="420"/>
      </w:pPr>
      <w:r>
        <w:rPr>
          <w:rFonts w:ascii="Times New Roman" w:hAnsi="Times New Roman" w:eastAsia="宋体"/>
          <w:b/>
          <w:color w:val="1A1A1A"/>
          <w:sz w:val="21"/>
        </w:rPr>
        <w:t>内容四：冲突感知的推理方法。</w:t>
      </w:r>
      <w:r>
        <w:rPr>
          <w:rFonts w:ascii="Times New Roman" w:hAnsi="Times New Roman" w:eastAsia="宋体"/>
          <w:b w:val="0"/>
          <w:color w:val="1A1A1A"/>
          <w:sz w:val="21"/>
        </w:rPr>
        <w:t xml:space="preserve"> 设计一个推理流程，在生成结论前先做冲突检测，在结论中附带「该结论依赖的条件」与「反方证据」。方法的核心是把冲突处理从「选一个」改为「条件化输出」。</w:t>
      </w:r>
    </w:p>
    <w:p>
      <w:pPr>
        <w:spacing w:before="200" w:after="80"/>
      </w:pPr>
      <w:r>
        <w:rPr>
          <w:rFonts w:ascii="Times New Roman" w:hAnsi="Times New Roman" w:eastAsia="黑体"/>
          <w:b/>
          <w:color w:val="1B3A52"/>
          <w:sz w:val="23"/>
        </w:rPr>
        <w:t>3.3 拟解决的关键问题</w:t>
      </w:r>
    </w:p>
    <w:p>
      <w:pPr>
        <w:spacing w:after="80"/>
        <w:ind w:firstLine="420"/>
      </w:pPr>
      <w:r>
        <w:rPr>
          <w:rFonts w:ascii="Times New Roman" w:hAnsi="Times New Roman" w:eastAsia="宋体"/>
          <w:b/>
          <w:color w:val="1A1A1A"/>
          <w:sz w:val="21"/>
        </w:rPr>
        <w:t>关键问题一：如何判定「这是冲突」而不是「这是不同材料」。</w:t>
      </w:r>
      <w:r>
        <w:rPr>
          <w:rFonts w:ascii="Times New Roman" w:hAnsi="Times New Roman" w:eastAsia="宋体"/>
          <w:b w:val="0"/>
          <w:color w:val="1A1A1A"/>
          <w:sz w:val="21"/>
        </w:rPr>
        <w:t xml:space="preserve"> 跨数据库匹配首先要求成分与结构对齐，而同一成分可能有多种结构（同素异形体）。本课题采用「成分 + 空间群 + 原型」三级对齐，并对无法对齐的条目明确排除，而不是强行配对。</w:t>
      </w:r>
    </w:p>
    <w:p>
      <w:pPr>
        <w:spacing w:after="80"/>
        <w:ind w:firstLine="420"/>
      </w:pPr>
      <w:r>
        <w:rPr>
          <w:rFonts w:ascii="Times New Roman" w:hAnsi="Times New Roman" w:eastAsia="宋体"/>
          <w:b/>
          <w:color w:val="1A1A1A"/>
          <w:sz w:val="21"/>
        </w:rPr>
        <w:t>关键问题二：冲突的「正确答案」如何定义。</w:t>
      </w:r>
      <w:r>
        <w:rPr>
          <w:rFonts w:ascii="Times New Roman" w:hAnsi="Times New Roman" w:eastAsia="宋体"/>
          <w:b w:val="0"/>
          <w:color w:val="1A1A1A"/>
          <w:sz w:val="21"/>
        </w:rPr>
        <w:t xml:space="preserve"> 很多材料冲突没有唯一正确答案。本课题区分「有公认答案」（如计算错误导致的偏差）与「无公认答案」（如不同泛函的系统差异），只在有公认答案的子集上计算准确率，在无公认答案的子集上计算「是否报告分歧」的比例。</w:t>
      </w:r>
    </w:p>
    <w:p>
      <w:pPr>
        <w:spacing w:after="80"/>
        <w:ind w:firstLine="420"/>
      </w:pPr>
      <w:r>
        <w:rPr>
          <w:rFonts w:ascii="Times New Roman" w:hAnsi="Times New Roman" w:eastAsia="宋体"/>
          <w:b/>
          <w:color w:val="1A1A1A"/>
          <w:sz w:val="21"/>
        </w:rPr>
        <w:t>关键问题三：冲突检测会不会退化为「永远说不知道」。</w:t>
      </w:r>
      <w:r>
        <w:rPr>
          <w:rFonts w:ascii="Times New Roman" w:hAnsi="Times New Roman" w:eastAsia="宋体"/>
          <w:b w:val="0"/>
          <w:color w:val="1A1A1A"/>
          <w:sz w:val="21"/>
        </w:rPr>
        <w:t xml:space="preserve"> 一个总是报告冲突的模型没有实用价值。需要同时测量「冲突检测率」与「无冲突时的正常回答率」，避免用保守换分数。</w:t>
      </w:r>
    </w:p>
    <w:p>
      <w:pPr>
        <w:spacing w:before="320" w:after="120"/>
      </w:pPr>
      <w:r>
        <w:rPr>
          <w:rFonts w:ascii="Times New Roman" w:hAnsi="Times New Roman" w:eastAsia="黑体"/>
          <w:b/>
          <w:color w:val="1B3A52"/>
          <w:sz w:val="30"/>
        </w:rPr>
        <w:t>4 研究方法与技术路线</w:t>
      </w:r>
    </w:p>
    <w:p>
      <w:pPr>
        <w:spacing w:before="200" w:after="80"/>
      </w:pPr>
      <w:r>
        <w:rPr>
          <w:rFonts w:ascii="Times New Roman" w:hAnsi="Times New Roman" w:eastAsia="黑体"/>
          <w:b/>
          <w:color w:val="1B3A52"/>
          <w:sz w:val="23"/>
        </w:rPr>
        <w:t>4.1 问题形式化</w:t>
      </w:r>
    </w:p>
    <w:p>
      <w:pPr>
        <w:spacing w:after="80"/>
        <w:ind w:firstLine="420"/>
      </w:pPr>
      <w:r>
        <w:rPr>
          <w:rFonts w:ascii="Times New Roman" w:hAnsi="Times New Roman" w:eastAsia="宋体"/>
          <w:b w:val="0"/>
          <w:color w:val="1A1A1A"/>
          <w:sz w:val="21"/>
        </w:rPr>
        <w:t>设一个材料查询为 q，它对应一个实体 e（成分 + 结构）。设证据集合为 E = {e₁, …, eₙ}，每条证据 eᵢ 带有来源 sᵢ、条件 cᵢ（泛函、温度、实验条件）与取值 vᵢ。</w:t>
      </w:r>
    </w:p>
    <w:p>
      <w:pPr>
        <w:spacing w:after="80"/>
        <w:ind w:firstLine="420"/>
      </w:pPr>
      <w:r>
        <w:rPr>
          <w:rFonts w:ascii="Times New Roman" w:hAnsi="Times New Roman" w:eastAsia="宋体"/>
          <w:b w:val="0"/>
          <w:color w:val="1A1A1A"/>
          <w:sz w:val="21"/>
        </w:rPr>
        <w:t>定义冲突：若存在 i ≠ j，使得 eᵢ 与 eⱼ 指向同一实体、条件可比较、但取值差异超过阈值 τ，则称 (eᵢ, eⱼ) 构成冲突。阈值 τ 按属性设定（带隙 0.5 eV、凸包能量 50 meV/atom），依据来自跨库分析的实证分布 [1]。</w:t>
      </w:r>
    </w:p>
    <w:p>
      <w:pPr>
        <w:spacing w:after="80"/>
        <w:ind w:firstLine="420"/>
      </w:pPr>
      <w:r>
        <w:rPr>
          <w:rFonts w:ascii="Times New Roman" w:hAnsi="Times New Roman" w:eastAsia="宋体"/>
          <w:b w:val="0"/>
          <w:color w:val="1A1A1A"/>
          <w:sz w:val="21"/>
        </w:rPr>
        <w:t>定义模型的冲突行为：</w:t>
      </w:r>
    </w:p>
    <w:p>
      <w:pPr>
        <w:pStyle w:val="ListBullet"/>
        <w:spacing w:line="336" w:lineRule="auto" w:after="40"/>
      </w:pPr>
      <w:r>
        <w:rPr>
          <w:rFonts w:ascii="Times New Roman" w:hAnsi="Times New Roman" w:eastAsia="宋体"/>
          <w:b/>
          <w:color w:val="1A1A1A"/>
          <w:sz w:val="21"/>
        </w:rPr>
        <w:t>检测</w:t>
      </w:r>
      <w:r>
        <w:rPr>
          <w:rFonts w:ascii="Times New Roman" w:hAnsi="Times New Roman" w:eastAsia="宋体"/>
          <w:b w:val="0"/>
          <w:color w:val="1A1A1A"/>
          <w:sz w:val="21"/>
        </w:rPr>
        <w:t>：模型是否明确指出存在分歧；</w:t>
      </w:r>
    </w:p>
    <w:p>
      <w:pPr>
        <w:pStyle w:val="ListBullet"/>
        <w:spacing w:line="336" w:lineRule="auto" w:after="40"/>
      </w:pPr>
      <w:r>
        <w:rPr>
          <w:rFonts w:ascii="Times New Roman" w:hAnsi="Times New Roman" w:eastAsia="宋体"/>
          <w:b/>
          <w:color w:val="1A1A1A"/>
          <w:sz w:val="21"/>
        </w:rPr>
        <w:t>选边</w:t>
      </w:r>
      <w:r>
        <w:rPr>
          <w:rFonts w:ascii="Times New Roman" w:hAnsi="Times New Roman" w:eastAsia="宋体"/>
          <w:b w:val="0"/>
          <w:color w:val="1A1A1A"/>
          <w:sz w:val="21"/>
        </w:rPr>
        <w:t>：模型给出单一答案时，选择的是哪一方；</w:t>
      </w:r>
    </w:p>
    <w:p>
      <w:pPr>
        <w:pStyle w:val="ListBullet"/>
        <w:spacing w:line="336" w:lineRule="auto" w:after="40"/>
      </w:pPr>
      <w:r>
        <w:rPr>
          <w:rFonts w:ascii="Times New Roman" w:hAnsi="Times New Roman" w:eastAsia="宋体"/>
          <w:b/>
          <w:color w:val="1A1A1A"/>
          <w:sz w:val="21"/>
        </w:rPr>
        <w:t>条件化</w:t>
      </w:r>
      <w:r>
        <w:rPr>
          <w:rFonts w:ascii="Times New Roman" w:hAnsi="Times New Roman" w:eastAsia="宋体"/>
          <w:b w:val="0"/>
          <w:color w:val="1A1A1A"/>
          <w:sz w:val="21"/>
        </w:rPr>
        <w:t>：模型是否说明答案依赖的条件；</w:t>
      </w:r>
    </w:p>
    <w:p>
      <w:pPr>
        <w:pStyle w:val="ListBullet"/>
        <w:spacing w:line="336" w:lineRule="auto" w:after="40"/>
      </w:pPr>
      <w:r>
        <w:rPr>
          <w:rFonts w:ascii="Times New Roman" w:hAnsi="Times New Roman" w:eastAsia="宋体"/>
          <w:b/>
          <w:color w:val="1A1A1A"/>
          <w:sz w:val="21"/>
        </w:rPr>
        <w:t>校准</w:t>
      </w:r>
      <w:r>
        <w:rPr>
          <w:rFonts w:ascii="Times New Roman" w:hAnsi="Times New Roman" w:eastAsia="宋体"/>
          <w:b w:val="0"/>
          <w:color w:val="1A1A1A"/>
          <w:sz w:val="21"/>
        </w:rPr>
        <w:t>：模型给出的置信度与实际正确率是否一致。</w:t>
      </w:r>
    </w:p>
    <w:p>
      <w:pPr>
        <w:spacing w:before="200" w:after="80"/>
      </w:pPr>
      <w:r>
        <w:rPr>
          <w:rFonts w:ascii="Times New Roman" w:hAnsi="Times New Roman" w:eastAsia="黑体"/>
          <w:b/>
          <w:color w:val="1B3A52"/>
          <w:sz w:val="23"/>
        </w:rPr>
        <w:t>4.2 冲突基准构建</w:t>
      </w:r>
    </w:p>
    <w:p>
      <w:pPr>
        <w:spacing w:after="80"/>
        <w:ind w:firstLine="420"/>
      </w:pPr>
      <w:r>
        <w:rPr>
          <w:rFonts w:ascii="Times New Roman" w:hAnsi="Times New Roman" w:eastAsia="宋体"/>
          <w:b/>
          <w:color w:val="1A1A1A"/>
          <w:sz w:val="21"/>
        </w:rPr>
        <w:t>数据来源</w:t>
      </w:r>
      <w:r>
        <w:rPr>
          <w:rFonts w:ascii="Times New Roman" w:hAnsi="Times New Roman" w:eastAsia="宋体"/>
          <w:b w:val="0"/>
          <w:color w:val="1A1A1A"/>
          <w:sz w:val="21"/>
        </w:rPr>
        <w:t>：四个数据库的公开导出。跨库匹配采用成分 + 空间群 + 原型三级对齐；对同一成分的多个结构，按原型分组后再比较。</w:t>
      </w:r>
    </w:p>
    <w:p>
      <w:pPr>
        <w:spacing w:after="80"/>
        <w:ind w:firstLine="420"/>
      </w:pPr>
      <w:r>
        <w:rPr>
          <w:rFonts w:ascii="Times New Roman" w:hAnsi="Times New Roman" w:eastAsia="宋体"/>
          <w:b/>
          <w:color w:val="1A1A1A"/>
          <w:sz w:val="21"/>
        </w:rPr>
        <w:t>冲突类型标注</w:t>
      </w:r>
      <w:r>
        <w:rPr>
          <w:rFonts w:ascii="Times New Roman" w:hAnsi="Times New Roman" w:eastAsia="宋体"/>
          <w:b w:val="0"/>
          <w:color w:val="1A1A1A"/>
          <w:sz w:val="21"/>
        </w:rPr>
        <w:t>：</w:t>
      </w:r>
    </w:p>
    <w:p>
      <w:pPr>
        <w:pStyle w:val="ListBullet"/>
        <w:spacing w:line="336" w:lineRule="auto" w:after="40"/>
      </w:pPr>
      <w:r>
        <w:rPr>
          <w:rFonts w:ascii="Times New Roman" w:hAnsi="Times New Roman" w:eastAsia="宋体"/>
          <w:b w:val="0"/>
          <w:color w:val="1A1A1A"/>
          <w:sz w:val="21"/>
        </w:rPr>
        <w:t>数据库间：同一结构在两个库的标签差异超过阈值；</w:t>
      </w:r>
    </w:p>
    <w:p>
      <w:pPr>
        <w:pStyle w:val="ListBullet"/>
        <w:spacing w:line="336" w:lineRule="auto" w:after="40"/>
      </w:pPr>
      <w:r>
        <w:rPr>
          <w:rFonts w:ascii="Times New Roman" w:hAnsi="Times New Roman" w:eastAsia="宋体"/>
          <w:b w:val="0"/>
          <w:color w:val="1A1A1A"/>
          <w:sz w:val="21"/>
        </w:rPr>
        <w:t>时间冲突：以论文发表年份与数据库版本划分，比较旧结论与新计算；</w:t>
      </w:r>
    </w:p>
    <w:p>
      <w:pPr>
        <w:pStyle w:val="ListBullet"/>
        <w:spacing w:line="336" w:lineRule="auto" w:after="40"/>
      </w:pPr>
      <w:r>
        <w:rPr>
          <w:rFonts w:ascii="Times New Roman" w:hAnsi="Times New Roman" w:eastAsia="宋体"/>
          <w:b w:val="0"/>
          <w:color w:val="1A1A1A"/>
          <w:sz w:val="21"/>
        </w:rPr>
        <w:t>粒度冲突：计算值与实验值的差异，且实验条件可查。</w:t>
      </w:r>
    </w:p>
    <w:p>
      <w:pPr>
        <w:spacing w:after="80"/>
        <w:ind w:firstLine="420"/>
      </w:pPr>
      <w:r>
        <w:rPr>
          <w:rFonts w:ascii="Times New Roman" w:hAnsi="Times New Roman" w:eastAsia="宋体"/>
          <w:b/>
          <w:color w:val="1A1A1A"/>
          <w:sz w:val="21"/>
        </w:rPr>
        <w:t>条件元数据</w:t>
      </w:r>
      <w:r>
        <w:rPr>
          <w:rFonts w:ascii="Times New Roman" w:hAnsi="Times New Roman" w:eastAsia="宋体"/>
          <w:b w:val="0"/>
          <w:color w:val="1A1A1A"/>
          <w:sz w:val="21"/>
        </w:rPr>
        <w:t>：为每条证据记录泛函、U 值、温度、压力、数据版本。这些元数据是后续「条件化输出」的基础。</w:t>
      </w:r>
    </w:p>
    <w:p>
      <w:pPr>
        <w:spacing w:before="200" w:after="80"/>
      </w:pPr>
      <w:r>
        <w:rPr>
          <w:rFonts w:ascii="Times New Roman" w:hAnsi="Times New Roman" w:eastAsia="黑体"/>
          <w:b/>
          <w:color w:val="1B3A52"/>
          <w:sz w:val="23"/>
        </w:rPr>
        <w:t>4.3 模型评测协议</w:t>
      </w:r>
    </w:p>
    <w:p>
      <w:pPr>
        <w:spacing w:after="80"/>
        <w:ind w:firstLine="420"/>
      </w:pPr>
      <w:r>
        <w:rPr>
          <w:rFonts w:ascii="Times New Roman" w:hAnsi="Times New Roman" w:eastAsia="宋体"/>
          <w:b w:val="0"/>
          <w:color w:val="1A1A1A"/>
          <w:sz w:val="21"/>
        </w:rPr>
        <w:t>对每个冲突组，构造三类问题：</w:t>
      </w:r>
    </w:p>
    <w:p>
      <w:pPr>
        <w:spacing w:after="80"/>
        <w:ind w:firstLine="420"/>
      </w:pPr>
      <w:r>
        <w:rPr>
          <w:rFonts w:ascii="Times New Roman" w:hAnsi="Times New Roman" w:eastAsia="宋体"/>
          <w:b w:val="0"/>
          <w:color w:val="1A1A1A"/>
          <w:sz w:val="21"/>
        </w:rPr>
        <w:t>1. 直接问「该材料的带隙是多少」——测模型是否察觉冲突；</w:t>
      </w:r>
    </w:p>
    <w:p>
      <w:pPr>
        <w:spacing w:after="80"/>
        <w:ind w:firstLine="420"/>
      </w:pPr>
      <w:r>
        <w:rPr>
          <w:rFonts w:ascii="Times New Roman" w:hAnsi="Times New Roman" w:eastAsia="宋体"/>
          <w:b w:val="0"/>
          <w:color w:val="1A1A1A"/>
          <w:sz w:val="21"/>
        </w:rPr>
        <w:t>2. 给定两条冲突证据，问「哪个正确」——测选边行为；</w:t>
      </w:r>
    </w:p>
    <w:p>
      <w:pPr>
        <w:spacing w:after="80"/>
        <w:ind w:firstLine="420"/>
      </w:pPr>
      <w:r>
        <w:rPr>
          <w:rFonts w:ascii="Times New Roman" w:hAnsi="Times New Roman" w:eastAsia="宋体"/>
          <w:b w:val="0"/>
          <w:color w:val="1A1A1A"/>
          <w:sz w:val="21"/>
        </w:rPr>
        <w:t>3. 问「在 GGA+U 下是多少、在无 U 下是多少」——测条件化能力。</w:t>
      </w:r>
    </w:p>
    <w:p>
      <w:pPr>
        <w:spacing w:after="80"/>
        <w:ind w:firstLine="420"/>
      </w:pPr>
      <w:r>
        <w:rPr>
          <w:rFonts w:ascii="Times New Roman" w:hAnsi="Times New Roman" w:eastAsia="宋体"/>
          <w:b w:val="0"/>
          <w:color w:val="1A1A1A"/>
          <w:sz w:val="21"/>
        </w:rPr>
        <w:t>评测对象包括主流闭源与开源模型；同时评测 RAG 设置（检索到冲突文本时）与无 RAG 设置。</w:t>
      </w:r>
    </w:p>
    <w:p>
      <w:pPr>
        <w:spacing w:before="200" w:after="80"/>
      </w:pPr>
      <w:r>
        <w:rPr>
          <w:rFonts w:ascii="Times New Roman" w:hAnsi="Times New Roman" w:eastAsia="黑体"/>
          <w:b/>
          <w:color w:val="1B3A52"/>
          <w:sz w:val="23"/>
        </w:rPr>
        <w:t>4.4 核心算法：条件感知的冲突分组（CACG）</w:t>
      </w:r>
    </w:p>
    <w:p>
      <w:pPr>
        <w:spacing w:after="80"/>
        <w:ind w:firstLine="420"/>
      </w:pPr>
      <w:r>
        <w:rPr>
          <w:rFonts w:ascii="Times New Roman" w:hAnsi="Times New Roman" w:eastAsia="宋体"/>
          <w:b w:val="0"/>
          <w:color w:val="1A1A1A"/>
          <w:sz w:val="21"/>
        </w:rPr>
        <w:t>本课题的算法贡献是一个轻量规则加聚类的分组算法，它把「冲突证据」组织成「条件簇」，使后续推理可以在每个条件下单独给结论，而不是把所有证据压成一个数。</w:t>
      </w:r>
    </w:p>
    <w:p>
      <w:pPr>
        <w:spacing w:after="80"/>
        <w:ind w:firstLine="420"/>
      </w:pPr>
      <w:r>
        <w:rPr>
          <w:rFonts w:ascii="Times New Roman" w:hAnsi="Times New Roman" w:eastAsia="宋体"/>
          <w:b/>
          <w:color w:val="1A1A1A"/>
          <w:sz w:val="21"/>
        </w:rPr>
        <w:t>输入</w:t>
      </w:r>
      <w:r>
        <w:rPr>
          <w:rFonts w:ascii="Times New Roman" w:hAnsi="Times New Roman" w:eastAsia="宋体"/>
          <w:b w:val="0"/>
          <w:color w:val="1A1A1A"/>
          <w:sz w:val="21"/>
        </w:rPr>
        <w:t>：证据集合 E = {(entity, condition, value, source)}，其中 condition 含泛函、U 值、温度、压力。</w:t>
      </w:r>
    </w:p>
    <w:p>
      <w:pPr>
        <w:spacing w:after="80"/>
        <w:ind w:firstLine="420"/>
      </w:pPr>
      <w:r>
        <w:rPr>
          <w:rFonts w:ascii="Times New Roman" w:hAnsi="Times New Roman" w:eastAsia="宋体"/>
          <w:b/>
          <w:color w:val="1A1A1A"/>
          <w:sz w:val="21"/>
        </w:rPr>
        <w:t>步骤</w:t>
      </w: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 xml:space="preserve">1. </w:t>
      </w:r>
      <w:r>
        <w:rPr>
          <w:rFonts w:ascii="Times New Roman" w:hAnsi="Times New Roman" w:eastAsia="宋体"/>
          <w:b/>
          <w:color w:val="1A1A1A"/>
          <w:sz w:val="21"/>
        </w:rPr>
        <w:t>冲突边构建</w:t>
      </w:r>
      <w:r>
        <w:rPr>
          <w:rFonts w:ascii="Times New Roman" w:hAnsi="Times New Roman" w:eastAsia="宋体"/>
          <w:b w:val="0"/>
          <w:color w:val="1A1A1A"/>
          <w:sz w:val="21"/>
        </w:rPr>
        <w:t>：对任意 i ≠ j，若 entity_i = entity_j、条件可比、且 |value_i − value_j| &gt; τ，则在 i、j 之间连一条冲突边。</w:t>
      </w:r>
    </w:p>
    <w:p>
      <w:pPr>
        <w:spacing w:after="80"/>
        <w:ind w:firstLine="420"/>
      </w:pPr>
      <w:r>
        <w:rPr>
          <w:rFonts w:ascii="Times New Roman" w:hAnsi="Times New Roman" w:eastAsia="宋体"/>
          <w:b w:val="0"/>
          <w:color w:val="1A1A1A"/>
          <w:sz w:val="21"/>
        </w:rPr>
        <w:t xml:space="preserve">2. </w:t>
      </w:r>
      <w:r>
        <w:rPr>
          <w:rFonts w:ascii="Times New Roman" w:hAnsi="Times New Roman" w:eastAsia="宋体"/>
          <w:b/>
          <w:color w:val="1A1A1A"/>
          <w:sz w:val="21"/>
        </w:rPr>
        <w:t>条件相似度</w:t>
      </w:r>
      <w:r>
        <w:rPr>
          <w:rFonts w:ascii="Times New Roman" w:hAnsi="Times New Roman" w:eastAsia="宋体"/>
          <w:b w:val="0"/>
          <w:color w:val="1A1A1A"/>
          <w:sz w:val="21"/>
        </w:rPr>
        <w:t>：sim(c_i, c_j) = J(泛函族_i, 泛函族_j) · 1[|U_i − U_j| ≤ δ_U] · 1[|T_i − T_j| ≤ δ_T] · 1[同压力] · 1[同数据库版本]，其中 J 为泛函族的 Jaccard 相似度（PBE / PBE+U / r2SCAN / 其他），δ_U 为 U 值容差。U 值与数据库版本必须进条件向量——本报告背景已指出 U 值是带隙差异的主因，若条件相似度忽略 U，则「PBE+U 的 3.92 eV」与「无 U 的 0.38 eV」会被错分进同一簇。</w:t>
      </w:r>
    </w:p>
    <w:p>
      <w:pPr>
        <w:spacing w:after="80"/>
        <w:ind w:firstLine="420"/>
      </w:pPr>
      <w:r>
        <w:rPr>
          <w:rFonts w:ascii="Times New Roman" w:hAnsi="Times New Roman" w:eastAsia="宋体"/>
          <w:b w:val="0"/>
          <w:color w:val="1A1A1A"/>
          <w:sz w:val="21"/>
        </w:rPr>
        <w:t xml:space="preserve">3. </w:t>
      </w:r>
      <w:r>
        <w:rPr>
          <w:rFonts w:ascii="Times New Roman" w:hAnsi="Times New Roman" w:eastAsia="宋体"/>
          <w:b/>
          <w:color w:val="1A1A1A"/>
          <w:sz w:val="21"/>
        </w:rPr>
        <w:t>层次聚类</w:t>
      </w:r>
      <w:r>
        <w:rPr>
          <w:rFonts w:ascii="Times New Roman" w:hAnsi="Times New Roman" w:eastAsia="宋体"/>
          <w:b w:val="0"/>
          <w:color w:val="1A1A1A"/>
          <w:sz w:val="21"/>
        </w:rPr>
        <w:t>：以 sim 为相似度做凝聚层次聚类，切割阈值取「簇内条件不可区分」的最大 sim。</w:t>
      </w:r>
    </w:p>
    <w:p>
      <w:pPr>
        <w:spacing w:after="80"/>
        <w:ind w:firstLine="420"/>
      </w:pPr>
      <w:r>
        <w:rPr>
          <w:rFonts w:ascii="Times New Roman" w:hAnsi="Times New Roman" w:eastAsia="宋体"/>
          <w:b w:val="0"/>
          <w:color w:val="1A1A1A"/>
          <w:sz w:val="21"/>
        </w:rPr>
        <w:t xml:space="preserve">4. </w:t>
      </w:r>
      <w:r>
        <w:rPr>
          <w:rFonts w:ascii="Times New Roman" w:hAnsi="Times New Roman" w:eastAsia="宋体"/>
          <w:b/>
          <w:color w:val="1A1A1A"/>
          <w:sz w:val="21"/>
        </w:rPr>
        <w:t>簇内聚合</w:t>
      </w:r>
      <w:r>
        <w:rPr>
          <w:rFonts w:ascii="Times New Roman" w:hAnsi="Times New Roman" w:eastAsia="宋体"/>
          <w:b w:val="0"/>
          <w:color w:val="1A1A1A"/>
          <w:sz w:val="21"/>
        </w:rPr>
        <w:t>：每个簇内按来源可信度加权投票或取中位数，得到一个条件化结论。</w:t>
      </w:r>
    </w:p>
    <w:p>
      <w:pPr>
        <w:spacing w:after="80"/>
        <w:ind w:firstLine="420"/>
      </w:pPr>
      <w:r>
        <w:rPr>
          <w:rFonts w:ascii="Times New Roman" w:hAnsi="Times New Roman" w:eastAsia="宋体"/>
          <w:b w:val="0"/>
          <w:color w:val="1A1A1A"/>
          <w:sz w:val="21"/>
        </w:rPr>
        <w:t xml:space="preserve">5. </w:t>
      </w:r>
      <w:r>
        <w:rPr>
          <w:rFonts w:ascii="Times New Roman" w:hAnsi="Times New Roman" w:eastAsia="宋体"/>
          <w:b/>
          <w:color w:val="1A1A1A"/>
          <w:sz w:val="21"/>
        </w:rPr>
        <w:t>输出</w:t>
      </w:r>
      <w:r>
        <w:rPr>
          <w:rFonts w:ascii="Times New Roman" w:hAnsi="Times New Roman" w:eastAsia="宋体"/>
          <w:b w:val="0"/>
          <w:color w:val="1A1A1A"/>
          <w:sz w:val="21"/>
        </w:rPr>
        <w:t>：{(簇条件, 结论, 证据列表)}，并标注「跨簇分歧」。</w:t>
      </w:r>
    </w:p>
    <w:p>
      <w:pPr>
        <w:spacing w:after="80"/>
        <w:ind w:firstLine="420"/>
      </w:pPr>
      <w:r>
        <w:rPr>
          <w:rFonts w:ascii="Times New Roman" w:hAnsi="Times New Roman" w:eastAsia="宋体"/>
          <w:b/>
          <w:color w:val="1A1A1A"/>
          <w:sz w:val="21"/>
        </w:rPr>
        <w:t>复杂度</w:t>
      </w:r>
      <w:r>
        <w:rPr>
          <w:rFonts w:ascii="Times New Roman" w:hAnsi="Times New Roman" w:eastAsia="宋体"/>
          <w:b w:val="0"/>
          <w:color w:val="1A1A1A"/>
          <w:sz w:val="21"/>
        </w:rPr>
        <w:t>：冲突边 O(n²)，聚类 O(n² log n)，n 为证据条数（通常小于 20），单次推理毫秒级。</w:t>
      </w:r>
    </w:p>
    <w:p>
      <w:pPr>
        <w:spacing w:after="80"/>
        <w:ind w:firstLine="420"/>
      </w:pPr>
      <w:r>
        <w:rPr>
          <w:rFonts w:ascii="Times New Roman" w:hAnsi="Times New Roman" w:eastAsia="宋体"/>
          <w:b/>
          <w:color w:val="1A1A1A"/>
          <w:sz w:val="21"/>
        </w:rPr>
        <w:t>为什么这样设计</w:t>
      </w:r>
      <w:r>
        <w:rPr>
          <w:rFonts w:ascii="Times New Roman" w:hAnsi="Times New Roman" w:eastAsia="宋体"/>
          <w:b w:val="0"/>
          <w:color w:val="1A1A1A"/>
          <w:sz w:val="21"/>
        </w:rPr>
        <w:t>：直接按语义相似度聚类会把「同一材料、不同条件」的证据分到一起，因为它们在文本上高度相似（都在讨论这个材料）；只有用条件元数据才能把它们分开。这是本算法与通用冲突聚合方法的关键区别。</w:t>
      </w:r>
    </w:p>
    <w:p>
      <w:pPr>
        <w:spacing w:after="80"/>
        <w:ind w:firstLine="420"/>
      </w:pPr>
      <w:r>
        <w:rPr>
          <w:rFonts w:ascii="Times New Roman" w:hAnsi="Times New Roman" w:eastAsia="宋体"/>
          <w:b/>
          <w:color w:val="1A1A1A"/>
          <w:sz w:val="21"/>
        </w:rPr>
        <w:t>验证协议</w:t>
      </w:r>
      <w:r>
        <w:rPr>
          <w:rFonts w:ascii="Times New Roman" w:hAnsi="Times New Roman" w:eastAsia="宋体"/>
          <w:b w:val="0"/>
          <w:color w:val="1A1A1A"/>
          <w:sz w:val="21"/>
        </w:rPr>
        <w:t>：人工标注 200 组冲突证据作为金标准，比较 CACG 与三个基线的分组 F1——不分组（全部合并）、按来源分组、按语义相似度分组。同时报告条件化率与条件化后的答案准确率。</w:t>
      </w:r>
    </w:p>
    <w:p>
      <w:pPr>
        <w:spacing w:before="200" w:after="80"/>
      </w:pPr>
      <w:r>
        <w:rPr>
          <w:rFonts w:ascii="Times New Roman" w:hAnsi="Times New Roman" w:eastAsia="黑体"/>
          <w:b/>
          <w:color w:val="1B3A52"/>
          <w:sz w:val="23"/>
        </w:rPr>
        <w:t>4.5 技术路线</w:t>
      </w:r>
    </w:p>
    <w:p>
      <w:pPr>
        <w:spacing w:after="80"/>
        <w:ind w:firstLine="420"/>
      </w:pPr>
      <w:r>
        <w:rPr>
          <w:rFonts w:ascii="Consolas" w:hAnsi="Consolas" w:eastAsia="宋体"/>
          <w:b w:val="0"/>
          <w:color w:val="1A1A1A"/>
          <w:sz w:val="20"/>
        </w:rPr>
        <w:t>`</w:t>
      </w:r>
    </w:p>
    <w:p>
      <w:pPr>
        <w:spacing w:after="80"/>
        <w:ind w:firstLine="420"/>
      </w:pPr>
      <w:r>
        <w:rPr>
          <w:rFonts w:ascii="Times New Roman" w:hAnsi="Times New Roman" w:eastAsia="宋体"/>
          <w:b w:val="0"/>
          <w:color w:val="1A1A1A"/>
          <w:sz w:val="21"/>
        </w:rPr>
        <w:t>跨库匹配（成分 + 空间群 + 原型）</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冲突判定（阈值 + 条件元数据）</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冲突基准（类型标注 + 公认答案标注）</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模型评测（检测 / 选边 / 条件化 / 校准）</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冲突感知推理（检测 → 分组 → 报告）</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消融与错误分析</w:t>
      </w:r>
    </w:p>
    <w:p>
      <w:pPr>
        <w:spacing w:after="80"/>
        <w:ind w:firstLine="420"/>
      </w:pPr>
      <w:r>
        <w:rPr>
          <w:rFonts w:ascii="Consolas" w:hAnsi="Consolas" w:eastAsia="宋体"/>
          <w:b w:val="0"/>
          <w:color w:val="1A1A1A"/>
          <w:sz w:val="20"/>
        </w:rPr>
        <w:t>`</w:t>
      </w:r>
    </w:p>
    <w:p>
      <w:pPr>
        <w:spacing w:before="320" w:after="120"/>
      </w:pPr>
      <w:r>
        <w:rPr>
          <w:rFonts w:ascii="Times New Roman" w:hAnsi="Times New Roman" w:eastAsia="黑体"/>
          <w:b/>
          <w:color w:val="1B3A52"/>
          <w:sz w:val="30"/>
        </w:rPr>
        <w:t>5 实验设计</w:t>
      </w:r>
    </w:p>
    <w:p>
      <w:pPr>
        <w:spacing w:before="200" w:after="80"/>
      </w:pPr>
      <w:r>
        <w:rPr>
          <w:rFonts w:ascii="Times New Roman" w:hAnsi="Times New Roman" w:eastAsia="黑体"/>
          <w:b/>
          <w:color w:val="1B3A52"/>
          <w:sz w:val="23"/>
        </w:rPr>
        <w:t>5.1 数据与划分</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spacing w:before="40" w:after="40" w:line="276" w:lineRule="auto"/>
            </w:pPr>
            <w:r/>
            <w:r>
              <w:rPr>
                <w:rFonts w:ascii="Times New Roman" w:hAnsi="Times New Roman" w:eastAsia="宋体"/>
                <w:b/>
                <w:color w:val="1A1A1A"/>
                <w:sz w:val="18"/>
              </w:rPr>
              <w:t>来源</w:t>
            </w:r>
          </w:p>
        </w:tc>
        <w:tc>
          <w:tcPr>
            <w:tcW w:type="dxa" w:w="2911"/>
          </w:tcPr>
          <w:p>
            <w:pPr>
              <w:spacing w:before="40" w:after="40" w:line="276" w:lineRule="auto"/>
            </w:pPr>
            <w:r/>
            <w:r>
              <w:rPr>
                <w:rFonts w:ascii="Times New Roman" w:hAnsi="Times New Roman" w:eastAsia="宋体"/>
                <w:b/>
                <w:color w:val="1A1A1A"/>
                <w:sz w:val="18"/>
              </w:rPr>
              <w:t>规模</w:t>
            </w:r>
          </w:p>
        </w:tc>
        <w:tc>
          <w:tcPr>
            <w:tcW w:type="dxa" w:w="2911"/>
          </w:tcPr>
          <w:p>
            <w:pPr>
              <w:spacing w:before="40" w:after="40" w:line="276" w:lineRule="auto"/>
            </w:pPr>
            <w:r/>
            <w:r>
              <w:rPr>
                <w:rFonts w:ascii="Times New Roman" w:hAnsi="Times New Roman" w:eastAsia="宋体"/>
                <w:b/>
                <w:color w:val="1A1A1A"/>
                <w:sz w:val="18"/>
              </w:rPr>
              <w:t>用途</w:t>
            </w:r>
          </w:p>
        </w:tc>
      </w:tr>
      <w:tr>
        <w:tc>
          <w:tcPr>
            <w:tcW w:type="dxa" w:w="2911"/>
          </w:tcPr>
          <w:p>
            <w:pPr>
              <w:spacing w:before="40" w:after="40" w:line="276" w:lineRule="auto"/>
            </w:pPr>
            <w:r/>
            <w:r>
              <w:rPr>
                <w:rFonts w:ascii="Times New Roman" w:hAnsi="Times New Roman" w:eastAsia="宋体"/>
                <w:b w:val="0"/>
                <w:color w:val="1A1A1A"/>
                <w:sz w:val="18"/>
              </w:rPr>
              <w:t>Materials Project</w:t>
            </w:r>
          </w:p>
        </w:tc>
        <w:tc>
          <w:tcPr>
            <w:tcW w:type="dxa" w:w="2911"/>
          </w:tcPr>
          <w:p>
            <w:pPr>
              <w:spacing w:before="40" w:after="40" w:line="276" w:lineRule="auto"/>
            </w:pPr>
            <w:r/>
            <w:r>
              <w:rPr>
                <w:rFonts w:ascii="Times New Roman" w:hAnsi="Times New Roman" w:eastAsia="宋体"/>
                <w:b w:val="0"/>
                <w:color w:val="1A1A1A"/>
                <w:sz w:val="18"/>
              </w:rPr>
              <w:t>全量导出</w:t>
            </w:r>
          </w:p>
        </w:tc>
        <w:tc>
          <w:tcPr>
            <w:tcW w:type="dxa" w:w="2911"/>
          </w:tcPr>
          <w:p>
            <w:pPr>
              <w:spacing w:before="40" w:after="40" w:line="276" w:lineRule="auto"/>
            </w:pPr>
            <w:r/>
            <w:r>
              <w:rPr>
                <w:rFonts w:ascii="Times New Roman" w:hAnsi="Times New Roman" w:eastAsia="宋体"/>
                <w:b w:val="0"/>
                <w:color w:val="1A1A1A"/>
                <w:sz w:val="18"/>
              </w:rPr>
              <w:t>主库</w:t>
            </w:r>
          </w:p>
        </w:tc>
      </w:tr>
      <w:tr>
        <w:tc>
          <w:tcPr>
            <w:tcW w:type="dxa" w:w="2911"/>
          </w:tcPr>
          <w:p>
            <w:pPr>
              <w:spacing w:before="40" w:after="40" w:line="276" w:lineRule="auto"/>
            </w:pPr>
            <w:r/>
            <w:r>
              <w:rPr>
                <w:rFonts w:ascii="Times New Roman" w:hAnsi="Times New Roman" w:eastAsia="宋体"/>
                <w:b w:val="0"/>
                <w:color w:val="1A1A1A"/>
                <w:sz w:val="18"/>
              </w:rPr>
              <w:t>OQMD</w:t>
            </w:r>
          </w:p>
        </w:tc>
        <w:tc>
          <w:tcPr>
            <w:tcW w:type="dxa" w:w="2911"/>
          </w:tcPr>
          <w:p>
            <w:pPr>
              <w:spacing w:before="40" w:after="40" w:line="276" w:lineRule="auto"/>
            </w:pPr>
            <w:r/>
            <w:r>
              <w:rPr>
                <w:rFonts w:ascii="Times New Roman" w:hAnsi="Times New Roman" w:eastAsia="宋体"/>
                <w:b w:val="0"/>
                <w:color w:val="1A1A1A"/>
                <w:sz w:val="18"/>
              </w:rPr>
              <w:t>全量导出</w:t>
            </w:r>
          </w:p>
        </w:tc>
        <w:tc>
          <w:tcPr>
            <w:tcW w:type="dxa" w:w="2911"/>
          </w:tcPr>
          <w:p>
            <w:pPr>
              <w:spacing w:before="40" w:after="40" w:line="276" w:lineRule="auto"/>
            </w:pPr>
            <w:r/>
            <w:r>
              <w:rPr>
                <w:rFonts w:ascii="Times New Roman" w:hAnsi="Times New Roman" w:eastAsia="宋体"/>
                <w:b w:val="0"/>
                <w:color w:val="1A1A1A"/>
                <w:sz w:val="18"/>
              </w:rPr>
              <w:t>交叉匹配</w:t>
            </w:r>
          </w:p>
        </w:tc>
      </w:tr>
      <w:tr>
        <w:tc>
          <w:tcPr>
            <w:tcW w:type="dxa" w:w="2911"/>
          </w:tcPr>
          <w:p>
            <w:pPr>
              <w:spacing w:before="40" w:after="40" w:line="276" w:lineRule="auto"/>
            </w:pPr>
            <w:r/>
            <w:r>
              <w:rPr>
                <w:rFonts w:ascii="Times New Roman" w:hAnsi="Times New Roman" w:eastAsia="宋体"/>
                <w:b w:val="0"/>
                <w:color w:val="1A1A1A"/>
                <w:sz w:val="18"/>
              </w:rPr>
              <w:t>AFLOW</w:t>
            </w:r>
          </w:p>
        </w:tc>
        <w:tc>
          <w:tcPr>
            <w:tcW w:type="dxa" w:w="2911"/>
          </w:tcPr>
          <w:p>
            <w:pPr>
              <w:spacing w:before="40" w:after="40" w:line="276" w:lineRule="auto"/>
            </w:pPr>
            <w:r/>
            <w:r>
              <w:rPr>
                <w:rFonts w:ascii="Times New Roman" w:hAnsi="Times New Roman" w:eastAsia="宋体"/>
                <w:b w:val="0"/>
                <w:color w:val="1A1A1A"/>
                <w:sz w:val="18"/>
              </w:rPr>
              <w:t>全量导出</w:t>
            </w:r>
          </w:p>
        </w:tc>
        <w:tc>
          <w:tcPr>
            <w:tcW w:type="dxa" w:w="2911"/>
          </w:tcPr>
          <w:p>
            <w:pPr>
              <w:spacing w:before="40" w:after="40" w:line="276" w:lineRule="auto"/>
            </w:pPr>
            <w:r/>
            <w:r>
              <w:rPr>
                <w:rFonts w:ascii="Times New Roman" w:hAnsi="Times New Roman" w:eastAsia="宋体"/>
                <w:b w:val="0"/>
                <w:color w:val="1A1A1A"/>
                <w:sz w:val="18"/>
              </w:rPr>
              <w:t>交叉匹配</w:t>
            </w:r>
          </w:p>
        </w:tc>
      </w:tr>
      <w:tr>
        <w:tc>
          <w:tcPr>
            <w:tcW w:type="dxa" w:w="2911"/>
          </w:tcPr>
          <w:p>
            <w:pPr>
              <w:spacing w:before="40" w:after="40" w:line="276" w:lineRule="auto"/>
            </w:pPr>
            <w:r/>
            <w:r>
              <w:rPr>
                <w:rFonts w:ascii="Times New Roman" w:hAnsi="Times New Roman" w:eastAsia="宋体"/>
                <w:b w:val="0"/>
                <w:color w:val="1A1A1A"/>
                <w:sz w:val="18"/>
              </w:rPr>
              <w:t>JARVIS-DFT</w:t>
            </w:r>
          </w:p>
        </w:tc>
        <w:tc>
          <w:tcPr>
            <w:tcW w:type="dxa" w:w="2911"/>
          </w:tcPr>
          <w:p>
            <w:pPr>
              <w:spacing w:before="40" w:after="40" w:line="276" w:lineRule="auto"/>
            </w:pPr>
            <w:r/>
            <w:r>
              <w:rPr>
                <w:rFonts w:ascii="Times New Roman" w:hAnsi="Times New Roman" w:eastAsia="宋体"/>
                <w:b w:val="0"/>
                <w:color w:val="1A1A1A"/>
                <w:sz w:val="18"/>
              </w:rPr>
              <w:t>全量导出</w:t>
            </w:r>
          </w:p>
        </w:tc>
        <w:tc>
          <w:tcPr>
            <w:tcW w:type="dxa" w:w="2911"/>
          </w:tcPr>
          <w:p>
            <w:pPr>
              <w:spacing w:before="40" w:after="40" w:line="276" w:lineRule="auto"/>
            </w:pPr>
            <w:r/>
            <w:r>
              <w:rPr>
                <w:rFonts w:ascii="Times New Roman" w:hAnsi="Times New Roman" w:eastAsia="宋体"/>
                <w:b w:val="0"/>
                <w:color w:val="1A1A1A"/>
                <w:sz w:val="18"/>
              </w:rPr>
              <w:t>交叉匹配</w:t>
            </w:r>
          </w:p>
        </w:tc>
      </w:tr>
    </w:tbl>
    <w:p/>
    <w:p>
      <w:pPr>
        <w:spacing w:after="80"/>
        <w:ind w:firstLine="420"/>
      </w:pPr>
      <w:r>
        <w:rPr>
          <w:rFonts w:ascii="Times New Roman" w:hAnsi="Times New Roman" w:eastAsia="宋体"/>
          <w:b w:val="0"/>
          <w:color w:val="1A1A1A"/>
          <w:sz w:val="21"/>
        </w:rPr>
        <w:t>划分：按化学体系分组，确保同一体系的冲突组不跨训练/测试集。冲突基准的测试集人工抽检 200 组，核对冲突判定是否正确。</w:t>
      </w:r>
    </w:p>
    <w:p>
      <w:pPr>
        <w:spacing w:before="200" w:after="80"/>
      </w:pPr>
      <w:r>
        <w:rPr>
          <w:rFonts w:ascii="Times New Roman" w:hAnsi="Times New Roman" w:eastAsia="黑体"/>
          <w:b/>
          <w:color w:val="1B3A52"/>
          <w:sz w:val="23"/>
        </w:rPr>
        <w:t>5.2 对比基线</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spacing w:before="40" w:after="40" w:line="276" w:lineRule="auto"/>
            </w:pPr>
            <w:r/>
            <w:r>
              <w:rPr>
                <w:rFonts w:ascii="Times New Roman" w:hAnsi="Times New Roman" w:eastAsia="宋体"/>
                <w:b/>
                <w:color w:val="1A1A1A"/>
                <w:sz w:val="18"/>
              </w:rPr>
              <w:t>编号</w:t>
            </w:r>
          </w:p>
        </w:tc>
        <w:tc>
          <w:tcPr>
            <w:tcW w:type="dxa" w:w="2911"/>
          </w:tcPr>
          <w:p>
            <w:pPr>
              <w:spacing w:before="40" w:after="40" w:line="276" w:lineRule="auto"/>
            </w:pPr>
            <w:r/>
            <w:r>
              <w:rPr>
                <w:rFonts w:ascii="Times New Roman" w:hAnsi="Times New Roman" w:eastAsia="宋体"/>
                <w:b/>
                <w:color w:val="1A1A1A"/>
                <w:sz w:val="18"/>
              </w:rPr>
              <w:t>方法</w:t>
            </w:r>
          </w:p>
        </w:tc>
        <w:tc>
          <w:tcPr>
            <w:tcW w:type="dxa" w:w="2911"/>
          </w:tcPr>
          <w:p>
            <w:pPr>
              <w:spacing w:before="40" w:after="40" w:line="276" w:lineRule="auto"/>
            </w:pPr>
            <w:r/>
            <w:r>
              <w:rPr>
                <w:rFonts w:ascii="Times New Roman" w:hAnsi="Times New Roman" w:eastAsia="宋体"/>
                <w:b/>
                <w:color w:val="1A1A1A"/>
                <w:sz w:val="18"/>
              </w:rPr>
              <w:t>说明</w:t>
            </w:r>
          </w:p>
        </w:tc>
      </w:tr>
      <w:tr>
        <w:tc>
          <w:tcPr>
            <w:tcW w:type="dxa" w:w="2911"/>
          </w:tcPr>
          <w:p>
            <w:pPr>
              <w:spacing w:before="40" w:after="40" w:line="276" w:lineRule="auto"/>
            </w:pPr>
            <w:r/>
            <w:r>
              <w:rPr>
                <w:rFonts w:ascii="Times New Roman" w:hAnsi="Times New Roman" w:eastAsia="宋体"/>
                <w:b w:val="0"/>
                <w:color w:val="1A1A1A"/>
                <w:sz w:val="18"/>
              </w:rPr>
              <w:t>B0</w:t>
            </w:r>
          </w:p>
        </w:tc>
        <w:tc>
          <w:tcPr>
            <w:tcW w:type="dxa" w:w="2911"/>
          </w:tcPr>
          <w:p>
            <w:pPr>
              <w:spacing w:before="40" w:after="40" w:line="276" w:lineRule="auto"/>
            </w:pPr>
            <w:r/>
            <w:r>
              <w:rPr>
                <w:rFonts w:ascii="Times New Roman" w:hAnsi="Times New Roman" w:eastAsia="宋体"/>
                <w:b w:val="0"/>
                <w:color w:val="1A1A1A"/>
                <w:sz w:val="18"/>
              </w:rPr>
              <w:t>零样本模型</w:t>
            </w:r>
          </w:p>
        </w:tc>
        <w:tc>
          <w:tcPr>
            <w:tcW w:type="dxa" w:w="2911"/>
          </w:tcPr>
          <w:p>
            <w:pPr>
              <w:spacing w:before="40" w:after="40" w:line="276" w:lineRule="auto"/>
            </w:pPr>
            <w:r/>
            <w:r>
              <w:rPr>
                <w:rFonts w:ascii="Times New Roman" w:hAnsi="Times New Roman" w:eastAsia="宋体"/>
                <w:b w:val="0"/>
                <w:color w:val="1A1A1A"/>
                <w:sz w:val="18"/>
              </w:rPr>
              <w:t>直接回答</w:t>
            </w:r>
          </w:p>
        </w:tc>
      </w:tr>
      <w:tr>
        <w:tc>
          <w:tcPr>
            <w:tcW w:type="dxa" w:w="2911"/>
          </w:tcPr>
          <w:p>
            <w:pPr>
              <w:spacing w:before="40" w:after="40" w:line="276" w:lineRule="auto"/>
            </w:pPr>
            <w:r/>
            <w:r>
              <w:rPr>
                <w:rFonts w:ascii="Times New Roman" w:hAnsi="Times New Roman" w:eastAsia="宋体"/>
                <w:b w:val="0"/>
                <w:color w:val="1A1A1A"/>
                <w:sz w:val="18"/>
              </w:rPr>
              <w:t>B1</w:t>
            </w:r>
          </w:p>
        </w:tc>
        <w:tc>
          <w:tcPr>
            <w:tcW w:type="dxa" w:w="2911"/>
          </w:tcPr>
          <w:p>
            <w:pPr>
              <w:spacing w:before="40" w:after="40" w:line="276" w:lineRule="auto"/>
            </w:pPr>
            <w:r/>
            <w:r>
              <w:rPr>
                <w:rFonts w:ascii="Times New Roman" w:hAnsi="Times New Roman" w:eastAsia="宋体"/>
                <w:b w:val="0"/>
                <w:color w:val="1A1A1A"/>
                <w:sz w:val="18"/>
              </w:rPr>
              <w:t>RAG（检索冲突文本）</w:t>
            </w:r>
          </w:p>
        </w:tc>
        <w:tc>
          <w:tcPr>
            <w:tcW w:type="dxa" w:w="2911"/>
          </w:tcPr>
          <w:p>
            <w:pPr>
              <w:spacing w:before="40" w:after="40" w:line="276" w:lineRule="auto"/>
            </w:pPr>
            <w:r/>
            <w:r>
              <w:rPr>
                <w:rFonts w:ascii="Times New Roman" w:hAnsi="Times New Roman" w:eastAsia="宋体"/>
                <w:b w:val="0"/>
                <w:color w:val="1A1A1A"/>
                <w:sz w:val="18"/>
              </w:rPr>
              <w:t>看模型是否被误导</w:t>
            </w:r>
          </w:p>
        </w:tc>
      </w:tr>
      <w:tr>
        <w:tc>
          <w:tcPr>
            <w:tcW w:type="dxa" w:w="2911"/>
          </w:tcPr>
          <w:p>
            <w:pPr>
              <w:spacing w:before="40" w:after="40" w:line="276" w:lineRule="auto"/>
            </w:pPr>
            <w:r/>
            <w:r>
              <w:rPr>
                <w:rFonts w:ascii="Times New Roman" w:hAnsi="Times New Roman" w:eastAsia="宋体"/>
                <w:b w:val="0"/>
                <w:color w:val="1A1A1A"/>
                <w:sz w:val="18"/>
              </w:rPr>
              <w:t>B2</w:t>
            </w:r>
          </w:p>
        </w:tc>
        <w:tc>
          <w:tcPr>
            <w:tcW w:type="dxa" w:w="2911"/>
          </w:tcPr>
          <w:p>
            <w:pPr>
              <w:spacing w:before="40" w:after="40" w:line="276" w:lineRule="auto"/>
            </w:pPr>
            <w:r/>
            <w:r>
              <w:rPr>
                <w:rFonts w:ascii="Times New Roman" w:hAnsi="Times New Roman" w:eastAsia="宋体"/>
                <w:b w:val="0"/>
                <w:color w:val="1A1A1A"/>
                <w:sz w:val="18"/>
              </w:rPr>
              <w:t>多数投票</w:t>
            </w:r>
          </w:p>
        </w:tc>
        <w:tc>
          <w:tcPr>
            <w:tcW w:type="dxa" w:w="2911"/>
          </w:tcPr>
          <w:p>
            <w:pPr>
              <w:spacing w:before="40" w:after="40" w:line="276" w:lineRule="auto"/>
            </w:pPr>
            <w:r/>
            <w:r>
              <w:rPr>
                <w:rFonts w:ascii="Times New Roman" w:hAnsi="Times New Roman" w:eastAsia="宋体"/>
                <w:b w:val="0"/>
                <w:color w:val="1A1A1A"/>
                <w:sz w:val="18"/>
              </w:rPr>
              <w:t>把多源证据做投票</w:t>
            </w:r>
          </w:p>
        </w:tc>
      </w:tr>
      <w:tr>
        <w:tc>
          <w:tcPr>
            <w:tcW w:type="dxa" w:w="2911"/>
          </w:tcPr>
          <w:p>
            <w:pPr>
              <w:spacing w:before="40" w:after="40" w:line="276" w:lineRule="auto"/>
            </w:pPr>
            <w:r/>
            <w:r>
              <w:rPr>
                <w:rFonts w:ascii="Times New Roman" w:hAnsi="Times New Roman" w:eastAsia="宋体"/>
                <w:b w:val="0"/>
                <w:color w:val="1A1A1A"/>
                <w:sz w:val="18"/>
              </w:rPr>
              <w:t>B3</w:t>
            </w:r>
          </w:p>
        </w:tc>
        <w:tc>
          <w:tcPr>
            <w:tcW w:type="dxa" w:w="2911"/>
          </w:tcPr>
          <w:p>
            <w:pPr>
              <w:spacing w:before="40" w:after="40" w:line="276" w:lineRule="auto"/>
            </w:pPr>
            <w:r/>
            <w:r>
              <w:rPr>
                <w:rFonts w:ascii="Times New Roman" w:hAnsi="Times New Roman" w:eastAsia="宋体"/>
                <w:b w:val="0"/>
                <w:color w:val="1A1A1A"/>
                <w:sz w:val="18"/>
              </w:rPr>
              <w:t>提示「如遇冲突请报告」</w:t>
            </w:r>
          </w:p>
        </w:tc>
        <w:tc>
          <w:tcPr>
            <w:tcW w:type="dxa" w:w="2911"/>
          </w:tcPr>
          <w:p>
            <w:pPr>
              <w:spacing w:before="40" w:after="40" w:line="276" w:lineRule="auto"/>
            </w:pPr>
            <w:r/>
            <w:r>
              <w:rPr>
                <w:rFonts w:ascii="Times New Roman" w:hAnsi="Times New Roman" w:eastAsia="宋体"/>
                <w:b w:val="0"/>
                <w:color w:val="1A1A1A"/>
                <w:sz w:val="18"/>
              </w:rPr>
              <w:t>零样本的冲突提示版本</w:t>
            </w:r>
          </w:p>
        </w:tc>
      </w:tr>
      <w:tr>
        <w:tc>
          <w:tcPr>
            <w:tcW w:type="dxa" w:w="2911"/>
          </w:tcPr>
          <w:p>
            <w:pPr>
              <w:spacing w:before="40" w:after="40" w:line="276" w:lineRule="auto"/>
            </w:pPr>
            <w:r/>
            <w:r>
              <w:rPr>
                <w:rFonts w:ascii="Times New Roman" w:hAnsi="Times New Roman" w:eastAsia="宋体"/>
                <w:b w:val="0"/>
                <w:color w:val="1A1A1A"/>
                <w:sz w:val="18"/>
              </w:rPr>
              <w:t>B4</w:t>
            </w:r>
          </w:p>
        </w:tc>
        <w:tc>
          <w:tcPr>
            <w:tcW w:type="dxa" w:w="2911"/>
          </w:tcPr>
          <w:p>
            <w:pPr>
              <w:spacing w:before="40" w:after="40" w:line="276" w:lineRule="auto"/>
            </w:pPr>
            <w:r/>
            <w:r>
              <w:rPr>
                <w:rFonts w:ascii="Times New Roman" w:hAnsi="Times New Roman" w:eastAsia="宋体"/>
                <w:b w:val="0"/>
                <w:color w:val="1A1A1A"/>
                <w:sz w:val="18"/>
              </w:rPr>
              <w:t>本文方法</w:t>
            </w:r>
          </w:p>
        </w:tc>
        <w:tc>
          <w:tcPr>
            <w:tcW w:type="dxa" w:w="2911"/>
          </w:tcPr>
          <w:p>
            <w:pPr>
              <w:spacing w:before="40" w:after="40" w:line="276" w:lineRule="auto"/>
            </w:pPr>
            <w:r/>
            <w:r>
              <w:rPr>
                <w:rFonts w:ascii="Times New Roman" w:hAnsi="Times New Roman" w:eastAsia="宋体"/>
                <w:b w:val="0"/>
                <w:color w:val="1A1A1A"/>
                <w:sz w:val="18"/>
              </w:rPr>
              <w:t>检测 + 分组 + 报告</w:t>
            </w:r>
          </w:p>
        </w:tc>
      </w:tr>
    </w:tbl>
    <w:p/>
    <w:p>
      <w:pPr>
        <w:spacing w:before="200" w:after="80"/>
      </w:pPr>
      <w:r>
        <w:rPr>
          <w:rFonts w:ascii="Times New Roman" w:hAnsi="Times New Roman" w:eastAsia="黑体"/>
          <w:b/>
          <w:color w:val="1B3A52"/>
          <w:sz w:val="23"/>
        </w:rPr>
        <w:t>5.3 评价指标</w:t>
      </w:r>
    </w:p>
    <w:p>
      <w:pPr>
        <w:pStyle w:val="ListBullet"/>
        <w:spacing w:line="336" w:lineRule="auto" w:after="40"/>
      </w:pPr>
      <w:r>
        <w:rPr>
          <w:rFonts w:ascii="Times New Roman" w:hAnsi="Times New Roman" w:eastAsia="宋体"/>
          <w:b/>
          <w:color w:val="1A1A1A"/>
          <w:sz w:val="21"/>
        </w:rPr>
        <w:t>冲突检测率</w:t>
      </w:r>
      <w:r>
        <w:rPr>
          <w:rFonts w:ascii="Times New Roman" w:hAnsi="Times New Roman" w:eastAsia="宋体"/>
          <w:b w:val="0"/>
          <w:color w:val="1A1A1A"/>
          <w:sz w:val="21"/>
        </w:rPr>
        <w:t>：在冲突组上模型明确报告分歧的比例；</w:t>
      </w:r>
    </w:p>
    <w:p>
      <w:pPr>
        <w:pStyle w:val="ListBullet"/>
        <w:spacing w:line="336" w:lineRule="auto" w:after="40"/>
      </w:pPr>
      <w:r>
        <w:rPr>
          <w:rFonts w:ascii="Times New Roman" w:hAnsi="Times New Roman" w:eastAsia="宋体"/>
          <w:b/>
          <w:color w:val="1A1A1A"/>
          <w:sz w:val="21"/>
        </w:rPr>
        <w:t>选边准确率</w:t>
      </w:r>
      <w:r>
        <w:rPr>
          <w:rFonts w:ascii="Times New Roman" w:hAnsi="Times New Roman" w:eastAsia="宋体"/>
          <w:b w:val="0"/>
          <w:color w:val="1A1A1A"/>
          <w:sz w:val="21"/>
        </w:rPr>
        <w:t>：在有公认答案的子集上，模型选择正确一方的比例；</w:t>
      </w:r>
    </w:p>
    <w:p>
      <w:pPr>
        <w:pStyle w:val="ListBullet"/>
        <w:spacing w:line="336" w:lineRule="auto" w:after="40"/>
      </w:pPr>
      <w:r>
        <w:rPr>
          <w:rFonts w:ascii="Times New Roman" w:hAnsi="Times New Roman" w:eastAsia="宋体"/>
          <w:b/>
          <w:color w:val="1A1A1A"/>
          <w:sz w:val="21"/>
        </w:rPr>
        <w:t>条件化率</w:t>
      </w:r>
      <w:r>
        <w:rPr>
          <w:rFonts w:ascii="Times New Roman" w:hAnsi="Times New Roman" w:eastAsia="宋体"/>
          <w:b w:val="0"/>
          <w:color w:val="1A1A1A"/>
          <w:sz w:val="21"/>
        </w:rPr>
        <w:t>：输出中包含条件说明的比例；</w:t>
      </w:r>
    </w:p>
    <w:p>
      <w:pPr>
        <w:pStyle w:val="ListBullet"/>
        <w:spacing w:line="336" w:lineRule="auto" w:after="40"/>
      </w:pPr>
      <w:r>
        <w:rPr>
          <w:rFonts w:ascii="Times New Roman" w:hAnsi="Times New Roman" w:eastAsia="宋体"/>
          <w:b/>
          <w:color w:val="1A1A1A"/>
          <w:sz w:val="21"/>
        </w:rPr>
        <w:t>校准误差</w:t>
      </w:r>
      <w:r>
        <w:rPr>
          <w:rFonts w:ascii="Times New Roman" w:hAnsi="Times New Roman" w:eastAsia="宋体"/>
          <w:b w:val="0"/>
          <w:color w:val="1A1A1A"/>
          <w:sz w:val="21"/>
        </w:rPr>
        <w:t>：置信度与实际正确率的差距；</w:t>
      </w:r>
    </w:p>
    <w:p>
      <w:pPr>
        <w:pStyle w:val="ListBullet"/>
        <w:spacing w:line="336" w:lineRule="auto" w:after="40"/>
      </w:pPr>
      <w:r>
        <w:rPr>
          <w:rFonts w:ascii="Times New Roman" w:hAnsi="Times New Roman" w:eastAsia="宋体"/>
          <w:b/>
          <w:color w:val="1A1A1A"/>
          <w:sz w:val="21"/>
        </w:rPr>
        <w:t>无冲突正常率</w:t>
      </w:r>
      <w:r>
        <w:rPr>
          <w:rFonts w:ascii="Times New Roman" w:hAnsi="Times New Roman" w:eastAsia="宋体"/>
          <w:b w:val="0"/>
          <w:color w:val="1A1A1A"/>
          <w:sz w:val="21"/>
        </w:rPr>
        <w:t>：在无冲突组上给出正常答案的比例（防止「永远说不知道」）。</w:t>
      </w:r>
    </w:p>
    <w:p>
      <w:pPr>
        <w:spacing w:before="200" w:after="80"/>
      </w:pPr>
      <w:r>
        <w:rPr>
          <w:rFonts w:ascii="Times New Roman" w:hAnsi="Times New Roman" w:eastAsia="黑体"/>
          <w:b/>
          <w:color w:val="1B3A52"/>
          <w:sz w:val="23"/>
        </w:rPr>
        <w:t>5.4 消融</w:t>
      </w:r>
    </w:p>
    <w:p>
      <w:pPr>
        <w:pStyle w:val="ListBullet"/>
        <w:spacing w:line="336" w:lineRule="auto" w:after="40"/>
      </w:pPr>
      <w:r>
        <w:rPr>
          <w:rFonts w:ascii="Times New Roman" w:hAnsi="Times New Roman" w:eastAsia="宋体"/>
          <w:b w:val="0"/>
          <w:color w:val="1A1A1A"/>
          <w:sz w:val="21"/>
        </w:rPr>
        <w:t>冲突类型：数据库间 / 时间 / 粒度</w:t>
      </w:r>
    </w:p>
    <w:p>
      <w:pPr>
        <w:pStyle w:val="ListBullet"/>
        <w:spacing w:line="336" w:lineRule="auto" w:after="40"/>
      </w:pPr>
      <w:r>
        <w:rPr>
          <w:rFonts w:ascii="Times New Roman" w:hAnsi="Times New Roman" w:eastAsia="宋体"/>
          <w:b w:val="0"/>
          <w:color w:val="1A1A1A"/>
          <w:sz w:val="21"/>
        </w:rPr>
        <w:t>证据数量：2 条 / 3—5 条 / 更多</w:t>
      </w:r>
    </w:p>
    <w:p>
      <w:pPr>
        <w:pStyle w:val="ListBullet"/>
        <w:spacing w:line="336" w:lineRule="auto" w:after="40"/>
      </w:pPr>
      <w:r>
        <w:rPr>
          <w:rFonts w:ascii="Times New Roman" w:hAnsi="Times New Roman" w:eastAsia="宋体"/>
          <w:b w:val="0"/>
          <w:color w:val="1A1A1A"/>
          <w:sz w:val="21"/>
        </w:rPr>
        <w:t>提示策略：零样本 / 显式要求报告 / few-shot</w:t>
      </w:r>
    </w:p>
    <w:p>
      <w:pPr>
        <w:pStyle w:val="ListBullet"/>
        <w:spacing w:line="336" w:lineRule="auto" w:after="40"/>
      </w:pPr>
      <w:r>
        <w:rPr>
          <w:rFonts w:ascii="Times New Roman" w:hAnsi="Times New Roman" w:eastAsia="宋体"/>
          <w:b w:val="0"/>
          <w:color w:val="1A1A1A"/>
          <w:sz w:val="21"/>
        </w:rPr>
        <w:t>是否提供条件元数据</w:t>
      </w:r>
    </w:p>
    <w:p>
      <w:pPr>
        <w:spacing w:before="320" w:after="120"/>
      </w:pPr>
      <w:r>
        <w:rPr>
          <w:rFonts w:ascii="Times New Roman" w:hAnsi="Times New Roman" w:eastAsia="黑体"/>
          <w:b/>
          <w:color w:val="1B3A52"/>
          <w:sz w:val="30"/>
        </w:rPr>
        <w:t>6 特色与创新</w:t>
      </w:r>
    </w:p>
    <w:p>
      <w:pPr>
        <w:spacing w:after="80"/>
        <w:ind w:firstLine="420"/>
      </w:pPr>
      <w:r>
        <w:rPr>
          <w:rFonts w:ascii="Times New Roman" w:hAnsi="Times New Roman" w:eastAsia="宋体"/>
          <w:b/>
          <w:color w:val="1A1A1A"/>
          <w:sz w:val="21"/>
        </w:rPr>
        <w:t>算法创新：条件感知的冲突分组（CACG）。</w:t>
      </w:r>
      <w:r>
        <w:rPr>
          <w:rFonts w:ascii="Times New Roman" w:hAnsi="Times New Roman" w:eastAsia="宋体"/>
          <w:b w:val="0"/>
          <w:color w:val="1A1A1A"/>
          <w:sz w:val="21"/>
        </w:rPr>
        <w:t xml:space="preserve"> 现有冲突聚合方法按语义相似度或来源分组；本课题按条件元数据（泛函、温度、压力）分组，针对的是「同一材料、不同条件」这一类材料特有的冲突。算法是规则加层次聚类，约 200 行，不需要训练；验证方式是人工标注 200 组的 F1，与「不分组」「按来源分组」「按语义相似度分组」三个基线对比。它与中英文证据冲突的分组方法（如 X-MADAM-RAG）的区别在于：后者的分组依据是语言与来源，本课题依据的是物理条件元数据——「GGA+U 下的 3.92 eV」与「无 U 下的 0.38 eV」在文本上不矛盾，只有读条件才能判断它们本就不该被合并。</w:t>
      </w:r>
    </w:p>
    <w:p>
      <w:pPr>
        <w:spacing w:after="80"/>
        <w:ind w:firstLine="420"/>
      </w:pPr>
      <w:r>
        <w:rPr>
          <w:rFonts w:ascii="Times New Roman" w:hAnsi="Times New Roman" w:eastAsia="宋体"/>
          <w:b/>
          <w:color w:val="1A1A1A"/>
          <w:sz w:val="21"/>
        </w:rPr>
        <w:t>评测创新：首个材料知识冲突基准。</w:t>
      </w:r>
      <w:r>
        <w:rPr>
          <w:rFonts w:ascii="Times New Roman" w:hAnsi="Times New Roman" w:eastAsia="宋体"/>
          <w:b w:val="0"/>
          <w:color w:val="1A1A1A"/>
          <w:sz w:val="21"/>
        </w:rPr>
        <w:t xml:space="preserve"> 通用冲突基准的冲突类型无法覆盖材料冲突的主因（建模选择差异）[2–5]。本课题的基准以「同一实体、可比条件、不同取值」为判定核心，并保留条件元数据。</w:t>
      </w:r>
    </w:p>
    <w:p>
      <w:pPr>
        <w:spacing w:after="80"/>
        <w:ind w:firstLine="420"/>
      </w:pPr>
      <w:r>
        <w:rPr>
          <w:rFonts w:ascii="Times New Roman" w:hAnsi="Times New Roman" w:eastAsia="宋体"/>
          <w:b/>
          <w:color w:val="1A1A1A"/>
          <w:sz w:val="21"/>
        </w:rPr>
        <w:t>方法创新：条件化输出。</w:t>
      </w:r>
      <w:r>
        <w:rPr>
          <w:rFonts w:ascii="Times New Roman" w:hAnsi="Times New Roman" w:eastAsia="宋体"/>
          <w:b w:val="0"/>
          <w:color w:val="1A1A1A"/>
          <w:sz w:val="21"/>
        </w:rPr>
        <w:t xml:space="preserve"> 现有冲突研究大多评估模型能否选出正确一方 [5, 8]；材料冲突常常没有唯一正确方，本课题把「输出条件化的多结论」作为目标，并给出对应的评价指标（条件化率、分组准确率、答案准确率）。</w:t>
      </w:r>
    </w:p>
    <w:p>
      <w:pPr>
        <w:spacing w:before="320" w:after="120"/>
      </w:pPr>
      <w:r>
        <w:rPr>
          <w:rFonts w:ascii="Times New Roman" w:hAnsi="Times New Roman" w:eastAsia="黑体"/>
          <w:b/>
          <w:color w:val="1B3A52"/>
          <w:sz w:val="30"/>
        </w:rPr>
        <w:t>7 预期成果</w:t>
      </w:r>
    </w:p>
    <w:p>
      <w:pPr>
        <w:spacing w:after="80"/>
        <w:ind w:firstLine="420"/>
      </w:pPr>
      <w:r>
        <w:rPr>
          <w:rFonts w:ascii="Times New Roman" w:hAnsi="Times New Roman" w:eastAsia="宋体"/>
          <w:b w:val="0"/>
          <w:color w:val="1A1A1A"/>
          <w:sz w:val="21"/>
        </w:rPr>
        <w:t>1. 硕士学位论文一篇。</w:t>
      </w:r>
    </w:p>
    <w:p>
      <w:pPr>
        <w:spacing w:after="80"/>
        <w:ind w:firstLine="420"/>
      </w:pPr>
      <w:r>
        <w:rPr>
          <w:rFonts w:ascii="Times New Roman" w:hAnsi="Times New Roman" w:eastAsia="宋体"/>
          <w:b w:val="0"/>
          <w:color w:val="1A1A1A"/>
          <w:sz w:val="21"/>
        </w:rPr>
        <w:t>2. SCI 论文一篇，拟投 npj Computational Materials、Journal of Chemical Information and Modeling 或 Digital Discovery。</w:t>
      </w:r>
    </w:p>
    <w:p>
      <w:pPr>
        <w:spacing w:after="80"/>
        <w:ind w:firstLine="420"/>
      </w:pPr>
      <w:r>
        <w:rPr>
          <w:rFonts w:ascii="Times New Roman" w:hAnsi="Times New Roman" w:eastAsia="宋体"/>
          <w:b w:val="0"/>
          <w:color w:val="1A1A1A"/>
          <w:sz w:val="21"/>
        </w:rPr>
        <w:t>3. 开源基准与评测代码。</w:t>
      </w:r>
    </w:p>
    <w:p>
      <w:pPr>
        <w:spacing w:after="80"/>
        <w:ind w:firstLine="420"/>
      </w:pPr>
      <w:r>
        <w:rPr>
          <w:rFonts w:ascii="Times New Roman" w:hAnsi="Times New Roman" w:eastAsia="宋体"/>
          <w:b w:val="0"/>
          <w:color w:val="1A1A1A"/>
          <w:sz w:val="21"/>
        </w:rPr>
        <w:t>4. 冲突感知推理的参考实现。</w:t>
      </w:r>
    </w:p>
    <w:p>
      <w:pPr>
        <w:spacing w:before="320" w:after="120"/>
      </w:pPr>
      <w:r>
        <w:rPr>
          <w:rFonts w:ascii="Times New Roman" w:hAnsi="Times New Roman" w:eastAsia="黑体"/>
          <w:b/>
          <w:color w:val="1B3A52"/>
          <w:sz w:val="30"/>
        </w:rPr>
        <w:t>8 进度安排</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spacing w:before="40" w:after="40" w:line="276" w:lineRule="auto"/>
            </w:pPr>
            <w:r/>
            <w:r>
              <w:rPr>
                <w:rFonts w:ascii="Times New Roman" w:hAnsi="Times New Roman" w:eastAsia="宋体"/>
                <w:b/>
                <w:color w:val="1A1A1A"/>
                <w:sz w:val="18"/>
              </w:rPr>
              <w:t>阶段</w:t>
            </w:r>
          </w:p>
        </w:tc>
        <w:tc>
          <w:tcPr>
            <w:tcW w:type="dxa" w:w="2183"/>
          </w:tcPr>
          <w:p>
            <w:pPr>
              <w:spacing w:before="40" w:after="40" w:line="276" w:lineRule="auto"/>
            </w:pPr>
            <w:r/>
            <w:r>
              <w:rPr>
                <w:rFonts w:ascii="Times New Roman" w:hAnsi="Times New Roman" w:eastAsia="宋体"/>
                <w:b/>
                <w:color w:val="1A1A1A"/>
                <w:sz w:val="18"/>
              </w:rPr>
              <w:t>时间</w:t>
            </w:r>
          </w:p>
        </w:tc>
        <w:tc>
          <w:tcPr>
            <w:tcW w:type="dxa" w:w="2183"/>
          </w:tcPr>
          <w:p>
            <w:pPr>
              <w:spacing w:before="40" w:after="40" w:line="276" w:lineRule="auto"/>
            </w:pPr>
            <w:r/>
            <w:r>
              <w:rPr>
                <w:rFonts w:ascii="Times New Roman" w:hAnsi="Times New Roman" w:eastAsia="宋体"/>
                <w:b/>
                <w:color w:val="1A1A1A"/>
                <w:sz w:val="18"/>
              </w:rPr>
              <w:t>主要工作</w:t>
            </w:r>
          </w:p>
        </w:tc>
        <w:tc>
          <w:tcPr>
            <w:tcW w:type="dxa" w:w="2183"/>
          </w:tcPr>
          <w:p>
            <w:pPr>
              <w:spacing w:before="40" w:after="40" w:line="276" w:lineRule="auto"/>
            </w:pPr>
            <w:r/>
            <w:r>
              <w:rPr>
                <w:rFonts w:ascii="Times New Roman" w:hAnsi="Times New Roman" w:eastAsia="宋体"/>
                <w:b/>
                <w:color w:val="1A1A1A"/>
                <w:sz w:val="18"/>
              </w:rPr>
              <w:t>里程碑与判据</w:t>
            </w:r>
          </w:p>
        </w:tc>
      </w:tr>
      <w:tr>
        <w:tc>
          <w:tcPr>
            <w:tcW w:type="dxa" w:w="2183"/>
          </w:tcPr>
          <w:p>
            <w:pPr>
              <w:spacing w:before="40" w:after="40" w:line="276" w:lineRule="auto"/>
            </w:pPr>
            <w:r/>
            <w:r>
              <w:rPr>
                <w:rFonts w:ascii="Times New Roman" w:hAnsi="Times New Roman" w:eastAsia="宋体"/>
                <w:b w:val="0"/>
                <w:color w:val="1A1A1A"/>
                <w:sz w:val="18"/>
              </w:rPr>
              <w:t>第一阶段</w:t>
            </w:r>
          </w:p>
        </w:tc>
        <w:tc>
          <w:tcPr>
            <w:tcW w:type="dxa" w:w="2183"/>
          </w:tcPr>
          <w:p>
            <w:pPr>
              <w:spacing w:before="40" w:after="40" w:line="276" w:lineRule="auto"/>
            </w:pPr>
            <w:r/>
            <w:r>
              <w:rPr>
                <w:rFonts w:ascii="Times New Roman" w:hAnsi="Times New Roman" w:eastAsia="宋体"/>
                <w:b w:val="0"/>
                <w:color w:val="1A1A1A"/>
                <w:sz w:val="18"/>
              </w:rPr>
              <w:t>第 1—2 月</w:t>
            </w:r>
          </w:p>
        </w:tc>
        <w:tc>
          <w:tcPr>
            <w:tcW w:type="dxa" w:w="2183"/>
          </w:tcPr>
          <w:p>
            <w:pPr>
              <w:spacing w:before="40" w:after="40" w:line="276" w:lineRule="auto"/>
            </w:pPr>
            <w:r/>
            <w:r>
              <w:rPr>
                <w:rFonts w:ascii="Times New Roman" w:hAnsi="Times New Roman" w:eastAsia="宋体"/>
                <w:b w:val="0"/>
                <w:color w:val="1A1A1A"/>
                <w:sz w:val="18"/>
              </w:rPr>
              <w:t>四库导出、跨库匹配、冲突判定规则</w:t>
            </w:r>
          </w:p>
        </w:tc>
        <w:tc>
          <w:tcPr>
            <w:tcW w:type="dxa" w:w="2183"/>
          </w:tcPr>
          <w:p>
            <w:pPr>
              <w:spacing w:before="40" w:after="40" w:line="276" w:lineRule="auto"/>
            </w:pPr>
            <w:r/>
            <w:r>
              <w:rPr>
                <w:rFonts w:ascii="Times New Roman" w:hAnsi="Times New Roman" w:eastAsia="宋体"/>
                <w:b w:val="0"/>
                <w:color w:val="1A1A1A"/>
                <w:sz w:val="18"/>
              </w:rPr>
              <w:t>匹配率与冲突率可复核</w:t>
            </w:r>
          </w:p>
        </w:tc>
      </w:tr>
      <w:tr>
        <w:tc>
          <w:tcPr>
            <w:tcW w:type="dxa" w:w="2183"/>
          </w:tcPr>
          <w:p>
            <w:pPr>
              <w:spacing w:before="40" w:after="40" w:line="276" w:lineRule="auto"/>
            </w:pPr>
            <w:r/>
            <w:r>
              <w:rPr>
                <w:rFonts w:ascii="Times New Roman" w:hAnsi="Times New Roman" w:eastAsia="宋体"/>
                <w:b w:val="0"/>
                <w:color w:val="1A1A1A"/>
                <w:sz w:val="18"/>
              </w:rPr>
              <w:t>第二阶段</w:t>
            </w:r>
          </w:p>
        </w:tc>
        <w:tc>
          <w:tcPr>
            <w:tcW w:type="dxa" w:w="2183"/>
          </w:tcPr>
          <w:p>
            <w:pPr>
              <w:spacing w:before="40" w:after="40" w:line="276" w:lineRule="auto"/>
            </w:pPr>
            <w:r/>
            <w:r>
              <w:rPr>
                <w:rFonts w:ascii="Times New Roman" w:hAnsi="Times New Roman" w:eastAsia="宋体"/>
                <w:b w:val="0"/>
                <w:color w:val="1A1A1A"/>
                <w:sz w:val="18"/>
              </w:rPr>
              <w:t>第 3—4 月</w:t>
            </w:r>
          </w:p>
        </w:tc>
        <w:tc>
          <w:tcPr>
            <w:tcW w:type="dxa" w:w="2183"/>
          </w:tcPr>
          <w:p>
            <w:pPr>
              <w:spacing w:before="40" w:after="40" w:line="276" w:lineRule="auto"/>
            </w:pPr>
            <w:r/>
            <w:r>
              <w:rPr>
                <w:rFonts w:ascii="Times New Roman" w:hAnsi="Times New Roman" w:eastAsia="宋体"/>
                <w:b w:val="0"/>
                <w:color w:val="1A1A1A"/>
                <w:sz w:val="18"/>
              </w:rPr>
              <w:t>冲突基准构建、人工抽检</w:t>
            </w:r>
          </w:p>
        </w:tc>
        <w:tc>
          <w:tcPr>
            <w:tcW w:type="dxa" w:w="2183"/>
          </w:tcPr>
          <w:p>
            <w:pPr>
              <w:spacing w:before="40" w:after="40" w:line="276" w:lineRule="auto"/>
            </w:pPr>
            <w:r/>
            <w:r>
              <w:rPr>
                <w:rFonts w:ascii="Times New Roman" w:hAnsi="Times New Roman" w:eastAsia="宋体"/>
                <w:b w:val="0"/>
                <w:color w:val="1A1A1A"/>
                <w:sz w:val="18"/>
              </w:rPr>
              <w:t>抽检 200 组的判定准确率 &gt; 90%</w:t>
            </w:r>
          </w:p>
        </w:tc>
      </w:tr>
      <w:tr>
        <w:tc>
          <w:tcPr>
            <w:tcW w:type="dxa" w:w="2183"/>
          </w:tcPr>
          <w:p>
            <w:pPr>
              <w:spacing w:before="40" w:after="40" w:line="276" w:lineRule="auto"/>
            </w:pPr>
            <w:r/>
            <w:r>
              <w:rPr>
                <w:rFonts w:ascii="Times New Roman" w:hAnsi="Times New Roman" w:eastAsia="宋体"/>
                <w:b w:val="0"/>
                <w:color w:val="1A1A1A"/>
                <w:sz w:val="18"/>
              </w:rPr>
              <w:t>第三阶段</w:t>
            </w:r>
          </w:p>
        </w:tc>
        <w:tc>
          <w:tcPr>
            <w:tcW w:type="dxa" w:w="2183"/>
          </w:tcPr>
          <w:p>
            <w:pPr>
              <w:spacing w:before="40" w:after="40" w:line="276" w:lineRule="auto"/>
            </w:pPr>
            <w:r/>
            <w:r>
              <w:rPr>
                <w:rFonts w:ascii="Times New Roman" w:hAnsi="Times New Roman" w:eastAsia="宋体"/>
                <w:b w:val="0"/>
                <w:color w:val="1A1A1A"/>
                <w:sz w:val="18"/>
              </w:rPr>
              <w:t>第 5—6 月</w:t>
            </w:r>
          </w:p>
        </w:tc>
        <w:tc>
          <w:tcPr>
            <w:tcW w:type="dxa" w:w="2183"/>
          </w:tcPr>
          <w:p>
            <w:pPr>
              <w:spacing w:before="40" w:after="40" w:line="276" w:lineRule="auto"/>
            </w:pPr>
            <w:r/>
            <w:r>
              <w:rPr>
                <w:rFonts w:ascii="Times New Roman" w:hAnsi="Times New Roman" w:eastAsia="宋体"/>
                <w:b w:val="0"/>
                <w:color w:val="1A1A1A"/>
                <w:sz w:val="18"/>
              </w:rPr>
              <w:t>模型评测（检测/选边/条件化）</w:t>
            </w:r>
          </w:p>
        </w:tc>
        <w:tc>
          <w:tcPr>
            <w:tcW w:type="dxa" w:w="2183"/>
          </w:tcPr>
          <w:p>
            <w:pPr>
              <w:spacing w:before="40" w:after="40" w:line="276" w:lineRule="auto"/>
            </w:pPr>
            <w:r/>
            <w:r>
              <w:rPr>
                <w:rFonts w:ascii="Times New Roman" w:hAnsi="Times New Roman" w:eastAsia="宋体"/>
                <w:b w:val="0"/>
                <w:color w:val="1A1A1A"/>
                <w:sz w:val="18"/>
              </w:rPr>
              <w:t>得到基线数字</w:t>
            </w:r>
          </w:p>
        </w:tc>
      </w:tr>
      <w:tr>
        <w:tc>
          <w:tcPr>
            <w:tcW w:type="dxa" w:w="2183"/>
          </w:tcPr>
          <w:p>
            <w:pPr>
              <w:spacing w:before="40" w:after="40" w:line="276" w:lineRule="auto"/>
            </w:pPr>
            <w:r/>
            <w:r>
              <w:rPr>
                <w:rFonts w:ascii="Times New Roman" w:hAnsi="Times New Roman" w:eastAsia="宋体"/>
                <w:b w:val="0"/>
                <w:color w:val="1A1A1A"/>
                <w:sz w:val="18"/>
              </w:rPr>
              <w:t>第四阶段</w:t>
            </w:r>
          </w:p>
        </w:tc>
        <w:tc>
          <w:tcPr>
            <w:tcW w:type="dxa" w:w="2183"/>
          </w:tcPr>
          <w:p>
            <w:pPr>
              <w:spacing w:before="40" w:after="40" w:line="276" w:lineRule="auto"/>
            </w:pPr>
            <w:r/>
            <w:r>
              <w:rPr>
                <w:rFonts w:ascii="Times New Roman" w:hAnsi="Times New Roman" w:eastAsia="宋体"/>
                <w:b w:val="0"/>
                <w:color w:val="1A1A1A"/>
                <w:sz w:val="18"/>
              </w:rPr>
              <w:t>第 7—8 月</w:t>
            </w:r>
          </w:p>
        </w:tc>
        <w:tc>
          <w:tcPr>
            <w:tcW w:type="dxa" w:w="2183"/>
          </w:tcPr>
          <w:p>
            <w:pPr>
              <w:spacing w:before="40" w:after="40" w:line="276" w:lineRule="auto"/>
            </w:pPr>
            <w:r/>
            <w:r>
              <w:rPr>
                <w:rFonts w:ascii="Times New Roman" w:hAnsi="Times New Roman" w:eastAsia="宋体"/>
                <w:b w:val="0"/>
                <w:color w:val="1A1A1A"/>
                <w:sz w:val="18"/>
              </w:rPr>
              <w:t>冲突感知方法、消融</w:t>
            </w:r>
          </w:p>
        </w:tc>
        <w:tc>
          <w:tcPr>
            <w:tcW w:type="dxa" w:w="2183"/>
          </w:tcPr>
          <w:p>
            <w:pPr>
              <w:spacing w:before="40" w:after="40" w:line="276" w:lineRule="auto"/>
            </w:pPr>
            <w:r/>
            <w:r>
              <w:rPr>
                <w:rFonts w:ascii="Times New Roman" w:hAnsi="Times New Roman" w:eastAsia="宋体"/>
                <w:b w:val="0"/>
                <w:color w:val="1A1A1A"/>
                <w:sz w:val="18"/>
              </w:rPr>
              <w:t>相对 B3 有稳定增益</w:t>
            </w:r>
          </w:p>
        </w:tc>
      </w:tr>
      <w:tr>
        <w:tc>
          <w:tcPr>
            <w:tcW w:type="dxa" w:w="2183"/>
          </w:tcPr>
          <w:p>
            <w:pPr>
              <w:spacing w:before="40" w:after="40" w:line="276" w:lineRule="auto"/>
            </w:pPr>
            <w:r/>
            <w:r>
              <w:rPr>
                <w:rFonts w:ascii="Times New Roman" w:hAnsi="Times New Roman" w:eastAsia="宋体"/>
                <w:b w:val="0"/>
                <w:color w:val="1A1A1A"/>
                <w:sz w:val="18"/>
              </w:rPr>
              <w:t>第五阶段</w:t>
            </w:r>
          </w:p>
        </w:tc>
        <w:tc>
          <w:tcPr>
            <w:tcW w:type="dxa" w:w="2183"/>
          </w:tcPr>
          <w:p>
            <w:pPr>
              <w:spacing w:before="40" w:after="40" w:line="276" w:lineRule="auto"/>
            </w:pPr>
            <w:r/>
            <w:r>
              <w:rPr>
                <w:rFonts w:ascii="Times New Roman" w:hAnsi="Times New Roman" w:eastAsia="宋体"/>
                <w:b w:val="0"/>
                <w:color w:val="1A1A1A"/>
                <w:sz w:val="18"/>
              </w:rPr>
              <w:t>第 9—10 月</w:t>
            </w:r>
          </w:p>
        </w:tc>
        <w:tc>
          <w:tcPr>
            <w:tcW w:type="dxa" w:w="2183"/>
          </w:tcPr>
          <w:p>
            <w:pPr>
              <w:spacing w:before="40" w:after="40" w:line="276" w:lineRule="auto"/>
            </w:pPr>
            <w:r/>
            <w:r>
              <w:rPr>
                <w:rFonts w:ascii="Times New Roman" w:hAnsi="Times New Roman" w:eastAsia="宋体"/>
                <w:b w:val="0"/>
                <w:color w:val="1A1A1A"/>
                <w:sz w:val="18"/>
              </w:rPr>
              <w:t>论文撰写</w:t>
            </w:r>
          </w:p>
        </w:tc>
        <w:tc>
          <w:tcPr>
            <w:tcW w:type="dxa" w:w="2183"/>
          </w:tcPr>
          <w:p>
            <w:pPr>
              <w:spacing w:before="40" w:after="40" w:line="276" w:lineRule="auto"/>
            </w:pPr>
            <w:r/>
            <w:r>
              <w:rPr>
                <w:rFonts w:ascii="Times New Roman" w:hAnsi="Times New Roman" w:eastAsia="宋体"/>
                <w:b w:val="0"/>
                <w:color w:val="1A1A1A"/>
                <w:sz w:val="18"/>
              </w:rPr>
              <w:t>初稿完成</w:t>
            </w:r>
          </w:p>
        </w:tc>
      </w:tr>
      <w:tr>
        <w:tc>
          <w:tcPr>
            <w:tcW w:type="dxa" w:w="2183"/>
          </w:tcPr>
          <w:p>
            <w:pPr>
              <w:spacing w:before="40" w:after="40" w:line="276" w:lineRule="auto"/>
            </w:pPr>
            <w:r/>
            <w:r>
              <w:rPr>
                <w:rFonts w:ascii="Times New Roman" w:hAnsi="Times New Roman" w:eastAsia="宋体"/>
                <w:b w:val="0"/>
                <w:color w:val="1A1A1A"/>
                <w:sz w:val="18"/>
              </w:rPr>
              <w:t>第六阶段</w:t>
            </w:r>
          </w:p>
        </w:tc>
        <w:tc>
          <w:tcPr>
            <w:tcW w:type="dxa" w:w="2183"/>
          </w:tcPr>
          <w:p>
            <w:pPr>
              <w:spacing w:before="40" w:after="40" w:line="276" w:lineRule="auto"/>
            </w:pPr>
            <w:r/>
            <w:r>
              <w:rPr>
                <w:rFonts w:ascii="Times New Roman" w:hAnsi="Times New Roman" w:eastAsia="宋体"/>
                <w:b w:val="0"/>
                <w:color w:val="1A1A1A"/>
                <w:sz w:val="18"/>
              </w:rPr>
              <w:t>第 11—12 月</w:t>
            </w:r>
          </w:p>
        </w:tc>
        <w:tc>
          <w:tcPr>
            <w:tcW w:type="dxa" w:w="2183"/>
          </w:tcPr>
          <w:p>
            <w:pPr>
              <w:spacing w:before="40" w:after="40" w:line="276" w:lineRule="auto"/>
            </w:pPr>
            <w:r/>
            <w:r>
              <w:rPr>
                <w:rFonts w:ascii="Times New Roman" w:hAnsi="Times New Roman" w:eastAsia="宋体"/>
                <w:b w:val="0"/>
                <w:color w:val="1A1A1A"/>
                <w:sz w:val="18"/>
              </w:rPr>
              <w:t>投稿、修改、答辩</w:t>
            </w:r>
          </w:p>
        </w:tc>
        <w:tc>
          <w:tcPr>
            <w:tcW w:type="dxa" w:w="2183"/>
          </w:tcPr>
          <w:p>
            <w:pPr>
              <w:spacing w:before="40" w:after="40" w:line="276" w:lineRule="auto"/>
            </w:pPr>
            <w:r/>
            <w:r>
              <w:rPr>
                <w:rFonts w:ascii="Times New Roman" w:hAnsi="Times New Roman" w:eastAsia="宋体"/>
                <w:b w:val="0"/>
                <w:color w:val="1A1A1A"/>
                <w:sz w:val="18"/>
              </w:rPr>
              <w:t>论文投出，学位论文通过</w:t>
            </w:r>
          </w:p>
        </w:tc>
      </w:tr>
    </w:tbl>
    <w:p/>
    <w:p>
      <w:pPr>
        <w:spacing w:after="80"/>
        <w:ind w:firstLine="420"/>
      </w:pPr>
      <w:r>
        <w:rPr>
          <w:rFonts w:ascii="Times New Roman" w:hAnsi="Times New Roman" w:eastAsia="宋体"/>
          <w:b/>
          <w:color w:val="1A1A1A"/>
          <w:sz w:val="21"/>
        </w:rPr>
        <w:t>阶段判据。</w:t>
      </w:r>
      <w:r>
        <w:rPr>
          <w:rFonts w:ascii="Times New Roman" w:hAnsi="Times New Roman" w:eastAsia="宋体"/>
          <w:b w:val="0"/>
          <w:color w:val="1A1A1A"/>
          <w:sz w:val="21"/>
        </w:rPr>
        <w:t xml:space="preserve"> 第 2 月末检查：如果跨库匹配率过低（例如低于 30%），说明三级对齐规则不适用，需要退回两级或更换数据库组合。</w:t>
      </w:r>
    </w:p>
    <w:p>
      <w:pPr>
        <w:spacing w:before="320" w:after="120"/>
      </w:pPr>
      <w:r>
        <w:rPr>
          <w:rFonts w:ascii="Times New Roman" w:hAnsi="Times New Roman" w:eastAsia="黑体"/>
          <w:b/>
          <w:color w:val="1B3A52"/>
          <w:sz w:val="30"/>
        </w:rPr>
        <w:t>9 研究基础与条件</w:t>
      </w:r>
    </w:p>
    <w:p>
      <w:pPr>
        <w:spacing w:after="80"/>
        <w:ind w:firstLine="420"/>
      </w:pPr>
      <w:r>
        <w:rPr>
          <w:rFonts w:ascii="Times New Roman" w:hAnsi="Times New Roman" w:eastAsia="宋体"/>
          <w:b w:val="0"/>
          <w:color w:val="1A1A1A"/>
          <w:sz w:val="21"/>
        </w:rPr>
        <w:t>本人为计算机科学与技术专业硕士研究生，具备 Python 与 PyTorch 编程能力，熟悉数据处理与模型评测流程，能够完成数据库导出、跨库匹配与评测脚本编写。</w:t>
      </w:r>
    </w:p>
    <w:p>
      <w:pPr>
        <w:spacing w:after="80"/>
        <w:ind w:firstLine="420"/>
      </w:pPr>
      <w:r>
        <w:rPr>
          <w:rFonts w:ascii="Times New Roman" w:hAnsi="Times New Roman" w:eastAsia="宋体"/>
          <w:b w:val="0"/>
          <w:color w:val="1A1A1A"/>
          <w:sz w:val="21"/>
        </w:rPr>
        <w:t>算力条件为单张 RTX 5090（32 GB 显存），足以支撑 8B 模型的推理与 LoRA 微调；闭源模型通过 API 调用。四个数据库均可公开获取或通过 API 访问。</w:t>
      </w:r>
    </w:p>
    <w:p>
      <w:pPr>
        <w:spacing w:after="80"/>
        <w:ind w:firstLine="420"/>
      </w:pPr>
      <w:r>
        <w:rPr>
          <w:rFonts w:ascii="Times New Roman" w:hAnsi="Times New Roman" w:eastAsia="宋体"/>
          <w:b w:val="0"/>
          <w:color w:val="1A1A1A"/>
          <w:sz w:val="21"/>
        </w:rPr>
        <w:t>尚未完成的准备工作包括：各数据库的许可与导出限制确认、跨库匹配的原型对齐规则细化、以及冲突判定阈值的人工校准。</w:t>
      </w:r>
    </w:p>
    <w:p>
      <w:pPr>
        <w:spacing w:before="320" w:after="120"/>
      </w:pPr>
      <w:r>
        <w:rPr>
          <w:rFonts w:ascii="Times New Roman" w:hAnsi="Times New Roman" w:eastAsia="黑体"/>
          <w:b/>
          <w:color w:val="1B3A52"/>
          <w:sz w:val="30"/>
        </w:rPr>
        <w:t>10 可行性分析</w:t>
      </w:r>
    </w:p>
    <w:p>
      <w:pPr>
        <w:spacing w:after="80"/>
        <w:ind w:firstLine="420"/>
      </w:pPr>
      <w:r>
        <w:rPr>
          <w:rFonts w:ascii="Times New Roman" w:hAnsi="Times New Roman" w:eastAsia="宋体"/>
          <w:b/>
          <w:color w:val="1A1A1A"/>
          <w:sz w:val="21"/>
        </w:rPr>
        <w:t>数据可行性。</w:t>
      </w:r>
      <w:r>
        <w:rPr>
          <w:rFonts w:ascii="Times New Roman" w:hAnsi="Times New Roman" w:eastAsia="宋体"/>
          <w:b w:val="0"/>
          <w:color w:val="1A1A1A"/>
          <w:sz w:val="21"/>
        </w:rPr>
        <w:t xml:space="preserve"> 四个数据库均公开，跨库匹配所需字段（成分、空间群、形成能、带隙）齐全。</w:t>
      </w:r>
    </w:p>
    <w:p>
      <w:pPr>
        <w:spacing w:after="80"/>
        <w:ind w:firstLine="420"/>
      </w:pPr>
      <w:r>
        <w:rPr>
          <w:rFonts w:ascii="Times New Roman" w:hAnsi="Times New Roman" w:eastAsia="宋体"/>
          <w:b/>
          <w:color w:val="1A1A1A"/>
          <w:sz w:val="21"/>
        </w:rPr>
        <w:t>方法可行性。</w:t>
      </w:r>
      <w:r>
        <w:rPr>
          <w:rFonts w:ascii="Times New Roman" w:hAnsi="Times New Roman" w:eastAsia="宋体"/>
          <w:b w:val="0"/>
          <w:color w:val="1A1A1A"/>
          <w:sz w:val="21"/>
        </w:rPr>
        <w:t xml:space="preserve"> 冲突检测与条件化输出都可以在现有模型上用提示工程实现零样本版本，再用微调提升。</w:t>
      </w:r>
    </w:p>
    <w:p>
      <w:pPr>
        <w:spacing w:after="80"/>
        <w:ind w:firstLine="420"/>
      </w:pPr>
      <w:r>
        <w:rPr>
          <w:rFonts w:ascii="Times New Roman" w:hAnsi="Times New Roman" w:eastAsia="宋体"/>
          <w:b/>
          <w:color w:val="1A1A1A"/>
          <w:sz w:val="21"/>
        </w:rPr>
        <w:t>时间可行性。</w:t>
      </w:r>
      <w:r>
        <w:rPr>
          <w:rFonts w:ascii="Times New Roman" w:hAnsi="Times New Roman" w:eastAsia="宋体"/>
          <w:b w:val="0"/>
          <w:color w:val="1A1A1A"/>
          <w:sz w:val="21"/>
        </w:rPr>
        <w:t xml:space="preserve"> 前四个月完成数据与基准，中间四个月做方法与实验，后四个月写作。</w:t>
      </w:r>
    </w:p>
    <w:p>
      <w:pPr>
        <w:spacing w:after="80"/>
        <w:ind w:firstLine="420"/>
      </w:pPr>
      <w:r>
        <w:rPr>
          <w:rFonts w:ascii="Times New Roman" w:hAnsi="Times New Roman" w:eastAsia="宋体"/>
          <w:b/>
          <w:color w:val="1A1A1A"/>
          <w:sz w:val="21"/>
        </w:rPr>
        <w:t>主要不确定性。</w:t>
      </w:r>
      <w:r>
        <w:rPr>
          <w:rFonts w:ascii="Times New Roman" w:hAnsi="Times New Roman" w:eastAsia="宋体"/>
          <w:b w:val="0"/>
          <w:color w:val="1A1A1A"/>
          <w:sz w:val="21"/>
        </w:rPr>
        <w:t xml:space="preserve"> 最大风险是「冲突基准的判定是否站得住」。这需要人工抽检，并在论文中公开判定规则与抽检结果。</w:t>
      </w:r>
    </w:p>
    <w:p>
      <w:pPr>
        <w:spacing w:before="320" w:after="120"/>
      </w:pPr>
      <w:r>
        <w:rPr>
          <w:rFonts w:ascii="Times New Roman" w:hAnsi="Times New Roman" w:eastAsia="黑体"/>
          <w:b/>
          <w:color w:val="1B3A52"/>
          <w:sz w:val="30"/>
        </w:rPr>
        <w:t>11 风险、退出条件与应对</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spacing w:before="40" w:after="40" w:line="276" w:lineRule="auto"/>
            </w:pPr>
            <w:r/>
            <w:r>
              <w:rPr>
                <w:rFonts w:ascii="Times New Roman" w:hAnsi="Times New Roman" w:eastAsia="宋体"/>
                <w:b/>
                <w:color w:val="1A1A1A"/>
                <w:sz w:val="18"/>
              </w:rPr>
              <w:t>风险</w:t>
            </w:r>
          </w:p>
        </w:tc>
        <w:tc>
          <w:tcPr>
            <w:tcW w:type="dxa" w:w="2911"/>
          </w:tcPr>
          <w:p>
            <w:pPr>
              <w:spacing w:before="40" w:after="40" w:line="276" w:lineRule="auto"/>
            </w:pPr>
            <w:r/>
            <w:r>
              <w:rPr>
                <w:rFonts w:ascii="Times New Roman" w:hAnsi="Times New Roman" w:eastAsia="宋体"/>
                <w:b/>
                <w:color w:val="1A1A1A"/>
                <w:sz w:val="18"/>
              </w:rPr>
              <w:t>表现</w:t>
            </w:r>
          </w:p>
        </w:tc>
        <w:tc>
          <w:tcPr>
            <w:tcW w:type="dxa" w:w="2911"/>
          </w:tcPr>
          <w:p>
            <w:pPr>
              <w:spacing w:before="40" w:after="40" w:line="276" w:lineRule="auto"/>
            </w:pPr>
            <w:r/>
            <w:r>
              <w:rPr>
                <w:rFonts w:ascii="Times New Roman" w:hAnsi="Times New Roman" w:eastAsia="宋体"/>
                <w:b/>
                <w:color w:val="1A1A1A"/>
                <w:sz w:val="18"/>
              </w:rPr>
              <w:t>应对</w:t>
            </w:r>
          </w:p>
        </w:tc>
      </w:tr>
      <w:tr>
        <w:tc>
          <w:tcPr>
            <w:tcW w:type="dxa" w:w="2911"/>
          </w:tcPr>
          <w:p>
            <w:pPr>
              <w:spacing w:before="40" w:after="40" w:line="276" w:lineRule="auto"/>
            </w:pPr>
            <w:r/>
            <w:r>
              <w:rPr>
                <w:rFonts w:ascii="Times New Roman" w:hAnsi="Times New Roman" w:eastAsia="宋体"/>
                <w:b w:val="0"/>
                <w:color w:val="1A1A1A"/>
                <w:sz w:val="18"/>
              </w:rPr>
              <w:t>跨库匹配率低</w:t>
            </w:r>
          </w:p>
        </w:tc>
        <w:tc>
          <w:tcPr>
            <w:tcW w:type="dxa" w:w="2911"/>
          </w:tcPr>
          <w:p>
            <w:pPr>
              <w:spacing w:before="40" w:after="40" w:line="276" w:lineRule="auto"/>
            </w:pPr>
            <w:r/>
            <w:r>
              <w:rPr>
                <w:rFonts w:ascii="Times New Roman" w:hAnsi="Times New Roman" w:eastAsia="宋体"/>
                <w:b w:val="0"/>
                <w:color w:val="1A1A1A"/>
                <w:sz w:val="18"/>
              </w:rPr>
              <w:t>大量成分无法对齐</w:t>
            </w:r>
          </w:p>
        </w:tc>
        <w:tc>
          <w:tcPr>
            <w:tcW w:type="dxa" w:w="2911"/>
          </w:tcPr>
          <w:p>
            <w:pPr>
              <w:spacing w:before="40" w:after="40" w:line="276" w:lineRule="auto"/>
            </w:pPr>
            <w:r/>
            <w:r>
              <w:rPr>
                <w:rFonts w:ascii="Times New Roman" w:hAnsi="Times New Roman" w:eastAsia="宋体"/>
                <w:b w:val="0"/>
                <w:color w:val="1A1A1A"/>
                <w:sz w:val="18"/>
              </w:rPr>
              <w:t>退回成分 + 空间群两级对齐，或换数据库组合</w:t>
            </w:r>
          </w:p>
        </w:tc>
      </w:tr>
      <w:tr>
        <w:tc>
          <w:tcPr>
            <w:tcW w:type="dxa" w:w="2911"/>
          </w:tcPr>
          <w:p>
            <w:pPr>
              <w:spacing w:before="40" w:after="40" w:line="276" w:lineRule="auto"/>
            </w:pPr>
            <w:r/>
            <w:r>
              <w:rPr>
                <w:rFonts w:ascii="Times New Roman" w:hAnsi="Times New Roman" w:eastAsia="宋体"/>
                <w:b w:val="0"/>
                <w:color w:val="1A1A1A"/>
                <w:sz w:val="18"/>
              </w:rPr>
              <w:t>冲突判定争议</w:t>
            </w:r>
          </w:p>
        </w:tc>
        <w:tc>
          <w:tcPr>
            <w:tcW w:type="dxa" w:w="2911"/>
          </w:tcPr>
          <w:p>
            <w:pPr>
              <w:spacing w:before="40" w:after="40" w:line="276" w:lineRule="auto"/>
            </w:pPr>
            <w:r/>
            <w:r>
              <w:rPr>
                <w:rFonts w:ascii="Times New Roman" w:hAnsi="Times New Roman" w:eastAsia="宋体"/>
                <w:b w:val="0"/>
                <w:color w:val="1A1A1A"/>
                <w:sz w:val="18"/>
              </w:rPr>
              <w:t>审稿人认为某些「冲突」其实是不同条件</w:t>
            </w:r>
          </w:p>
        </w:tc>
        <w:tc>
          <w:tcPr>
            <w:tcW w:type="dxa" w:w="2911"/>
          </w:tcPr>
          <w:p>
            <w:pPr>
              <w:spacing w:before="40" w:after="40" w:line="276" w:lineRule="auto"/>
            </w:pPr>
            <w:r/>
            <w:r>
              <w:rPr>
                <w:rFonts w:ascii="Times New Roman" w:hAnsi="Times New Roman" w:eastAsia="宋体"/>
                <w:b w:val="0"/>
                <w:color w:val="1A1A1A"/>
                <w:sz w:val="18"/>
              </w:rPr>
              <w:t>公开条件元数据，把「无可比条件」的条目排除</w:t>
            </w:r>
          </w:p>
        </w:tc>
      </w:tr>
      <w:tr>
        <w:tc>
          <w:tcPr>
            <w:tcW w:type="dxa" w:w="2911"/>
          </w:tcPr>
          <w:p>
            <w:pPr>
              <w:spacing w:before="40" w:after="40" w:line="276" w:lineRule="auto"/>
            </w:pPr>
            <w:r/>
            <w:r>
              <w:rPr>
                <w:rFonts w:ascii="Times New Roman" w:hAnsi="Times New Roman" w:eastAsia="宋体"/>
                <w:b w:val="0"/>
                <w:color w:val="1A1A1A"/>
                <w:sz w:val="18"/>
              </w:rPr>
              <w:t>模型全部失败</w:t>
            </w:r>
          </w:p>
        </w:tc>
        <w:tc>
          <w:tcPr>
            <w:tcW w:type="dxa" w:w="2911"/>
          </w:tcPr>
          <w:p>
            <w:pPr>
              <w:spacing w:before="40" w:after="40" w:line="276" w:lineRule="auto"/>
            </w:pPr>
            <w:r/>
            <w:r>
              <w:rPr>
                <w:rFonts w:ascii="Times New Roman" w:hAnsi="Times New Roman" w:eastAsia="宋体"/>
                <w:b w:val="0"/>
                <w:color w:val="1A1A1A"/>
                <w:sz w:val="18"/>
              </w:rPr>
              <w:t>所有模型都不报告冲突</w:t>
            </w:r>
          </w:p>
        </w:tc>
        <w:tc>
          <w:tcPr>
            <w:tcW w:type="dxa" w:w="2911"/>
          </w:tcPr>
          <w:p>
            <w:pPr>
              <w:spacing w:before="40" w:after="40" w:line="276" w:lineRule="auto"/>
            </w:pPr>
            <w:r/>
            <w:r>
              <w:rPr>
                <w:rFonts w:ascii="Times New Roman" w:hAnsi="Times New Roman" w:eastAsia="宋体"/>
                <w:b w:val="0"/>
                <w:color w:val="1A1A1A"/>
                <w:sz w:val="18"/>
              </w:rPr>
              <w:t>这本身是有价值的发现，转为「能力缺失分析」</w:t>
            </w:r>
          </w:p>
        </w:tc>
      </w:tr>
      <w:tr>
        <w:tc>
          <w:tcPr>
            <w:tcW w:type="dxa" w:w="2911"/>
          </w:tcPr>
          <w:p>
            <w:pPr>
              <w:spacing w:before="40" w:after="40" w:line="276" w:lineRule="auto"/>
            </w:pPr>
            <w:r/>
            <w:r>
              <w:rPr>
                <w:rFonts w:ascii="Times New Roman" w:hAnsi="Times New Roman" w:eastAsia="宋体"/>
                <w:b w:val="0"/>
                <w:color w:val="1A1A1A"/>
                <w:sz w:val="18"/>
              </w:rPr>
              <w:t>基准被质疑为「人工构造」</w:t>
            </w:r>
          </w:p>
        </w:tc>
        <w:tc>
          <w:tcPr>
            <w:tcW w:type="dxa" w:w="2911"/>
          </w:tcPr>
          <w:p>
            <w:pPr>
              <w:spacing w:before="40" w:after="40" w:line="276" w:lineRule="auto"/>
            </w:pPr>
            <w:r/>
            <w:r>
              <w:rPr>
                <w:rFonts w:ascii="Times New Roman" w:hAnsi="Times New Roman" w:eastAsia="宋体"/>
                <w:b w:val="0"/>
                <w:color w:val="1A1A1A"/>
                <w:sz w:val="18"/>
              </w:rPr>
              <w:t>审稿人认为冲突不自然</w:t>
            </w:r>
          </w:p>
        </w:tc>
        <w:tc>
          <w:tcPr>
            <w:tcW w:type="dxa" w:w="2911"/>
          </w:tcPr>
          <w:p>
            <w:pPr>
              <w:spacing w:before="40" w:after="40" w:line="276" w:lineRule="auto"/>
            </w:pPr>
            <w:r/>
            <w:r>
              <w:rPr>
                <w:rFonts w:ascii="Times New Roman" w:hAnsi="Times New Roman" w:eastAsia="宋体"/>
                <w:b w:val="0"/>
                <w:color w:val="1A1A1A"/>
                <w:sz w:val="18"/>
              </w:rPr>
              <w:t>全部冲突来自真实数据库差异，不做人工编造</w:t>
            </w:r>
          </w:p>
        </w:tc>
      </w:tr>
      <w:tr>
        <w:tc>
          <w:tcPr>
            <w:tcW w:type="dxa" w:w="2911"/>
          </w:tcPr>
          <w:p>
            <w:pPr>
              <w:spacing w:before="40" w:after="40" w:line="276" w:lineRule="auto"/>
            </w:pPr>
            <w:r/>
            <w:r>
              <w:rPr>
                <w:rFonts w:ascii="Times New Roman" w:hAnsi="Times New Roman" w:eastAsia="宋体"/>
                <w:b w:val="0"/>
                <w:color w:val="1A1A1A"/>
                <w:sz w:val="18"/>
              </w:rPr>
              <w:t>条件化输出难以自动评分</w:t>
            </w:r>
          </w:p>
        </w:tc>
        <w:tc>
          <w:tcPr>
            <w:tcW w:type="dxa" w:w="2911"/>
          </w:tcPr>
          <w:p>
            <w:pPr>
              <w:spacing w:before="40" w:after="40" w:line="276" w:lineRule="auto"/>
            </w:pPr>
            <w:r/>
            <w:r>
              <w:rPr>
                <w:rFonts w:ascii="Times New Roman" w:hAnsi="Times New Roman" w:eastAsia="宋体"/>
                <w:b w:val="0"/>
                <w:color w:val="1A1A1A"/>
                <w:sz w:val="18"/>
              </w:rPr>
              <w:t>自由文本无法精确匹配</w:t>
            </w:r>
          </w:p>
        </w:tc>
        <w:tc>
          <w:tcPr>
            <w:tcW w:type="dxa" w:w="2911"/>
          </w:tcPr>
          <w:p>
            <w:pPr>
              <w:spacing w:before="40" w:after="40" w:line="276" w:lineRule="auto"/>
            </w:pPr>
            <w:r/>
            <w:r>
              <w:rPr>
                <w:rFonts w:ascii="Times New Roman" w:hAnsi="Times New Roman" w:eastAsia="宋体"/>
                <w:b w:val="0"/>
                <w:color w:val="1A1A1A"/>
                <w:sz w:val="18"/>
              </w:rPr>
              <w:t>设计结构化输出格式，用规则评分 + 人工抽检</w:t>
            </w:r>
          </w:p>
        </w:tc>
      </w:tr>
    </w:tbl>
    <w:p/>
    <w:p>
      <w:pPr>
        <w:spacing w:after="80"/>
        <w:ind w:firstLine="420"/>
      </w:pPr>
      <w:r>
        <w:rPr>
          <w:rFonts w:ascii="Times New Roman" w:hAnsi="Times New Roman" w:eastAsia="宋体"/>
          <w:b/>
          <w:color w:val="1A1A1A"/>
          <w:sz w:val="21"/>
        </w:rPr>
        <w:t>方向退出条件。</w:t>
      </w:r>
      <w:r>
        <w:rPr>
          <w:rFonts w:ascii="Times New Roman" w:hAnsi="Times New Roman" w:eastAsia="宋体"/>
          <w:b w:val="0"/>
          <w:color w:val="1A1A1A"/>
          <w:sz w:val="21"/>
        </w:rPr>
        <w:t xml:space="preserve"> 满足以下任一条件时停止当前方向：</w:t>
      </w:r>
    </w:p>
    <w:p>
      <w:pPr>
        <w:spacing w:after="80"/>
        <w:ind w:firstLine="420"/>
      </w:pPr>
      <w:r>
        <w:rPr>
          <w:rFonts w:ascii="Times New Roman" w:hAnsi="Times New Roman" w:eastAsia="宋体"/>
          <w:b w:val="0"/>
          <w:color w:val="1A1A1A"/>
          <w:sz w:val="21"/>
        </w:rPr>
        <w:t>1. 第 2 月末，跨库匹配率持续低于 30%，且放宽规则后冲突对数量不足以支撑评测；</w:t>
      </w:r>
    </w:p>
    <w:p>
      <w:pPr>
        <w:spacing w:after="80"/>
        <w:ind w:firstLine="420"/>
      </w:pPr>
      <w:r>
        <w:rPr>
          <w:rFonts w:ascii="Times New Roman" w:hAnsi="Times New Roman" w:eastAsia="宋体"/>
          <w:b w:val="0"/>
          <w:color w:val="1A1A1A"/>
          <w:sz w:val="21"/>
        </w:rPr>
        <w:t>2. 第 4 月末，人工抽检的冲突判定准确率低于 80%，说明判定规则不可靠；</w:t>
      </w:r>
    </w:p>
    <w:p>
      <w:pPr>
        <w:spacing w:after="80"/>
        <w:ind w:firstLine="420"/>
      </w:pPr>
      <w:r>
        <w:rPr>
          <w:rFonts w:ascii="Times New Roman" w:hAnsi="Times New Roman" w:eastAsia="宋体"/>
          <w:b w:val="0"/>
          <w:color w:val="1A1A1A"/>
          <w:sz w:val="21"/>
        </w:rPr>
        <w:t>3. 第 6 月末，所有模型在冲突检测上接近零分且无改进空间，说明任务设置有问题。</w:t>
      </w:r>
    </w:p>
    <w:p>
      <w:pPr>
        <w:spacing w:before="320" w:after="120"/>
      </w:pPr>
      <w:r>
        <w:rPr>
          <w:rFonts w:ascii="Times New Roman" w:hAnsi="Times New Roman" w:eastAsia="黑体"/>
          <w:b/>
          <w:color w:val="1B3A52"/>
          <w:sz w:val="30"/>
        </w:rPr>
        <w:t>参考文献</w:t>
      </w:r>
    </w:p>
    <w:p>
      <w:pPr>
        <w:spacing w:after="80"/>
        <w:ind w:firstLine="420"/>
      </w:pPr>
      <w:r>
        <w:rPr>
          <w:rFonts w:ascii="Times New Roman" w:hAnsi="Times New Roman" w:eastAsia="宋体"/>
          <w:b w:val="0"/>
          <w:color w:val="1A1A1A"/>
          <w:sz w:val="21"/>
        </w:rPr>
        <w:t xml:space="preserve">[1] How Much Do Materials Databases Disagree? Materials Project vs JARVIS vs AFLOW vs OQMD. LatticeGraph Atlas, 2026. </w:t>
      </w:r>
      <w:r>
        <w:rPr>
          <w:rFonts w:ascii="Times New Roman" w:hAnsi="Times New Roman" w:eastAsia="宋体"/>
          <w:b w:val="0"/>
          <w:color w:val="1F4E79"/>
          <w:sz w:val="19"/>
        </w:rPr>
        <w:t>https://latticegraph.com/atlas/dft-database-disagreement</w:t>
      </w:r>
    </w:p>
    <w:p>
      <w:pPr>
        <w:spacing w:after="80"/>
        <w:ind w:firstLine="420"/>
      </w:pPr>
      <w:r>
        <w:rPr>
          <w:rFonts w:ascii="Times New Roman" w:hAnsi="Times New Roman" w:eastAsia="宋体"/>
          <w:b w:val="0"/>
          <w:color w:val="1A1A1A"/>
          <w:sz w:val="21"/>
        </w:rPr>
        <w:t xml:space="preserve">[2] Chen Y, et al. ConflictBank: A Benchmark for Evaluating the Influence of Knowledge Conflicts in LLM. arXiv:2408.12076, 2024. </w:t>
      </w:r>
      <w:r>
        <w:rPr>
          <w:rFonts w:ascii="Times New Roman" w:hAnsi="Times New Roman" w:eastAsia="宋体"/>
          <w:b w:val="0"/>
          <w:color w:val="1F4E79"/>
          <w:sz w:val="19"/>
        </w:rPr>
        <w:t>https://arxiv.org/html/2408.12076</w:t>
      </w:r>
    </w:p>
    <w:p>
      <w:pPr>
        <w:spacing w:after="80"/>
        <w:ind w:firstLine="420"/>
      </w:pPr>
      <w:r>
        <w:rPr>
          <w:rFonts w:ascii="Times New Roman" w:hAnsi="Times New Roman" w:eastAsia="宋体"/>
          <w:b w:val="0"/>
          <w:color w:val="1A1A1A"/>
          <w:sz w:val="21"/>
        </w:rPr>
        <w:t xml:space="preserve">[3] Who's Who: Large Language Models Meet Knowledge Conflicts in Practice. arXiv:2410.15737, 2024. </w:t>
      </w:r>
      <w:r>
        <w:rPr>
          <w:rFonts w:ascii="Times New Roman" w:hAnsi="Times New Roman" w:eastAsia="宋体"/>
          <w:b w:val="0"/>
          <w:color w:val="1F4E79"/>
          <w:sz w:val="19"/>
        </w:rPr>
        <w:t>https://arxiv.org/html/2410.15737v1</w:t>
      </w:r>
    </w:p>
    <w:p>
      <w:pPr>
        <w:spacing w:after="80"/>
        <w:ind w:firstLine="420"/>
      </w:pPr>
      <w:r>
        <w:rPr>
          <w:rFonts w:ascii="Times New Roman" w:hAnsi="Times New Roman" w:eastAsia="宋体"/>
          <w:b w:val="0"/>
          <w:color w:val="1A1A1A"/>
          <w:sz w:val="21"/>
        </w:rPr>
        <w:t xml:space="preserve">[4] KC-Bench: A Dynamic Interactive Benchmark for Evaluating Knowledge Conflicts in LLM Agents. arXiv:2609.03588, 2026. </w:t>
      </w:r>
      <w:r>
        <w:rPr>
          <w:rFonts w:ascii="Times New Roman" w:hAnsi="Times New Roman" w:eastAsia="宋体"/>
          <w:b w:val="0"/>
          <w:color w:val="1F4E79"/>
          <w:sz w:val="19"/>
        </w:rPr>
        <w:t>https://arxiv.org/pdf/2609.03588</w:t>
      </w:r>
    </w:p>
    <w:p>
      <w:pPr>
        <w:spacing w:after="80"/>
        <w:ind w:firstLine="420"/>
      </w:pPr>
      <w:r>
        <w:rPr>
          <w:rFonts w:ascii="Times New Roman" w:hAnsi="Times New Roman" w:eastAsia="宋体"/>
          <w:b w:val="0"/>
          <w:color w:val="1A1A1A"/>
          <w:sz w:val="21"/>
        </w:rPr>
        <w:t xml:space="preserve">[5] Tracking the Limits of Knowledge Propagation: How LLMs Fail at Multi-Step Reasoning with Conflicting Knowledge. arXiv:2601.15495, 2026. </w:t>
      </w:r>
      <w:r>
        <w:rPr>
          <w:rFonts w:ascii="Times New Roman" w:hAnsi="Times New Roman" w:eastAsia="宋体"/>
          <w:b w:val="0"/>
          <w:color w:val="1F4E79"/>
          <w:sz w:val="19"/>
        </w:rPr>
        <w:t>https://arxiv.org/pdf/2601.15495v1</w:t>
      </w:r>
    </w:p>
    <w:p>
      <w:pPr>
        <w:spacing w:after="80"/>
        <w:ind w:firstLine="420"/>
      </w:pPr>
      <w:r>
        <w:rPr>
          <w:rFonts w:ascii="Times New Roman" w:hAnsi="Times New Roman" w:eastAsia="宋体"/>
          <w:b w:val="0"/>
          <w:color w:val="1A1A1A"/>
          <w:sz w:val="21"/>
        </w:rPr>
        <w:t>[6] 宿彦京, 付华栋, 白洋, 姜雪, 谢建新. 中国材料基因工程研究进展. 金属学报, 2020, 56(10): 1313–1323.</w:t>
      </w:r>
    </w:p>
    <w:p>
      <w:pPr>
        <w:spacing w:after="80"/>
        <w:ind w:firstLine="420"/>
      </w:pPr>
      <w:r>
        <w:rPr>
          <w:rFonts w:ascii="Times New Roman" w:hAnsi="Times New Roman" w:eastAsia="宋体"/>
          <w:b w:val="0"/>
          <w:color w:val="1A1A1A"/>
          <w:sz w:val="21"/>
        </w:rPr>
        <w:t>[7] 刘章赫, 陈新宇, 周跫桦, 王金兰. 目标性质导向的材料生成: 迈向按需构筑的材料逆向设计. 物理学报, 2025, 74(24): 240701.</w:t>
      </w:r>
    </w:p>
    <w:p>
      <w:pPr>
        <w:spacing w:after="80"/>
        <w:ind w:firstLine="420"/>
      </w:pPr>
      <w:r>
        <w:rPr>
          <w:rFonts w:ascii="Times New Roman" w:hAnsi="Times New Roman" w:eastAsia="宋体"/>
          <w:b w:val="0"/>
          <w:color w:val="1A1A1A"/>
          <w:sz w:val="21"/>
        </w:rPr>
        <w:t xml:space="preserve">[8] Disentangling Reasoning Logic to Resolve Explicit Knowledge Conflicts. arXiv:2508.01273, 2025. </w:t>
      </w:r>
      <w:r>
        <w:rPr>
          <w:rFonts w:ascii="Times New Roman" w:hAnsi="Times New Roman" w:eastAsia="宋体"/>
          <w:b w:val="0"/>
          <w:color w:val="1F4E79"/>
          <w:sz w:val="19"/>
        </w:rPr>
        <w:t>https://arxiv.org/html/2508.01273v3</w:t>
      </w:r>
    </w:p>
    <w:p>
      <w:pPr>
        <w:spacing w:after="80"/>
        <w:ind w:firstLine="420"/>
      </w:pPr>
      <w:r>
        <w:rPr>
          <w:rFonts w:ascii="Times New Roman" w:hAnsi="Times New Roman" w:eastAsia="宋体"/>
          <w:b w:val="0"/>
          <w:color w:val="1A1A1A"/>
          <w:sz w:val="21"/>
        </w:rPr>
        <w:t xml:space="preserve">[9] MATCOR, a program for the cross-validation of material properties between databases. Computational Materials Science, 2021. </w:t>
      </w:r>
      <w:r>
        <w:rPr>
          <w:rFonts w:ascii="Times New Roman" w:hAnsi="Times New Roman" w:eastAsia="宋体"/>
          <w:b w:val="0"/>
          <w:color w:val="1F4E79"/>
          <w:sz w:val="19"/>
        </w:rPr>
        <w:t>https://sciencedirect.com/science/article/pii/S0927025620305942</w:t>
      </w:r>
    </w:p>
    <w:p>
      <w:pPr>
        <w:spacing w:after="80"/>
        <w:ind w:firstLine="420"/>
      </w:pPr>
      <w:r>
        <w:rPr>
          <w:rFonts w:ascii="Times New Roman" w:hAnsi="Times New Roman" w:eastAsia="宋体"/>
          <w:b w:val="0"/>
          <w:color w:val="1A1A1A"/>
          <w:sz w:val="21"/>
        </w:rPr>
        <w:t xml:space="preserve">[10] Physics as the label for measuring and correcting materials reasoning in multimodal models. arXiv:2609.12181, 2026. </w:t>
      </w:r>
      <w:r>
        <w:rPr>
          <w:rFonts w:ascii="Times New Roman" w:hAnsi="Times New Roman" w:eastAsia="宋体"/>
          <w:b w:val="0"/>
          <w:color w:val="1F4E79"/>
          <w:sz w:val="19"/>
        </w:rPr>
        <w:t>https://arxiv.org/html/2609.12181</w:t>
      </w:r>
    </w:p>
    <w:p>
      <w:pPr>
        <w:spacing w:after="80"/>
        <w:ind w:firstLine="420"/>
      </w:pPr>
      <w:r>
        <w:rPr>
          <w:rFonts w:ascii="Times New Roman" w:hAnsi="Times New Roman" w:eastAsia="宋体"/>
          <w:b w:val="0"/>
          <w:color w:val="1A1A1A"/>
          <w:sz w:val="21"/>
        </w:rPr>
        <w:t xml:space="preserve">[11] Grounded verification of chemical and materials reasoning: detection is the bottleneck. arXiv:2607.17417, 2026. </w:t>
      </w:r>
      <w:r>
        <w:rPr>
          <w:rFonts w:ascii="Times New Roman" w:hAnsi="Times New Roman" w:eastAsia="宋体"/>
          <w:b w:val="0"/>
          <w:color w:val="1F4E79"/>
          <w:sz w:val="19"/>
        </w:rPr>
        <w:t>https://arxiv.org/abs/2607.17417</w:t>
      </w:r>
    </w:p>
    <w:p>
      <w:pPr>
        <w:spacing w:before="320" w:after="120"/>
      </w:pPr>
      <w:r>
        <w:rPr>
          <w:rFonts w:ascii="Times New Roman" w:hAnsi="Times New Roman" w:eastAsia="黑体"/>
          <w:b/>
          <w:color w:val="1B3A52"/>
          <w:sz w:val="30"/>
        </w:rPr>
        <w:t>附：查新结论与证据边界</w:t>
      </w:r>
    </w:p>
    <w:p>
      <w:pPr>
        <w:spacing w:after="80"/>
        <w:ind w:firstLine="420"/>
      </w:pPr>
      <w:r>
        <w:rPr>
          <w:rFonts w:ascii="Times New Roman" w:hAnsi="Times New Roman" w:eastAsia="宋体"/>
          <w:b/>
          <w:color w:val="1A1A1A"/>
          <w:sz w:val="21"/>
        </w:rPr>
        <w:t>本方向的查新强度：强。</w:t>
      </w:r>
      <w:r>
        <w:rPr>
          <w:rFonts w:ascii="Times New Roman" w:hAnsi="Times New Roman" w:eastAsia="宋体"/>
          <w:b w:val="0"/>
          <w:color w:val="1A1A1A"/>
          <w:sz w:val="21"/>
        </w:rPr>
        <w:t xml:space="preserve"> 检索覆盖「knowledge conflict + materials」「database disagreement + LLM」「contradictory evidence + materials」三组关键词，通用领域的冲突基准（ConflictBank、WhoQA、KC-Bench、TRACK、Kcr）与材料领域的数据不一致分析（跨库比对、MATCOR）均已核实存在，</w:t>
      </w:r>
      <w:r>
        <w:rPr>
          <w:rFonts w:ascii="Times New Roman" w:hAnsi="Times New Roman" w:eastAsia="宋体"/>
          <w:b/>
          <w:color w:val="1A1A1A"/>
          <w:sz w:val="21"/>
        </w:rPr>
        <w:t>未发现材料专门的知识冲突基准或方法</w:t>
      </w: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需要说明的边界：</w:t>
      </w:r>
    </w:p>
    <w:p>
      <w:pPr>
        <w:spacing w:after="80"/>
        <w:ind w:firstLine="420"/>
      </w:pPr>
      <w:r>
        <w:rPr>
          <w:rFonts w:ascii="Times New Roman" w:hAnsi="Times New Roman" w:eastAsia="宋体"/>
          <w:b w:val="0"/>
          <w:color w:val="1A1A1A"/>
          <w:sz w:val="21"/>
        </w:rPr>
        <w:t>1. 「未发现」不等于「不存在」。正式开题前应补充 Web of Science、Scopus 与 ACL Anthology 的定向检索，重点确认是否已有「materials knowledge conflict」或「database inconsistency aware reasoning」的论文。</w:t>
      </w:r>
    </w:p>
    <w:p>
      <w:pPr>
        <w:spacing w:after="80"/>
        <w:ind w:firstLine="420"/>
      </w:pPr>
      <w:r>
        <w:rPr>
          <w:rFonts w:ascii="Times New Roman" w:hAnsi="Times New Roman" w:eastAsia="宋体"/>
          <w:b w:val="0"/>
          <w:color w:val="1A1A1A"/>
          <w:sz w:val="21"/>
        </w:rPr>
        <w:t>2. 材料领域的数据不一致已有零散讨论，本课题的增量在于把它做成可评测的冲突基准与推理方法，而不是首次发现不一致。</w:t>
      </w:r>
    </w:p>
    <w:p>
      <w:pPr>
        <w:spacing w:after="80"/>
        <w:ind w:firstLine="420"/>
      </w:pPr>
      <w:r>
        <w:rPr>
          <w:rFonts w:ascii="Times New Roman" w:hAnsi="Times New Roman" w:eastAsia="宋体"/>
          <w:b w:val="0"/>
          <w:color w:val="1A1A1A"/>
          <w:sz w:val="21"/>
        </w:rPr>
        <w:t>3. 本报告的冲突判定阈值（带隙 0.5 eV、凸包 50 meV/atom）来自跨库分析的分布，需要在第 1—2 月用实际数据校准。</w:t>
      </w:r>
    </w:p>
    <w:p>
      <w:pPr>
        <w:spacing w:after="80"/>
        <w:ind w:firstLine="420"/>
      </w:pPr>
      <w:r>
        <w:rPr>
          <w:rFonts w:ascii="Times New Roman" w:hAnsi="Times New Roman" w:eastAsia="宋体"/>
          <w:b w:val="0"/>
          <w:color w:val="1A1A1A"/>
          <w:sz w:val="21"/>
        </w:rPr>
        <w:t>文中所有实验设计均为拟议方案，尚未执行。</w:t>
      </w:r>
    </w:p>
    <w:sectPr w:rsidR="00FC693F" w:rsidRPr="0006063C" w:rsidSect="00034616">
      <w:headerReference w:type="default" r:id="rId9"/>
      <w:footerReference w:type="default" r:id="rId10"/>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黑体"/>
        <w:b w:val="0"/>
        <w:color w:val="808080"/>
        <w:sz w:val="16"/>
      </w:rPr>
      <w:t>2026 年 10 月 17 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黑体"/>
        <w:b w:val="0"/>
        <w:color w:val="808080"/>
        <w:sz w:val="16"/>
      </w:rPr>
      <w:t>硕士学位论文开题报告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