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材料是高端制造、能源装备与国防工业的物质基础，其性能水平往往直接决定一个行业的技术上限。正因如此，主要经济体近年均将材料的智能化研发上升为国家层面的战略议题：美国于 2011 年启动“材料基因组计划”，试图把材料研发周期压缩一半、成本降低一半；欧盟在“地平线欧洲”框架下设立材料与先进制造专项；日本持续推进材料纳米技术计划；我国《“十四五”原材料工业发展规划》同样将材料数据的积累与智能化利用列为重点方向。这些计划共享同一个判断：依赖逐次试错的传统研发模式已难以匹配产业对材料迭代速度的需求，必须借助数据与计算把研发环节前移。</w:t>
      </w:r>
    </w:p>
    <w:p>
      <w:pPr>
        <w:ind w:firstLine="480" w:firstLineChars="200"/>
        <w:spacing w:line="312" w:lineRule="auto"/>
      </w:pPr>
      <w:r>
        <w:rPr>
          <w:rFonts w:ascii="Times New Roman" w:hAnsi="Times New Roman" w:eastAsia="宋体"/>
          <w:b w:val="0"/>
          <w:sz w:val="24"/>
        </w:rPr>
        <w:t>然而，材料研发成本在各个环节上的分布极不均匀：一次密度泛函计算可能耗时数小时，一次合成与表征实验以周甚至月计，而一次文献检索只需秒级。这种数量级差异意味着，把资源平均分配到各环节是低效的。真正的瓶颈往往不在于缺少候选，而在于</w:t>
      </w:r>
      <w:r>
        <w:rPr>
          <w:rFonts w:ascii="Times New Roman" w:hAnsi="Times New Roman" w:eastAsia="宋体"/>
          <w:b/>
          <w:sz w:val="24"/>
        </w:rPr>
        <w:t>如何在有限的时间与经费下判断哪些候选值得进入下一步实验</w:t>
      </w:r>
      <w:r>
        <w:rPr>
          <w:rFonts w:ascii="Times New Roman" w:hAnsi="Times New Roman" w:eastAsia="宋体"/>
          <w:b w:val="0"/>
          <w:sz w:val="24"/>
        </w:rPr>
        <w:t>。材料配方设计正是这一判断的集中体现，它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；合金领域的研究进一步表明，开源语言模型可以经过任务微调和偏好学习生成目标类别的候选成分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。因此，本课题不以“首次把语言模型用于材料设计”为立题依据，而是在已有应用基础上研究其本地化与任务能力迁移。</w:t>
      </w:r>
    </w:p>
    <w:p>
      <w:pPr>
        <w:ind w:firstLine="480" w:firstLineChars="200"/>
        <w:spacing w:line="312" w:lineRule="auto"/>
      </w:pPr>
      <w:r>
        <w:rPr>
          <w:rFonts w:ascii="Times New Roman" w:hAnsi="Times New Roman" w:eastAsia="宋体"/>
          <w:b w:val="0"/>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pPr>
        <w:ind w:firstLine="480" w:firstLineChars="200"/>
        <w:spacing w:line="312" w:lineRule="auto"/>
      </w:pPr>
      <w:r>
        <w:rPr>
          <w:rFonts w:ascii="Times New Roman" w:hAnsi="Times New Roman" w:eastAsia="宋体"/>
          <w:b w:val="0"/>
          <w:sz w:val="24"/>
        </w:rPr>
        <w:t>领域适配为解决上述问题提供了方法基础。LLaMat 通过继续预训练与任务微调建立材料领域模型，说明专门化训练具有研究价值，但其大规模训练不是单人课题需要复现的路径</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用结构化文本学习合金组成与性质的关系，表明配方生成可以被组织为语言建模任务</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。针对小模型的知识蒸馏、参数高效微调和检索增强生成，则为资源受限条件下的领域应用提供了可借鉴的方法</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pPr>
        <w:pStyle w:val="Heading2"/>
      </w:pPr>
      <w:r>
        <w:rPr>
          <w:rFonts w:ascii="Times New Roman" w:hAnsi="Times New Roman" w:eastAsia="黑体"/>
          <w:b/>
          <w:sz w:val="28"/>
        </w:rPr>
        <w:t>1.2 研究目标与任务定位</w:t>
      </w:r>
    </w:p>
    <w:p>
      <w:pPr>
        <w:ind w:firstLine="480" w:firstLineChars="200"/>
        <w:spacing w:line="312" w:lineRule="auto"/>
      </w:pPr>
      <w:r>
        <w:rPr>
          <w:rFonts w:ascii="Times New Roman" w:hAnsi="Times New Roman" w:eastAsia="宋体"/>
          <w:b w:val="0"/>
          <w:sz w:val="24"/>
        </w:rPr>
        <w:t>总体目标是构建可在本地运行的合金配方辅助设计模型，通过选择性任务蒸馏与知识增强，改善同一本地底座在限定任务上的执行质量，并检验所提选样方法相对公平基线的实际增量。与指定教师大模型的质量差距作为比较维度之一报告，用以说明学生在任务上所处的位置；本课题不把“接近教师”设为唯一或必须达成的目标，也不预先承诺能缩小到某一阈值。这里的比较只针对限定任务、固定资料与工具条件，不指获得教师的全部知识。需要说明的是，教师自身在材料任务上的可靠性有限（见 2.1 节），因此即便差距缩小，也不自动等于学生达到可用水平；可用性仍由独立的约束与证据指标判断。</w:t>
      </w:r>
    </w:p>
    <w:p>
      <w:pPr>
        <w:ind w:firstLine="480" w:firstLineChars="200"/>
        <w:spacing w:line="312" w:lineRule="auto"/>
      </w:pPr>
      <w:r>
        <w:rPr>
          <w:rFonts w:ascii="Times New Roman" w:hAnsi="Times New Roman" w:eastAsia="宋体"/>
          <w:b w:val="0"/>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pPr>
        <w:ind w:firstLine="480" w:firstLineChars="200"/>
        <w:spacing w:line="312" w:lineRule="auto"/>
      </w:pPr>
      <w:r>
        <w:rPr>
          <w:rFonts w:ascii="Times New Roman" w:hAnsi="Times New Roman" w:eastAsia="宋体"/>
          <w:b w:val="0"/>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pPr>
        <w:pStyle w:val="Heading2"/>
      </w:pPr>
      <w:r>
        <w:rPr>
          <w:rFonts w:ascii="Times New Roman" w:hAnsi="Times New Roman" w:eastAsia="黑体"/>
          <w:b/>
          <w:sz w:val="28"/>
        </w:rPr>
        <w:t>1.3 选题意义</w:t>
      </w:r>
    </w:p>
    <w:p>
      <w:pPr>
        <w:ind w:firstLine="480" w:firstLineChars="200"/>
        <w:spacing w:line="312" w:lineRule="auto"/>
      </w:pPr>
      <w:r>
        <w:rPr>
          <w:rFonts w:ascii="Times New Roman" w:hAnsi="Times New Roman" w:eastAsia="宋体"/>
          <w:b/>
          <w:sz w:val="24"/>
        </w:rPr>
        <w:t>应用意义：减少方案准备中的重复劳动。</w:t>
      </w:r>
      <w:r>
        <w:rPr>
          <w:rFonts w:ascii="Times New Roman" w:hAnsi="Times New Roman" w:eastAsia="宋体"/>
          <w:b w:val="0"/>
          <w:sz w:val="24"/>
        </w:rPr>
        <w:t xml:space="preserve"> 配方研究中的资料筛选、条件核对、成分改写和结果整理可以被拆解为明确操作。AlloyLens 的专家参与案例表明，交互筛选、局部敏感性分析和多目标取舍具有实际应用背景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部分方案准备工作转化为本地辅助能力，交付带证据和约束检查结果的候选，而不把“缩短全部研发周期”或“提升真实合成成功率”作为未经验证的承诺。应用收益将通过候选可用性、人工修订量与任务耗时检验，不能由系统演示效果代替。</w:t>
      </w:r>
    </w:p>
    <w:p>
      <w:pPr>
        <w:ind w:firstLine="480" w:firstLineChars="200"/>
        <w:spacing w:line="312" w:lineRule="auto"/>
      </w:pPr>
      <w:r>
        <w:rPr>
          <w:rFonts w:ascii="Times New Roman" w:hAnsi="Times New Roman" w:eastAsia="宋体"/>
          <w:b/>
          <w:sz w:val="24"/>
        </w:rPr>
        <w:t>部署意义：使领域能力在本地可保存、可控制、可复用。</w:t>
      </w:r>
      <w:r>
        <w:rPr>
          <w:rFonts w:ascii="Times New Roman" w:hAnsi="Times New Roman" w:eastAsia="宋体"/>
          <w:b w:val="0"/>
          <w:sz w:val="24"/>
        </w:rPr>
        <w:t xml:space="preserve"> 模型权重、检索索引与数值工具在使用阶段均可位于本地，内部配方不必为了完成一次任务而发送到外部接口。模型版本与资料快照可冻结，适配结果可在后续任务中复用。私有化不是自动实现的属性，需要对模型调用、向量化和外部工具请求逐项检查。训练阶段若使用云端教师，只处理公开或明确获准上传的数据；本地运行仍有设备、维护和训练摊销成本，不宣称必然比低价 API 更便宜。</w:t>
      </w:r>
    </w:p>
    <w:p>
      <w:pPr>
        <w:ind w:firstLine="480" w:firstLineChars="200"/>
        <w:spacing w:line="312" w:lineRule="auto"/>
      </w:pPr>
      <w:r>
        <w:rPr>
          <w:rFonts w:ascii="Times New Roman" w:hAnsi="Times New Roman" w:eastAsia="宋体"/>
          <w:b/>
          <w:sz w:val="24"/>
        </w:rPr>
        <w:t>方法意义：把有限资源转化为可研究的数据选择问题。</w:t>
      </w:r>
      <w:r>
        <w:rPr>
          <w:rFonts w:ascii="Times New Roman" w:hAnsi="Times New Roman" w:eastAsia="宋体"/>
          <w:b w:val="0"/>
          <w:sz w:val="24"/>
        </w:rPr>
        <w:t xml:space="preserve"> 成熟蒸馏方法已经能够向学生传递任务示范，LESS、DEITA、D3 和 LASER 也表明数据选择本身是活跃研究方向</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拟在这些方法基础上做任务化改进：用可以核验的约束失误表示学生薄弱环节，并用约束组合覆盖控制教学样本组成，避免把自由生成中的合理答案差异误判为难度。研究问题是同样教学预算下能否学得更有效，而不是简单宣称“训练越多越好”。</w:t>
      </w:r>
    </w:p>
    <w:p>
      <w:pPr>
        <w:ind w:firstLine="480" w:firstLineChars="200"/>
        <w:spacing w:line="312" w:lineRule="auto"/>
      </w:pPr>
      <w:r>
        <w:rPr>
          <w:rFonts w:ascii="Times New Roman" w:hAnsi="Times New Roman" w:eastAsia="宋体"/>
          <w:b/>
          <w:sz w:val="24"/>
        </w:rPr>
        <w:t>研究价值：形成从教学样本到部署输出的一致证据链。</w:t>
      </w:r>
      <w:r>
        <w:rPr>
          <w:rFonts w:ascii="Times New Roman" w:hAnsi="Times New Roman" w:eastAsia="宋体"/>
          <w:b w:val="0"/>
          <w:sz w:val="24"/>
        </w:rPr>
        <w:t xml:space="preserve"> 若训练数据强调来源与适用条件，而推理时只输入无条件的相似文本，模型仍可能错误迁移性能结论。本课题将资料来源、比例单位和约束状态作为教学与推理共用的信息，研究它们能否降低条件混用与无据生成。该价值需要通过消融实验验证，不把使用 LoRA、RAG 或结构化输出本身分别计为创新。</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材料语言模型与合金生成</w:t>
      </w:r>
    </w:p>
    <w:p>
      <w:pPr>
        <w:ind w:firstLine="480" w:firstLineChars="200"/>
        <w:spacing w:line="312" w:lineRule="auto"/>
      </w:pPr>
      <w:r>
        <w:rPr>
          <w:rFonts w:ascii="Times New Roman" w:hAnsi="Times New Roman" w:eastAsia="宋体"/>
          <w:b w:val="0"/>
          <w:sz w:val="24"/>
        </w:rPr>
        <w:t>LLMatDesign 将自然语言理解、材料修改和工具评价组成迭代流程，为辅助设计提供了工程参考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。针对体心立方（BCC）与 B2 有序相合金的研究利用 LLaMA、Gemma 和 OLMo 等开源模型，通过热力学计算反馈构造偏好数据并进行直接偏好优化</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pPr>
        <w:ind w:firstLine="480" w:firstLineChars="200"/>
        <w:spacing w:line="312" w:lineRule="auto"/>
      </w:pPr>
      <w:r>
        <w:rPr>
          <w:rFonts w:ascii="Times New Roman" w:hAnsi="Times New Roman" w:eastAsia="宋体"/>
          <w:b w:val="0"/>
          <w:sz w:val="24"/>
        </w:rPr>
        <w:t>LLaMat 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同时研究合金正向预测与逆向生成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。它主要研究候选评价，而本课题研究受需求约束的候选提出与修改；两者有关联，不能把评价任务的结果直接当作生成任务的效果保证。</w:t>
      </w:r>
    </w:p>
    <w:p>
      <w:pPr>
        <w:ind w:firstLine="480" w:firstLineChars="200"/>
        <w:spacing w:line="312" w:lineRule="auto"/>
      </w:pPr>
      <w:r>
        <w:rPr>
          <w:rFonts w:ascii="Times New Roman" w:hAnsi="Times New Roman" w:eastAsia="宋体"/>
          <w:b w:val="0"/>
          <w:sz w:val="24"/>
        </w:rPr>
        <w:t>已有工作表明研究路线可以延续，尚不能说明特定小模型已经达到应用要求。本课题在成熟辅助设计范式内研究小模型学习效率与证据使用方式；立项依据来自任务本身的缺口，而非“材料领域尚无人做过”的空白声明，与既有商业模型的成绩也在不同数据划分下分别报告。</w:t>
      </w:r>
    </w:p>
    <w:p>
      <w:pPr>
        <w:pStyle w:val="Heading2"/>
      </w:pPr>
      <w:r>
        <w:rPr>
          <w:rFonts w:ascii="Times New Roman" w:hAnsi="Times New Roman" w:eastAsia="黑体"/>
          <w:b/>
          <w:sz w:val="28"/>
        </w:rPr>
        <w:t>2.2 知识蒸馏与领域小模型适配</w:t>
      </w:r>
    </w:p>
    <w:p>
      <w:pPr>
        <w:ind w:firstLine="480" w:firstLineChars="200"/>
        <w:spacing w:line="312" w:lineRule="auto"/>
      </w:pPr>
      <w:r>
        <w:rPr>
          <w:rFonts w:ascii="Times New Roman" w:hAnsi="Times New Roman" w:eastAsia="宋体"/>
          <w:b w:val="0"/>
          <w:sz w:val="24"/>
        </w:rPr>
        <w:t>知识蒸馏通过教师监督向更容易部署的学生传递能力，其思想早于当前大语言模型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；Orca 2 强调小模型需要适合自身能力的解题策略，而非机械复制教师行为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。这些结果支持任务化教学，但其 NLP 基准结论不等于材料配方任务已经有效。</w:t>
      </w:r>
    </w:p>
    <w:p>
      <w:pPr>
        <w:ind w:firstLine="480" w:firstLineChars="200"/>
        <w:spacing w:line="312" w:lineRule="auto"/>
      </w:pPr>
      <w:r>
        <w:rPr>
          <w:rFonts w:ascii="Times New Roman" w:hAnsi="Times New Roman" w:eastAsia="宋体"/>
          <w:b w:val="0"/>
          <w:sz w:val="24"/>
        </w:rPr>
        <w:t>MiniLLM 研究能够访问教师分布时的蒸馏目标与优化方式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pPr>
        <w:ind w:firstLine="480" w:firstLineChars="200"/>
        <w:spacing w:line="312" w:lineRule="auto"/>
      </w:pPr>
      <w:r>
        <w:rPr>
          <w:rFonts w:ascii="Times New Roman" w:hAnsi="Times New Roman" w:eastAsia="宋体"/>
          <w:b w:val="0"/>
          <w:sz w:val="24"/>
        </w:rPr>
        <w:t>LoRA 冻结底座并训练低秩适配参数，QLoRA 进一步结合量化降低微调显存需求</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。这些方法用于控制训练成本，不作为本课题发明的新算法。拟选择许可适合研究与本地部署的开放权重模型，例如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，具体型号、运行模板与版本将在预实验中固定，不以某个品牌作为论文贡献。</w:t>
      </w:r>
    </w:p>
    <w:p>
      <w:pPr>
        <w:ind w:firstLine="480" w:firstLineChars="200"/>
        <w:spacing w:line="312" w:lineRule="auto"/>
      </w:pPr>
      <w:r>
        <w:rPr>
          <w:rFonts w:ascii="Times New Roman" w:hAnsi="Times New Roman" w:eastAsia="宋体"/>
          <w:b w:val="0"/>
          <w:sz w:val="24"/>
        </w:rPr>
        <w:t>近期 Zhang 等提出 INCAR-SLM，将经过领域微调的小模型与确定性后处理程序 VASPGuard 结合，用于从计算要求和晶体结构生成 VASP 的 INCAR 参数文件</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。作者在 INCARBench 上报告，该组合在所采用的评分协议下优于其测试的通用大模型，并分别比较了微调与后处理的贡献。这为“领域适配负责学习任务行为、检查器处理可确定规则”的分工提供了相关依据，但它采用参考计算记录监督，并非本课题选择性蒸馏方法的验证。其目标是计算参数文件，合金配方还涉及证据适用条件及新成分的未观测性能，不能直接沿用其评分范围或模型规模结论。本课题借鉴这种分工与归因设计，继续在同证据、同工具条件下检验任务可用性和教师差距，不把他文成绩写成本课题预实验结果，也不预设必须超越某一通用模型。</w:t>
      </w:r>
    </w:p>
    <w:p>
      <w:pPr>
        <w:ind w:firstLine="480" w:firstLineChars="200"/>
        <w:spacing w:line="312" w:lineRule="auto"/>
      </w:pPr>
      <w:r>
        <w:rPr>
          <w:rFonts w:ascii="Times New Roman" w:hAnsi="Times New Roman" w:eastAsia="宋体"/>
          <w:b w:val="0"/>
          <w:sz w:val="24"/>
        </w:rPr>
        <w:t>与之相关但路径不同的是“类型化决策模型”方向。Deka 提出 SBERT2S1，把为检索训练的生物医学句子编码器转换为一次前向给出受限选项概率的决策模型，并发布 BIODECIDE 评测套件与 MEDLINE-S1</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美国国家医学图书馆（NLM）索引体系，是一种长期人工维护的专业标注资源。该工作还报告，在温度缩放后没有哪个训练目标在校准上明显优于普通交叉熵，且公开的强化学习校准决策（RLCD）配方在其实验中低于交叉熵 2.5—3.0 分。这两点说明：决策模型路线的标签可得性依赖所在领域已有的结构化标注体系，材料领域缺乏可直接对应的同类资源；续接此类方法时，需以交叉熵加温度缩放作为强基线，不能默认 RLCD 更优。本课题因此把决策模型定位为输出层的类型化字段与约束检查，而非独立研究内容。</w:t>
      </w:r>
    </w:p>
    <w:p>
      <w:pPr>
        <w:pStyle w:val="Heading2"/>
      </w:pPr>
      <w:r>
        <w:rPr>
          <w:rFonts w:ascii="Times New Roman" w:hAnsi="Times New Roman" w:eastAsia="黑体"/>
          <w:b/>
          <w:sz w:val="28"/>
        </w:rPr>
        <w:t>2.3 指令数据构造与教学样本选择</w:t>
      </w:r>
    </w:p>
    <w:p>
      <w:pPr>
        <w:ind w:firstLine="480" w:firstLineChars="200"/>
        <w:spacing w:line="312" w:lineRule="auto"/>
      </w:pPr>
      <w:r>
        <w:rPr>
          <w:rFonts w:ascii="Times New Roman" w:hAnsi="Times New Roman" w:eastAsia="宋体"/>
          <w:b w:val="0"/>
          <w:sz w:val="24"/>
        </w:rPr>
        <w:t>Self-Instruct 展示了生成指令、过滤无效或相似样本后再训练的基本流程</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。DEITA 从质量、复杂度与多样性进行数据选择</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，LESS 用梯度影响近似服务于定向指令微调</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，D3 联合考虑多样性、难度和可信度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。LASER 进一步采用任务分层、专用质量评分及难度度量，并涉及约束生成任务</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。因此，“困难度加多样性”或“按约束分组”都不能单独声称是新的通用方法。</w:t>
      </w:r>
    </w:p>
    <w:p>
      <w:pPr>
        <w:ind w:firstLine="480" w:firstLineChars="200"/>
        <w:spacing w:line="312" w:lineRule="auto"/>
      </w:pPr>
      <w:r>
        <w:rPr>
          <w:rFonts w:ascii="Times New Roman" w:hAnsi="Times New Roman" w:eastAsia="宋体"/>
          <w:b w:val="0"/>
          <w:sz w:val="24"/>
        </w:rPr>
        <w:t>在蒸馏侧，近期工作研究了 on-policy 蒸馏中的数据效率与数据选择，发现只保留难例（甚至八个）即可匹配大规模基线的效果，其分析将增益归因于难题自然产生的更长思维链，而非高词元熵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该工作的“难度”由模型自身的解出率与思维链长度衡量，适用于答案唯一的推理任务。本课题面向的配方生成存在多个合法答案，学生未复述教师答案不等于做错，因此改用任务检查器给出的可核验失误类型（总量、锁定项、单位、条件引用）定义薄弱度，并额外约束教学样本的约束组合覆盖度与词元成本。另一项工作系统考察提示的来源与选择，指出效用依赖教师—学生配对与目标任务，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。这两项结果共同构成本课题把随机选样列为必做强基线、并对结果如实报告的依据。</w:t>
      </w:r>
    </w:p>
    <w:p>
      <w:pPr>
        <w:ind w:firstLine="480" w:firstLineChars="200"/>
        <w:spacing w:line="312" w:lineRule="auto"/>
      </w:pPr>
      <w:r>
        <w:rPr>
          <w:rFonts w:ascii="Times New Roman" w:hAnsi="Times New Roman" w:eastAsia="宋体"/>
          <w:b w:val="0"/>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pPr>
        <w:pStyle w:val="Heading2"/>
      </w:pPr>
      <w:r>
        <w:rPr>
          <w:rFonts w:ascii="Times New Roman" w:hAnsi="Times New Roman" w:eastAsia="黑体"/>
          <w:b/>
          <w:sz w:val="28"/>
        </w:rPr>
        <w:t>2.4 检索增强与受约束生成</w:t>
      </w:r>
    </w:p>
    <w:p>
      <w:pPr>
        <w:ind w:firstLine="480" w:firstLineChars="200"/>
        <w:spacing w:line="312" w:lineRule="auto"/>
      </w:pPr>
      <w:r>
        <w:rPr>
          <w:rFonts w:ascii="Times New Roman" w:hAnsi="Times New Roman" w:eastAsia="宋体"/>
          <w:b w:val="0"/>
          <w:sz w:val="24"/>
        </w:rPr>
        <w:t>检索增强生成将模型参数知识与外部资料结合，有利于提供来源和更新知识</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，可为本课题设计“相近成分但条件不同”的教学实例提供方法参考。RAFT 的问答结果不能直接证明生成配方的科学可靠性，必须另行检验实例的条件对应和引用准确性。</w:t>
      </w:r>
    </w:p>
    <w:p>
      <w:pPr>
        <w:ind w:firstLine="480" w:firstLineChars="200"/>
        <w:spacing w:line="312" w:lineRule="auto"/>
      </w:pPr>
      <w:r>
        <w:rPr>
          <w:rFonts w:ascii="Times New Roman" w:hAnsi="Times New Roman" w:eastAsia="宋体"/>
          <w:b w:val="0"/>
          <w:sz w:val="24"/>
        </w:rPr>
        <w:t>PICARD 通过增量解析拒绝不合法的输出扩展，说明结构化任务可以在解码过程中引入明确约束</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pPr>
        <w:pStyle w:val="Heading2"/>
      </w:pPr>
      <w:r>
        <w:rPr>
          <w:rFonts w:ascii="Times New Roman" w:hAnsi="Times New Roman" w:eastAsia="黑体"/>
          <w:b/>
          <w:sz w:val="28"/>
        </w:rPr>
        <w:t>2.5 研究定位与可延伸空间</w:t>
      </w:r>
    </w:p>
    <w:p>
      <w:pPr>
        <w:ind w:firstLine="480" w:firstLineChars="200"/>
        <w:spacing w:line="312" w:lineRule="auto"/>
      </w:pPr>
      <w:r>
        <w:rPr>
          <w:rFonts w:ascii="Times New Roman" w:hAnsi="Times New Roman" w:eastAsia="宋体"/>
          <w:b w:val="0"/>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pPr>
        <w:ind w:firstLine="480" w:firstLineChars="200"/>
        <w:spacing w:line="312" w:lineRule="auto"/>
      </w:pPr>
      <w:r>
        <w:rPr>
          <w:rFonts w:ascii="Times New Roman" w:hAnsi="Times New Roman" w:eastAsia="宋体"/>
          <w:b w:val="0"/>
          <w:sz w:val="24"/>
        </w:rPr>
        <w:t>与材料专用基础模型相比，本课题不进行海量文献继续预训练；与依赖商业热力学计算构造奖励的合金生成相比，本课题不依赖 CALPHAD 计算；与通用教学样本选择相比，重点比较可核验失误与约束组合覆盖的增量；与普通 RAG 系统相比，研究学生的证据使用训练和约束执行，而非建立另一个知识问答界面。近期针对高熵合金（HEA）的开源描述符工具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，故此类工具只作为可选的辅助诊断，不生成真实可合成性标签。</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基于约束可核验的选择性任务蒸馏方法，构建面向合金配方辅助生成的本地模型适配框架。先界定任务范围与总体方案，明确输入输出、约束类型与数据边界；再构造证据可追溯的教学数据，把资料整理为成分—状态—测试—性能—来源记录，按来源分组并生成约束扰动任务。核心是以任务检查器给出的可核验失误类型作为薄弱度信号，结合约束覆盖度在固定预算内选样；推理阶段条件可比的证据选择与约束一致生成，共同支撑本地运行的辅助原型。</w:t>
      </w:r>
    </w:p>
    <w:p>
      <w:pPr>
        <w:pStyle w:val="Heading3"/>
      </w:pPr>
      <w:r>
        <w:rPr>
          <w:rFonts w:ascii="Times New Roman" w:hAnsi="Times New Roman" w:eastAsia="黑体"/>
          <w:b/>
          <w:sz w:val="28"/>
        </w:rPr>
        <w:t>3.1.1 任务范围与总体方案</w:t>
      </w:r>
    </w:p>
    <w:p>
      <w:pPr>
        <w:ind w:firstLine="480" w:firstLineChars="200"/>
        <w:spacing w:line="312" w:lineRule="auto"/>
      </w:pPr>
      <w:r>
        <w:rPr>
          <w:rFonts w:ascii="Times New Roman" w:hAnsi="Times New Roman" w:eastAsia="宋体"/>
          <w:b w:val="0"/>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pPr>
        <w:ind w:firstLine="480" w:firstLineChars="200"/>
        <w:spacing w:line="312" w:lineRule="auto"/>
      </w:pPr>
      <w:r>
        <w:rPr>
          <w:rFonts w:ascii="Times New Roman" w:hAnsi="Times New Roman" w:eastAsia="宋体"/>
          <w:b w:val="0"/>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pPr>
        <w:ind w:firstLine="480" w:firstLineChars="200"/>
        <w:spacing w:line="312" w:lineRule="auto"/>
      </w:pPr>
      <w:r>
        <w:rPr>
          <w:rFonts w:ascii="Times New Roman" w:hAnsi="Times New Roman" w:eastAsia="宋体"/>
          <w:b w:val="0"/>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pPr>
        <w:pStyle w:val="Heading3"/>
      </w:pPr>
      <w:r>
        <w:rPr>
          <w:rFonts w:ascii="Times New Roman" w:hAnsi="Times New Roman" w:eastAsia="黑体"/>
          <w:b/>
          <w:sz w:val="28"/>
        </w:rPr>
        <w:t>3.1.2 证据可追溯的教学数据构造</w:t>
      </w:r>
    </w:p>
    <w:p>
      <w:pPr>
        <w:ind w:firstLine="480" w:firstLineChars="200"/>
        <w:spacing w:line="312" w:lineRule="auto"/>
      </w:pPr>
      <w:r>
        <w:rPr>
          <w:rFonts w:ascii="Times New Roman" w:hAnsi="Times New Roman" w:eastAsia="宋体"/>
          <w:b w:val="0"/>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。这些条件不能省略后再把记录间差异当作噪声。已有约两万篇全文库作为潜在扩展资源，其合金覆盖、字段质量和使用权限尚未审计，不将其全部条目直接计为本课题训练数据。</w:t>
      </w:r>
    </w:p>
    <w:p>
      <w:pPr>
        <w:ind w:firstLine="480" w:firstLineChars="200"/>
        <w:spacing w:line="312" w:lineRule="auto"/>
      </w:pPr>
      <w:r>
        <w:rPr>
          <w:rFonts w:ascii="Times New Roman" w:hAnsi="Times New Roman" w:eastAsia="宋体"/>
          <w:b w:val="0"/>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pPr>
        <w:ind w:firstLine="480" w:firstLineChars="200"/>
        <w:spacing w:line="312" w:lineRule="auto"/>
      </w:pPr>
      <w:r>
        <w:rPr>
          <w:rFonts w:ascii="Times New Roman" w:hAnsi="Times New Roman" w:eastAsia="宋体"/>
          <w:b w:val="0"/>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pPr>
        <w:ind w:firstLine="480" w:firstLineChars="200"/>
        <w:spacing w:line="312" w:lineRule="auto"/>
      </w:pPr>
      <w:r>
        <w:rPr>
          <w:rFonts w:ascii="Times New Roman" w:hAnsi="Times New Roman" w:eastAsia="宋体"/>
          <w:b w:val="0"/>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建议型示范的数量、用途和人工核验比例单列。不得把教学样本扩增数量等同于独立材料实验数量。</w:t>
      </w:r>
    </w:p>
    <w:p>
      <w:pPr>
        <w:pStyle w:val="Heading3"/>
      </w:pPr>
      <w:r>
        <w:rPr>
          <w:rFonts w:ascii="Times New Roman" w:hAnsi="Times New Roman" w:eastAsia="黑体"/>
          <w:b/>
          <w:sz w:val="28"/>
        </w:rPr>
        <w:t>3.1.3 学生失误感知与约束覆盖联合的选择性蒸馏</w:t>
      </w:r>
    </w:p>
    <w:p>
      <w:pPr>
        <w:ind w:firstLine="480" w:firstLineChars="200"/>
        <w:spacing w:line="312" w:lineRule="auto"/>
      </w:pPr>
      <w:r>
        <w:rPr>
          <w:rFonts w:ascii="Times New Roman" w:hAnsi="Times New Roman" w:eastAsia="宋体"/>
          <w:b w:val="0"/>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pPr>
        <w:ind w:firstLine="480" w:firstLineChars="200"/>
        <w:spacing w:line="312" w:lineRule="auto"/>
      </w:pPr>
      <w:r>
        <w:rPr>
          <w:rFonts w:ascii="Times New Roman" w:hAnsi="Times New Roman" w:eastAsia="宋体"/>
          <w:b w:val="0"/>
          <w:sz w:val="24"/>
        </w:rPr>
        <w:t>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[0,1]，覆盖权重满足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pPr>
        <w:ind w:firstLine="480" w:firstLineChars="200"/>
        <w:spacing w:line="312" w:lineRule="auto"/>
      </w:pPr>
      <w:r>
        <w:rPr>
          <w:rFonts w:ascii="Times New Roman" w:hAnsi="Times New Roman" w:eastAsia="宋体"/>
          <w:b w:val="0"/>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pPr>
        <w:ind w:firstLine="480" w:firstLineChars="200"/>
        <w:spacing w:line="312" w:lineRule="auto"/>
      </w:pPr>
      <w:r>
        <w:rPr>
          <w:rFonts w:ascii="Times New Roman" w:hAnsi="Times New Roman" w:eastAsia="宋体"/>
          <w:b w:val="0"/>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pPr>
        <w:ind w:firstLine="480" w:firstLineChars="200"/>
        <w:spacing w:line="312" w:lineRule="auto"/>
      </w:pPr>
      <w:r>
        <w:rPr>
          <w:rFonts w:ascii="Times New Roman" w:hAnsi="Times New Roman" w:eastAsia="宋体"/>
          <w:b w:val="0"/>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pPr>
        <w:pStyle w:val="Heading3"/>
      </w:pPr>
      <w:r>
        <w:rPr>
          <w:rFonts w:ascii="Times New Roman" w:hAnsi="Times New Roman" w:eastAsia="黑体"/>
          <w:b/>
          <w:sz w:val="28"/>
        </w:rPr>
        <w:t>3.1.4 条件可比的证据选择与约束一致生成</w:t>
      </w:r>
    </w:p>
    <w:p>
      <w:pPr>
        <w:ind w:firstLine="480" w:firstLineChars="200"/>
        <w:spacing w:line="312" w:lineRule="auto"/>
      </w:pPr>
      <w:r>
        <w:rPr>
          <w:rFonts w:ascii="Times New Roman" w:hAnsi="Times New Roman" w:eastAsia="宋体"/>
          <w:b w:val="0"/>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pPr>
        <w:ind w:firstLine="480" w:firstLineChars="200"/>
        <w:spacing w:line="312" w:lineRule="auto"/>
      </w:pPr>
      <w:r>
        <w:rPr>
          <w:rFonts w:ascii="Times New Roman" w:hAnsi="Times New Roman" w:eastAsia="宋体"/>
          <w:b w:val="0"/>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pPr>
        <w:ind w:firstLine="480" w:firstLineChars="200"/>
        <w:spacing w:line="312" w:lineRule="auto"/>
      </w:pPr>
      <w:r>
        <w:rPr>
          <w:rFonts w:ascii="Times New Roman" w:hAnsi="Times New Roman" w:eastAsia="宋体"/>
          <w:b w:val="0"/>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pPr>
        <w:ind w:firstLine="480" w:firstLineChars="200"/>
        <w:spacing w:line="312" w:lineRule="auto"/>
      </w:pPr>
      <w:r>
        <w:rPr>
          <w:rFonts w:ascii="Times New Roman" w:hAnsi="Times New Roman" w:eastAsia="宋体"/>
          <w:b w:val="0"/>
          <w:sz w:val="24"/>
        </w:rPr>
        <w:t>对一般非线性性能要求，本体与区间检查只能给出部分可行性证据。性能模型输出的是带版本和适用范围的估计，其评分与科学验证分开记录。无解诊断须区分“数值硬约束已证明冲突”与“有限搜索预算内未找到候选”两种情形。</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数据选择与受约束生成均已有成熟研究，但它们在“配方辅助”这一类任务上仍留有具体缺口：通用模型的领域知识不足且数值计算不可靠，直接使用会产生忽略锁定项、混用比例单位、生成无依据性能数值等失误；而现有数据选择方法面向通用指令任务，其难度信号无法区分“真的做错”与“合法答案不同”。</w:t>
      </w:r>
    </w:p>
    <w:p>
      <w:pPr>
        <w:ind w:firstLine="480" w:firstLineChars="200"/>
        <w:spacing w:line="312" w:lineRule="auto"/>
      </w:pPr>
      <w:r>
        <w:rPr>
          <w:rFonts w:ascii="Times New Roman" w:hAnsi="Times New Roman" w:eastAsia="宋体"/>
          <w:b/>
          <w:sz w:val="24"/>
        </w:rPr>
        <w:t>针对上述问题，本文提出“约束可核验的选择性任务蒸馏”方法，构建面向合金配方辅助生成的本地模型适配框架。</w:t>
      </w:r>
      <w:r>
        <w:rPr>
          <w:rFonts w:ascii="Times New Roman" w:hAnsi="Times New Roman" w:eastAsia="宋体"/>
          <w:b w:val="0"/>
          <w:sz w:val="24"/>
        </w:rPr>
        <w:t xml:space="preserve"> 它要解决的问题是：在有限教学预算与受限算力下，使本地小模型稳定掌握带证据依据的候选提出与约束执行能力。方法上先把需求、证据与操作组织为可核验的教学任务，构造约束扰动并在扰动后重新核验答案，同时区分“观测支持型”与“探索建议型”两类示范；继而用任务检查器给出的可核验失误类型（总量、锁定项、单位、条件引用）作为学生薄弱度信号，结合约束组合覆盖度与重复惩罚，在固定预算内选择教学样本；最后把教学阶段学到的证据类型与约束状态用于本地推理，以条件可比的检索增强配合数值工具做分步生成与有限修正。目标是交付一个可在本地运行、输出带来源依据与约束检查结果的配方辅助原型，并以同预算公平对照说明该方法的实际增量。</w:t>
      </w:r>
    </w:p>
    <w:p>
      <w:pPr>
        <w:ind w:firstLine="480" w:firstLineChars="200"/>
        <w:spacing w:line="312" w:lineRule="auto"/>
      </w:pPr>
      <w:r>
        <w:rPr>
          <w:rFonts w:ascii="Times New Roman" w:hAnsi="Times New Roman" w:eastAsia="宋体"/>
          <w:b w:val="0"/>
          <w:sz w:val="24"/>
        </w:rPr>
        <w:t>上述三步对应的三项拟改进如下。</w:t>
      </w:r>
      <w:r>
        <w:rPr>
          <w:rFonts w:ascii="Times New Roman" w:hAnsi="Times New Roman" w:eastAsia="宋体"/>
          <w:b/>
          <w:sz w:val="24"/>
        </w:rPr>
        <w:t>拟创新点一：约束扰动与证据绑定结合的任务蒸馏数据构造。</w:t>
      </w:r>
      <w:r>
        <w:rPr>
          <w:rFonts w:ascii="Times New Roman" w:hAnsi="Times New Roman" w:eastAsia="宋体"/>
          <w:b w:val="0"/>
          <w:sz w:val="24"/>
        </w:rPr>
        <w:t xml:space="preserve"> 在一般指令扩增基础上，使每次要求变化对应重新核验的配方操作，并保留来源、条件和“观测支持型／探索建议型”两类标注。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pPr>
        <w:ind w:firstLine="480" w:firstLineChars="200"/>
        <w:spacing w:line="312" w:lineRule="auto"/>
      </w:pPr>
      <w:r>
        <w:rPr>
          <w:rFonts w:ascii="Times New Roman" w:hAnsi="Times New Roman" w:eastAsia="宋体"/>
          <w:b/>
          <w:sz w:val="24"/>
        </w:rPr>
        <w:t>拟创新点二：可核验学生失误与约束组合覆盖驱动的预算选样。</w:t>
      </w:r>
      <w:r>
        <w:rPr>
          <w:rFonts w:ascii="Times New Roman" w:hAnsi="Times New Roman" w:eastAsia="宋体"/>
          <w:b w:val="0"/>
          <w:sz w:val="24"/>
        </w:rPr>
        <w:t xml:space="preserve"> DEITA 综合质量、复杂度与多样性，D3 采用不确定性相关难度与可信度评分，LASER 已包含任务分层和专用质量评分</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pPr>
        <w:ind w:firstLine="480" w:firstLineChars="200"/>
        <w:spacing w:line="312" w:lineRule="auto"/>
      </w:pPr>
      <w:r>
        <w:rPr>
          <w:rFonts w:ascii="Times New Roman" w:hAnsi="Times New Roman" w:eastAsia="宋体"/>
          <w:b/>
          <w:sz w:val="24"/>
        </w:rPr>
        <w:t>拟创新点三：教学与推理共用约束状态的检索增强分步生成。</w:t>
      </w:r>
      <w:r>
        <w:rPr>
          <w:rFonts w:ascii="Times New Roman" w:hAnsi="Times New Roman" w:eastAsia="宋体"/>
          <w:b w:val="0"/>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pPr>
        <w:ind w:firstLine="480" w:firstLineChars="200"/>
        <w:spacing w:line="312" w:lineRule="auto"/>
      </w:pPr>
      <w:r>
        <w:rPr>
          <w:rFonts w:ascii="Times New Roman" w:hAnsi="Times New Roman" w:eastAsia="宋体"/>
          <w:b w:val="0"/>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主线优先使用已经确认可取得的公开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，但它不是高熵合金实测数据，正式使用前须核对具体版本、字段和缺失值，不作为当前必需前提。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20—30 ℃、粗工艺为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1—3 个任务；实际记录数、DOI 数、关联组数和任务数在首次划分后报告，目前不填伪造的实测数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研究的部分公开成分和训练代码，以及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权重或相关数据的获取受许可和申请条件影响，不绑定为开箱即用基线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 Thermo-Calc。需要使用公开数据的项目许可、基础模型许可与教师服务的数据使用条件分别核对，不能用代码开源替代数据授权。</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pPr>
        <w:ind w:firstLine="480" w:firstLineChars="200"/>
        <w:spacing w:line="312" w:lineRule="auto"/>
      </w:pPr>
      <w:r>
        <w:rPr>
          <w:rFonts w:ascii="Times New Roman" w:hAnsi="Times New Roman" w:eastAsia="宋体"/>
          <w:b w:val="0"/>
          <w:sz w:val="24"/>
        </w:rPr>
        <w:t>应用价值设置两层证据。可直接核验的是每次获得合格候选所需的重试、字段修正、查证步骤和机器运行开销；涉及“人工时间节省”的结论则需要用户任务试用。若能获得材料研究者参与，采用同任务、交叉顺序和隐去方案标签的结果复核，记录用时与修订量；若无法组织合适使用者，只报告离线操作负担与技术指标，不宣称已经证明产业效率提升。性能模型或经验规则的通过率仅作辅助诊断，不能替代独立实验成败或高温性能验证。</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48—60 GB 显卡。采用量化底座、梯度检查点、小微批次及约 2k—4k token 输入作为预实验设置，而非已实测结果。首轮按 3.2（二）的约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个月：完成研究资料、许可、来源关联与任务审计；固定首版合金范围、条件字段、教师和学生候选，完成小规模运行与预算估计。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个月：构建任务本体、教师示范和准入规则；划分互斥数据集并检查派生样本泄漏，完成本地底座及常规蒸馏基线。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3—4 个月：实现并固定学生失误与约束覆盖选样方案，完成等预算强基线比较，检查数据选择计算成本及随机性；在开发集确定主要评价和“接近”容许差距。</w:t>
      </w:r>
    </w:p>
    <w:p>
      <w:pPr>
        <w:ind w:firstLine="480" w:firstLineChars="200"/>
        <w:spacing w:line="312" w:lineRule="auto"/>
      </w:pPr>
      <w:r>
        <w:rPr>
          <w:rFonts w:ascii="Times New Roman" w:hAnsi="Times New Roman" w:eastAsia="宋体"/>
          <w:b w:val="0"/>
          <w:sz w:val="24"/>
        </w:rPr>
        <w:t>第 5 个月：完成本地检索、条件过滤、分步生成和有限修正集成，做分组件消融，确认模型学习与数值工具收益的边界。</w:t>
      </w:r>
    </w:p>
    <w:p>
      <w:pPr>
        <w:ind w:firstLine="480" w:firstLineChars="200"/>
        <w:spacing w:line="312" w:lineRule="auto"/>
      </w:pPr>
      <w:r>
        <w:rPr>
          <w:rFonts w:ascii="Times New Roman" w:hAnsi="Times New Roman" w:eastAsia="宋体"/>
          <w:b w:val="0"/>
          <w:sz w:val="24"/>
        </w:rPr>
        <w:t>第 6 个月：冻结正式配置，完成教师比较、来源组留出及约束组合泛化实验；资源和授权具备时组织有限用户任务试用。</w:t>
      </w:r>
    </w:p>
    <w:p>
      <w:pPr>
        <w:ind w:firstLine="480" w:firstLineChars="200"/>
        <w:spacing w:line="312" w:lineRule="auto"/>
      </w:pPr>
      <w:r>
        <w:rPr>
          <w:rFonts w:ascii="Times New Roman" w:hAnsi="Times New Roman" w:eastAsia="宋体"/>
          <w:b w:val="0"/>
          <w:sz w:val="24"/>
        </w:rPr>
        <w:t>第 7—8 个月：整理结果与复现材料，完成论文撰写、局限性讨论与修改，准备学位论文送审和答辩。若资源不足，优先完成主选样对照与本地任务闭环，减少额外模型与外部验证扩展，不删去关键公平对照。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 DOI: 10.48550/arXiv.2406.13163.</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 DOI: 10.48550/arXiv.2511.12036.</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Foundational large language models for materials research[EB/OL]. arXiv:2412.09560, 2024. DOI: 10.48550/arXiv.2412.09560.</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 DOI: 10.48550/arXiv.2511.02133.</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 DOI: 10.48550/arXiv.2605.29555.</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network[EB/OL]. arXiv:1503.02531, 2015. DOI: 10.48550/arXiv.1503.02531.</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sizes[EB/OL]. arXiv:2305.02301, 2023. DOI: 10.48550/arXiv.2305.02301.</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reason[EB/OL]. arXiv:2311.11045, 2023. DOI: 10.48550/arXiv.2311.11045.</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models[EB/OL]. arXiv:2306.08543, 2023. DOI: 10.48550/arXiv.2306.08543.</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instructions[EB/OL]. arXiv:2212.10560, 2022. DOI: 10.48550/arXiv.2212.10560.</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tuning[EB/OL]. arXiv:2312.15685, 2023. DOI: 10.48550/arXiv.2312.15685.</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tuning[EB/OL]. arXiv:2402.04333, 2024. DOI: 10.48550/arXiv.2402.04333.</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strategy[EB/OL]. arXiv:2505.22157, 2025. DOI: 10.48550/arXiv.2505.22157.</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tasks[EB/OL]. arXiv:2005.11401, 2020. DOI: 10.48550/arXiv.2005.11401.</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 DOI: 10.48550/arXiv.2403.10131.</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models[EB/OL]. arXiv:2106.09685, 2021. DOI: 10.48550/arXiv.2106.09685.</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LLMs[EB/OL]. arXiv:2305.14314, 2023. DOI: 10.48550/arXiv.2305.14314.</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report[EB/OL]. arXiv:2505.09388, 2025. DOI: 10.48550/arXiv.2505.09388.</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models[EB/OL]. arXiv:2109.05093, 2021. DOI: 10.48550/arXiv.2109.05093.</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 数据说明：https://sciviscontest2025.github.io/data/.</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 DOI: 10.48550/arXiv.2608.05387.</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selection[EB/OL]. arXiv:2609.05198,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distillation[EB/OL]. arXiv:2609.37377, 2026.</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