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30"/>
        </w:rPr>
        <w:t>论文题目： 面向高熵合金设计辅助的小模型智能体选择性蒸馏方法研究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智能体的行为由多步决策构成，而现有可获取的小模型并未针对这类多步交互做过训练；同时，材料文献中"主题相关但条件不符"的证据极易被误用，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小模型驱动的工具调用"为技术形态，构建一个面向高熵合金设计辅助的本地智能体，并通过选择性蒸馏提升该智能体的决策能力。与直接生成配方文本不同，智能体的输出是一串工具调用决策：面对用户要求，它需要判断该查什么证据、该调哪个校验工具、结果不符时如何修正。研究工作先界定智能体的任务边界与工具集，明确可用工具、交互协议与终止条件；再构造证据可追溯的教学轨迹，把教师的"推理—调工具—观察结果—修正"完整过程记录为教学单元，并按来源分组划分数据分区；核心环节是以任务检查器给出的可核验失误类型作为薄弱度信号，结合工具调用类型的覆盖程度与轨迹长度成本，在固定预算内完成轨迹选择；推理阶段则研究条件可比的证据选择与工具调用约束，使小模型在有限上下文内做出稳定的调用决策。上述环节共同支撑一个可在本地运行、每步可追溯的高熵合金设计辅助智能体。</w:t>
      </w:r>
    </w:p>
    <w:p>
      <w:pPr>
        <w:pStyle w:val="Heading3"/>
      </w:pPr>
      <w:r>
        <w:rPr>
          <w:rFonts w:ascii="Times New Roman" w:hAnsi="Times New Roman" w:eastAsia="黑体"/>
          <w:b/>
          <w:sz w:val="28"/>
        </w:rPr>
        <w:t>3.1.1 基于可核验失误信号与工具调用覆盖的轨迹选择方法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让一个亿级参数的小模型稳定地驱动工具链，难点不在单步生成，而在多步决策的连贯性。智能体每一轮都要判断当前信息是否充分、该调哪个工具、参数怎么填、返回结果是否可用、何时终止。这些判断无法从单轮问答示范中学到，必须从完整的轨迹中学习。而轨迹的采集成本远高于单轮样本：一条包含四次工具往返的轨迹，其 token 量通常是一段问答的十倍以上。因此在固定训练预算下，从候选轨迹池中选出哪些来训练，直接决定智能体能否学会稳定的调用模式。</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选样方法难以直接套用。第一，"执行失败"缺少可执行定义。轨迹的好坏不只取决于最终答案，还取决于路径是否合理：同样得到合格配方的两条轨迹，一条调用两次工具，另一条反复试错调用十次，后者不应被当作正面示范。但"路径合理"无法用文本相似度衡量。第二，失效模式的分布高度不均。小模型常见的错误集中在几类：忘记校验总量、跳过证据检索直接编造数值、工具参数填错、结果不符时不做修正就终止。这些失效在候选池中出现的频率相差很大，若按统一样本量分配预算，训练会集中在少数类型上。第三，轨迹长度差异导致成本不可比。既有选样方法多以样本条数计量预算，而一条四轮轨迹与一条单轮样本的训练成本相差数倍，按条数计算会使不同策略之间失去可比性。</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学到了错误路径：若把"最终答案正确但路径冗余"的轨迹当作正面示范，学生学到的就是反复试错而非有效调用，部署时表现为轮次爆炸、时延不可接受。其次是失效模式未被覆盖：训练集中缺少某类工具调用（如证据检索后的条件比对），学生在实际使用中遇到该情形便直接跳过。第三是结论不可信：由于预算口径按条数而非按 token 计算，"所提方法更优"的结论可能只是训练量更大的结果。</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建立轨迹级的可核验判据。用任务检查器对每条轨迹执行多维度检查。路径层面：是否调用了必要的校验工具、是否存在可合并的冗余调用、终止时机是否合理。结果层面：元素比例之和是否归一、被锁定元素是否保持不变、比例基准与单位是否一致、性能陈述是否绑定到存在且条件相符的记录。检查器只判定可自动判定的项目，语义层面标记为"未知"而非强行归类。</w:t>
      </w:r>
    </w:p>
    <w:p>
      <w:pPr>
        <w:ind w:firstLine="480" w:firstLineChars="200"/>
        <w:spacing w:line="312" w:lineRule="auto"/>
      </w:pPr>
      <w:r>
        <w:rPr>
          <w:rFonts w:ascii="Times New Roman" w:hAnsi="Times New Roman" w:eastAsia="宋体"/>
          <w:b w:val="0"/>
          <w:sz w:val="24"/>
        </w:rPr>
        <w:t>第二步，定义薄弱度、覆盖度与成本的联合效用。设轨迹 d 的可核验失误分数为 e(d)，以工具调用类型为单位定义覆盖项 h_j(d)（是否包含第 j 类调用，如校验、检索、修正），n_j(A) 表示已选集合 A 对第 j 类的覆盖次数，则边际效用为</w:t>
      </w:r>
    </w:p>
    <w:p>
      <w:pPr>
        <w:ind w:firstLine="480" w:firstLineChars="200"/>
        <w:spacing w:line="312" w:lineRule="auto"/>
      </w:pPr>
      <w:r>
        <w:rPr>
          <w:rFonts w:ascii="Times New Roman" w:hAnsi="Times New Roman" w:eastAsia="宋体"/>
          <w:b w:val="0"/>
          <w:sz w:val="24"/>
        </w:rPr>
        <w:t>G(d | A) = α·e(d) + β·Σ_j [w_j·h_j(d) / (1 + n_j(A))] − γ·R(d, A)</w:t>
      </w:r>
    </w:p>
    <w:p>
      <w:pPr>
        <w:ind w:firstLine="480" w:firstLineChars="200"/>
        <w:spacing w:line="312" w:lineRule="auto"/>
      </w:pPr>
      <w:r>
        <w:rPr>
          <w:rFonts w:ascii="Times New Roman" w:hAnsi="Times New Roman" w:eastAsia="宋体"/>
          <w:b w:val="0"/>
          <w:sz w:val="24"/>
        </w:rPr>
        <w:t>其中 R 为与已选轨迹的冗余度，α、β、γ 为非负且和为 1。在此之上按轨迹长度归一化：</w:t>
      </w:r>
    </w:p>
    <w:p>
      <w:pPr>
        <w:ind w:firstLine="480" w:firstLineChars="200"/>
        <w:spacing w:line="312" w:lineRule="auto"/>
      </w:pPr>
      <w:r>
        <w:rPr>
          <w:rFonts w:ascii="Times New Roman" w:hAnsi="Times New Roman" w:eastAsia="宋体"/>
          <w:b w:val="0"/>
          <w:sz w:val="24"/>
        </w:rPr>
        <w:t>Score(d | A) = G(d | A) / c(d)</w:t>
      </w:r>
    </w:p>
    <w:p>
      <w:pPr>
        <w:ind w:firstLine="480" w:firstLineChars="200"/>
        <w:spacing w:line="312" w:lineRule="auto"/>
      </w:pPr>
      <w:r>
        <w:rPr>
          <w:rFonts w:ascii="Times New Roman" w:hAnsi="Times New Roman" w:eastAsia="宋体"/>
          <w:b w:val="0"/>
          <w:sz w:val="24"/>
        </w:rPr>
        <w:t>其中 c(d) 为该轨迹的 token 成本与候选池中位成本的比值，并设正下限以避免极短轨迹取得异常高分。</w:t>
      </w:r>
    </w:p>
    <w:p>
      <w:pPr>
        <w:ind w:firstLine="480" w:firstLineChars="200"/>
        <w:spacing w:line="312" w:lineRule="auto"/>
      </w:pPr>
      <w:r>
        <w:rPr>
          <w:rFonts w:ascii="Times New Roman" w:hAnsi="Times New Roman" w:eastAsia="宋体"/>
          <w:b w:val="0"/>
          <w:sz w:val="24"/>
        </w:rPr>
        <w:t>第三步，在预算约束下贪心选取并允许提前停止。每次从通过质量准入且边际效用为正的轨迹中取归一化得分最高者，更新覆盖计数；没有这样的轨迹时立即停止，不用零或负效用轨迹填满预算。若提前停止，则把主比较准确称为"相同预算上限"，并补充在实际训练量附近做预算匹配比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这一设计把"轨迹好坏"的判断从模型自我表现转为外部可核验的执行判据，使正面示范不再取决于路径是否与教师一致；以工具调用类型为覆盖单位，直接对应智能体的失效模式，而非文本主题；以 token 成本归一化，则使不同选样策略在同一预算口径下可比。三者共同指向一个可检验命题：在同等预算与同一底座下，以可核验失误与调用覆盖为信号的轨迹选择，是否优于以模型行为为信号的选样。</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种面向智能体轨迹的样本选择方法，并在同池、同底座、同预算条件下，与随机选择、按长度选择、按调用类型覆盖选择以及成熟的质量—多样性方法对照，报告选择增益及其计算开销。若结果显示不优于合理对照，则如实报告负结果。</w:t>
      </w:r>
    </w:p>
    <w:p>
      <w:pPr>
        <w:pStyle w:val="Heading3"/>
      </w:pPr>
      <w:r>
        <w:rPr>
          <w:rFonts w:ascii="Times New Roman" w:hAnsi="Times New Roman" w:eastAsia="黑体"/>
          <w:b/>
          <w:sz w:val="28"/>
        </w:rPr>
        <w:t>3.1.2 条件感知的证据检索与工具调用约束方法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智能体的能力上限很大程度取决于它能否取到可用的信息。在材料文献场景中，检索到的记录常常"主题相关但条件不符"：一条抗拉强度数据可能来自不同热处理状态或不同测试温度。若智能体不加区分地引用，后续的校验工具会通过数值检查（因为数字本身合法），但结论在物理上不成立。这类错误不会在语法或数值层面暴露，是本场景最隐蔽的失效。同时，智能体的每一步工具调用都需要与上下文预算协调：调用过多会超出上下文，调用过少则信息不足。</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环节。第一，条件可比性判断依赖领域知识，通用嵌入模型按语义接近程度排序，恰恰把这类冲突证据排到前列。第二，工具调用的参数填错难以察觉：智能体可能把测试温度字段填成制备温度，工具会返回结果，但结果与该问题无关。第三，终止条件模糊：智能体在证据不足时可能强行给出结论，也可能无休止地继续检索，二者都不可接受。</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首先是无依据结论：引用真实存在但不适用的记录，输出表面可追溯，实质不成立。其次是工具误用：参数错配使校验工具形同虚设，而系统不会报错。第三是效率失控：缺少明确的终止判据，部署时的轮次与时延无法预估。</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训练条件感知的证据重排模型，并把它封装为智能体可调用的检索工具。重排器训练数据由本课题自行构造：取同一成分在不同测试温度、不同样品状态下的记录，配对生成"条件可比"与"条件冲突"的正负样本，其中冲突样本只改动条件字段而保持主题相关，迫使模型学到的是条件一致性而非语义相似度。模型输出三类判定（条件相符、条件冲突、条件未知），对应不同处置。重排器选用百兆级轻量模型，在单卡上即可完成微调，作为工具调用时不增加显著时延。</w:t>
      </w:r>
    </w:p>
    <w:p>
      <w:pPr>
        <w:ind w:firstLine="480" w:firstLineChars="200"/>
        <w:spacing w:line="312" w:lineRule="auto"/>
      </w:pPr>
      <w:r>
        <w:rPr>
          <w:rFonts w:ascii="Times New Roman" w:hAnsi="Times New Roman" w:eastAsia="宋体"/>
          <w:b w:val="0"/>
          <w:sz w:val="24"/>
        </w:rPr>
        <w:t>第二步，为工具调用设计参数约束与结果校验。每个工具声明必填参数与取值范围，智能体输出调用前先经一个轻量校验层检查参数类型与取值域；工具返回结果后，统一附加一个"可用性标记"，标明该结果是否可直接支持结论、仅可作背景、还是不可用。这样后续步骤不必重新判断证据质量。</w:t>
      </w:r>
    </w:p>
    <w:p>
      <w:pPr>
        <w:ind w:firstLine="480" w:firstLineChars="200"/>
        <w:spacing w:line="312" w:lineRule="auto"/>
      </w:pPr>
      <w:r>
        <w:rPr>
          <w:rFonts w:ascii="Times New Roman" w:hAnsi="Times New Roman" w:eastAsia="宋体"/>
          <w:b w:val="0"/>
          <w:sz w:val="24"/>
        </w:rPr>
        <w:t>第三步，设定明确的终止条件与修正上限。当所有硬约束满足且存在至少一条可用证据时，允许终止并输出；当证据缺失或约束冲突时，输出当前结论并标注未满足项，而不是继续无界检索。修正轮次设上限，超出则返回最佳当前方案并说明原因。</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条件判断交给微调后的重排器，比规则过滤更能处理字段残缺、表述不一致的情形；在工具接口层加入参数校验与可用性标记，使错误在发生处暴露而非累积到最终输出；明确的终止与修正上限则让智能体的行为在部署时可预期。</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预期形成一套条件感知的检索与工具约束方法，并在证据可用率、工具参数正确率、平均轮次与总时延四个维度上，与不作条件区分的通用检索、按规则硬过滤、无参数校验的裸工具调用等做法对照。</w:t>
      </w:r>
    </w:p>
    <w:p>
      <w:pPr>
        <w:pStyle w:val="Heading3"/>
      </w:pPr>
      <w:r>
        <w:rPr>
          <w:rFonts w:ascii="Times New Roman" w:hAnsi="Times New Roman" w:eastAsia="黑体"/>
          <w:b/>
          <w:sz w:val="28"/>
        </w:rPr>
        <w:t>3.1.3 面向高熵合金设计辅助的本地智能体实现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智能体的行为由工具集、交互协议与终止策略共同决定，若各处分别实现，基线条件难以统一，实验结论也无法归因。因此本部分实现一个可在本地运行的高熵合金设计辅助智能体，把资料准备、轨迹采集、学生诊断、轨迹选择、微调、检索与工具调用各环节串联为可复现流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工具接口若不早固定，后续改动会使已采集的轨迹全部失效。第二，实验可复现性依赖版本控制，底座、教师、检索索引与工具版本若不一致，对照结果无法回溯。第三，部署形态需支持离线运行，模型调用、向量化与外部工具请求都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缺少统一载体时，两项方法的增益会相互混淆，也可能被工程差异掩盖；版本记录缺失则他人无法判断结果来源；只有模型文件而无运行环境说明，交付物实际上不可用。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智能体按三条线组织。</w:t>
      </w:r>
    </w:p>
    <w:p>
      <w:pPr>
        <w:ind w:firstLine="480" w:firstLineChars="200"/>
        <w:spacing w:line="312" w:lineRule="auto"/>
      </w:pPr>
      <w:r>
        <w:rPr>
          <w:rFonts w:ascii="Times New Roman" w:hAnsi="Times New Roman" w:eastAsia="宋体"/>
          <w:b w:val="0"/>
          <w:sz w:val="24"/>
        </w:rPr>
        <w:t>第一步，固定工具集与交互协议。工具集包含四类：约束校验工具（检查元素总量、锁定项、比例基准与单位）、证据检索工具（封装条件感知重排，返回带可用性标记的记录）、配方修改工具（按增量指令改写成分并返回变更明细）、性能查询工具（调用带版本与适用范围的代理模型，输出估计值及不确定区间，明确区分于文献实测值）。协议规定每轮输出为结构化的工具调用，包含工具名、参数与调用理由。</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条轨迹保存输入、每轮工具调用及返回、最终输出，使任一结果可回溯到具体配置。教学与推理共用同一套工具接口与证据类型。</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该实现使两项方法在同一条件下可比，其工程贡献与算法贡献分开表述，不把接口开发或界面实现计为算法贡献。它提供的是验证基础设施与可复现的实验记录。</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预期交付一个可在本地运行、能完成限定设计任务并逐轮可追溯的智能体原型，配套版本化实验配置与复现材料。</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为解决上述问题，本文提出"面向智能体轨迹的可核验选择性蒸馏"方法，构建一个由小模型驱动工具链的高熵合金设计辅助智能体。</w:t>
      </w:r>
      <w:r>
        <w:rPr>
          <w:rFonts w:ascii="Times New Roman" w:hAnsi="Times New Roman" w:eastAsia="宋体"/>
          <w:b w:val="0"/>
          <w:sz w:val="24"/>
        </w:rPr>
        <w:t xml:space="preserve"> 该方法要解决的问题是：在有限轨迹预算与受限算力下，使本地小模型稳定掌握"推理—调工具—观察结果—修正"的完整行为，而不只是单步生成。具体做法分三步：先把教师智能体在真实工具链上的执行过程记录为可核验的教学轨迹，经约束扰动派生出不同难度的版本，并对每步结果标注可用性；再以任务检查器给出的可核验失误（路径合理性、参数正确性、约束满足、证据对应）作为薄弱度信号，结合工具调用类型的覆盖度与轨迹 token 成本，在固定预算内完成轨迹选择；最后把条件感知的证据检索与工具调用约束接入推理，使小模型在有限上下文内做出稳定的调用决策。三项工作共同支撑一个可在本地运行、逐轮可追溯的设计辅助智能体，并以同预算公平对照说明该方法的实际增量。</w:t>
      </w:r>
    </w:p>
    <w:p>
      <w:pPr>
        <w:ind w:firstLine="480" w:firstLineChars="200"/>
        <w:spacing w:line="312" w:lineRule="auto"/>
      </w:pPr>
      <w:r>
        <w:rPr>
          <w:rFonts w:ascii="Times New Roman" w:hAnsi="Times New Roman" w:eastAsia="宋体"/>
          <w:b/>
          <w:sz w:val="24"/>
        </w:rPr>
        <w:t>拟创新点一：可核验失误信号与工具调用覆盖联合驱动的智能体轨迹选择。</w:t>
      </w:r>
      <w:r>
        <w:rPr>
          <w:rFonts w:ascii="Times New Roman" w:hAnsi="Times New Roman" w:eastAsia="宋体"/>
          <w:b w:val="0"/>
          <w:sz w:val="24"/>
        </w:rPr>
        <w:t xml:space="preserve"> 本项把智能体轨迹的构造与选择合成一个整体。在构造环节，由教师智能体在真实工具链上完成设计任务，完整记录"推理—调工具—观察—修正"的每一步，并对每个结果标注可用性；在扰动环节，对同一任务改变约束条件后重跑，使同一基础任务派生出不同难度的轨迹。在选择环节，以任务检查器给出的可核验失误（路径合理性、参数正确性、约束满足、证据对应）定义薄弱度，以工具调用类型的覆盖程度定义样本组成，并以轨迹 token 成本归一化得分。与既有轨迹筛选做法的差别不在于再增加一个评分项，而在于三点：薄弱度的判据是外部可执行的检查而非模型自我评估；覆盖单位是工具调用类型而非文本主题；预算口径是 token 而非轨迹条数。这三处改动均由消融实验直接检验。</w:t>
      </w:r>
    </w:p>
    <w:p>
      <w:pPr>
        <w:ind w:firstLine="480" w:firstLineChars="200"/>
        <w:spacing w:line="312" w:lineRule="auto"/>
      </w:pPr>
      <w:r>
        <w:rPr>
          <w:rFonts w:ascii="Times New Roman" w:hAnsi="Times New Roman" w:eastAsia="宋体"/>
          <w:b w:val="0"/>
          <w:sz w:val="24"/>
        </w:rPr>
        <w:t>本项的验证方式为：在相同轨迹池、相同底座与相同 token 预算下，与随机选择、按轨迹长度选择、按调用类型覆盖选择及成熟的质量—多样性方法对照；并分别移除失效信号项、覆盖项、冗余惩罚，以及移除轨迹扰动环节，检验各部分贡献。若不能优于合理对照，不将该项作为已验证贡献。</w:t>
      </w:r>
    </w:p>
    <w:p>
      <w:pPr>
        <w:ind w:firstLine="480" w:firstLineChars="200"/>
        <w:spacing w:line="312" w:lineRule="auto"/>
      </w:pPr>
      <w:r>
        <w:rPr>
          <w:rFonts w:ascii="Times New Roman" w:hAnsi="Times New Roman" w:eastAsia="宋体"/>
          <w:b/>
          <w:sz w:val="24"/>
        </w:rPr>
        <w:t>拟创新点二：条件感知的证据检索与工具调用约束方法。</w:t>
      </w:r>
      <w:r>
        <w:rPr>
          <w:rFonts w:ascii="Times New Roman" w:hAnsi="Times New Roman" w:eastAsia="宋体"/>
          <w:b w:val="0"/>
          <w:sz w:val="24"/>
        </w:rPr>
        <w:t xml:space="preserve"> 本项解决智能体在材料文献场景下的信息可用性问题。具体包括三部分：其一，训练一个条件感知的证据重排模型，用自行构造的"条件可比/条件冲突"成对样本微调百兆级轻量模型，使其判断依据为条件一致性而非语义相似度，并把它封装为智能体可调用的检索工具；其二，在工具接口层加入参数校验与结果可用性标记，使参数错配与不可用证据在发生处即被暴露，而非累积到最终输出；其三，设定明确的终止与修正上限，使智能体在证据不足时如实标注而非强行结论。与不作条件区分的通用检索、按规则硬过滤、无参数校验的裸工具调用对照，检验证据可用率、参数正确率、平均轮次与总时延。</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不带工具）、通用检索增强、用教师智能体直接驱动（作为性能上界参考）、本地常规轨迹蒸馏、选择性轨迹蒸馏及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消融实验按两项创新点分别设计，每一组只移除一个组件，其余设置保持不变，使改进归因可追溯。</w:t>
      </w:r>
    </w:p>
    <w:p>
      <w:pPr>
        <w:ind w:firstLine="480" w:firstLineChars="200"/>
        <w:spacing w:line="312" w:lineRule="auto"/>
      </w:pPr>
      <w:r>
        <w:rPr>
          <w:rFonts w:ascii="Times New Roman" w:hAnsi="Times New Roman" w:eastAsia="宋体"/>
          <w:b w:val="0"/>
          <w:sz w:val="24"/>
        </w:rPr>
        <w:t>针对创新点一（轨迹选择），设置四组消融。第一组移除失效信号项，只保留调用覆盖与冗余惩罚，检验可核验失误是否比覆盖本身更有信息量。第二组移除覆盖项，只保留失误信号，检验工具调用类型的覆盖是否带来额外增益。第三组同时移除信号与覆盖，退化为按成本加权的随机选择，检验收益是否来自评分框架。第四组保留完整效用但关闭冗余惩罚，检验去重是否必要。四组之外另做轨迹构造侧的消融：分别移除约束扰动环节与结果可用性标注，与完整构造比较，以区分"选样增益"与"轨迹构造增益"。</w:t>
      </w:r>
    </w:p>
    <w:p>
      <w:pPr>
        <w:ind w:firstLine="480" w:firstLineChars="200"/>
        <w:spacing w:line="312" w:lineRule="auto"/>
      </w:pPr>
      <w:r>
        <w:rPr>
          <w:rFonts w:ascii="Times New Roman" w:hAnsi="Times New Roman" w:eastAsia="宋体"/>
          <w:b w:val="0"/>
          <w:sz w:val="24"/>
        </w:rPr>
        <w:t>针对创新点二（检索与工具约束），设置四组消融。第一组用不作条件区分的通用重排器替换微调重排器，检验条件感知是否必要。第二组保留重排器但把三类判定压成二值匹配，检验"未知"这一状态是否贡献信息。第三组关闭工具参数校验层，检验参数错配是否会被后续步骤察觉。第四组关闭结果可用性标记与终止条件，检验智能体是否出现轮次失控或强行结论。四组均固定底座、上下文预算与工具实现，只改变被检验的组件。</w:t>
      </w:r>
    </w:p>
    <w:p>
      <w:pPr>
        <w:ind w:firstLine="480" w:firstLineChars="200"/>
        <w:spacing w:line="312" w:lineRule="auto"/>
      </w:pPr>
      <w:r>
        <w:rPr>
          <w:rFonts w:ascii="Times New Roman" w:hAnsi="Times New Roman" w:eastAsia="宋体"/>
          <w:b w:val="0"/>
          <w:sz w:val="24"/>
        </w:rPr>
        <w:t>消融结果与主对照分开报告。主对照回答"所提方法是否优于既有方法"，消融回答"增益来自哪个组件"；两者若出现不一致，以消融结果解释主对照中增益的来源，而不是用主对照的总量差异替代组件分析。</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技术路线为：工具集与交互协议定义、资料版本与任务审计、来源分组与数据隔离、教师智能体轨迹采集及可核验项目过滤、学生诊断与调用覆盖选样、QLoRA 轨迹蒸馏、条件感知的本地检索工具、带参数校验的工具调用与有限修正、与教师智能体及本地强基线比较。教学与推理共用同一套工具接口、约束状态与来源类型，最终输出模型适配权重、知识库版本与轨迹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面向高熵合金设计辅助的小模型智能体选择性蒸馏方法研究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