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实测同时显示，判定为条件冲突的配对占比约百分之五十八。规则给出"冲突"只是结论，如何处置并无唯一答案，且</w:t>
      </w:r>
      <w:r>
        <w:rPr>
          <w:rFonts w:ascii="Times New Roman" w:hAnsi="Times New Roman" w:eastAsia="宋体"/>
          <w:b/>
          <w:sz w:val="24"/>
        </w:rPr>
        <w:t>取决于用户意图与候选证据集合的整体情况</w:t>
      </w:r>
      <w:r>
        <w:rPr>
          <w:rFonts w:ascii="Times New Roman" w:hAnsi="Times New Roman" w:eastAsia="宋体"/>
          <w:b w:val="0"/>
          <w:sz w:val="24"/>
        </w:rPr>
        <w:t>：若用户问的是"室温性能"，高温记录不应作为答案；但若用户问的是"温度如何影响性能"，这些高温记录恰是必要证据。同一冲突在不同问法下处置不同，故处置不能由冲突字段单独枚举。规则只能按"字段是否一致"给出</w:t>
      </w:r>
      <w:r>
        <w:rPr>
          <w:rFonts w:ascii="Times New Roman" w:hAnsi="Times New Roman" w:eastAsia="宋体"/>
          <w:b/>
          <w:sz w:val="24"/>
        </w:rPr>
        <w:t>弱标签</w:t>
      </w:r>
      <w:r>
        <w:rPr>
          <w:rFonts w:ascii="Times New Roman" w:hAnsi="Times New Roman" w:eastAsia="宋体"/>
          <w:b w:val="0"/>
          <w:sz w:val="24"/>
        </w:rPr>
        <w:t>，而"这条证据在回答中的作用"须结合问题意图与整组证据判定，并由人工核验确定。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，材料领域无对等资源；已有工作对此类"不作生成、只作判定"的范式做了证据审计并给出评估清单</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指出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第一步，以规则弱标签加人工核验共同构造处置标签。对判定为冲突的证据，先由规则按冲突位置给出初始处置建议（如温度区间完全不重叠者建议排除，仅工艺标签不同者建议降级），该建议</w:t>
      </w:r>
      <w:r>
        <w:rPr>
          <w:rFonts w:ascii="Times New Roman" w:hAnsi="Times New Roman" w:eastAsia="宋体"/>
          <w:b/>
          <w:sz w:val="24"/>
        </w:rPr>
        <w:t>只作为标注起点而非真值</w:t>
      </w:r>
      <w:r>
        <w:rPr>
          <w:rFonts w:ascii="Times New Roman" w:hAnsi="Times New Roman" w:eastAsia="宋体"/>
          <w:b w:val="0"/>
          <w:sz w:val="24"/>
        </w:rPr>
        <w:t>；再由人工结合问题意图与整组候选证据核验并确定最终处置，标注为完全排除、降级为背景、或保留并标注条件差异三类。人工核验集的规模与实际处置分布如实报告，并报告规则弱标签与人工最终判断的一致率。若一致性过低，说明规则不足以支撑该任务，须重新设计标注协议。</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面向材料文献问答的多步 Agent 执行器实现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而这一载体不能是单轮问答。单轮问答只能检验"一次检索加一次生成"是否给出正确答案，无法检验本课题的核心主张：当检索到的证据条件不符时，系统能否作出恰当处置。这类处置在交互中才显现出来：检索到高温数据而用户问室温，系统是应当如实说明未找到该条件下的数据、还是追问用户是否接受相近条件、还是改用其他成分或工艺路径重新检索，三种反应对应不同的正确行为，单轮问答无法区分。因此本部分实现一个可在本地运行的多步 Agent 执行器，作为方法验证的载体。该执行器不主张算法创新，其定位是验证工具与本课题"可落地项目"的交付物。</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四。第一，多步执行使状态管理复杂化：已检索过的条件、已判定为冲突的证据、已告知用户的限制，都需在轮次间保持，否则会重复检索或自相矛盾。第二，决策路径不唯一，同一任务可能有多条合理路径，这使"正确性"难以按单一轨迹判定，须改为按最终状态与关键决策点判定。第三，实验可复现依赖对决策过程的完整记录，若只保存最终答案，无法分析失败发生在哪一步。第四，本地部署形态下，模型、嵌入与检索均须离线，需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载体时，第二项研究内容的价值无法被观测：冲突处置的好坏只体现在细粒度的判定标签上，而无法体现为任务是否完成。若决策路径缺少记录，则多轮失败无法归因，也无法判断增益来自检索改进、判定改进还是决策策略改进。若状态管理不当，会出现同一问题在多轮中被反复检索、或先说明"未找到"随后又给出数据这类自相矛盾。</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执行器按四条线组织，方法与载体严格分离。</w:t>
      </w:r>
    </w:p>
    <w:p>
      <w:pPr>
        <w:ind w:firstLine="480" w:firstLineChars="200"/>
        <w:spacing w:line="312" w:lineRule="auto"/>
      </w:pPr>
      <w:r>
        <w:rPr>
          <w:rFonts w:ascii="Times New Roman" w:hAnsi="Times New Roman" w:eastAsia="宋体"/>
          <w:b w:val="0"/>
          <w:sz w:val="24"/>
        </w:rPr>
        <w:t>第一条，动作空间的最小化设计。执行器只暴露与条件处理直接相关的动作，避免把工程复杂度引入评测：检索（可带条件约束）、条件判定（复用 3.1.1 的规则与模型）、证据取舍（采用、降级、排除）、澄清追问（条件不足时向用户确认）、终止作答（给出答案或如实说明不可得）。动作集合保持固定，使其本身不成为实验变量。</w:t>
      </w:r>
    </w:p>
    <w:p>
      <w:pPr>
        <w:ind w:firstLine="480" w:firstLineChars="200"/>
        <w:spacing w:line="312" w:lineRule="auto"/>
      </w:pPr>
      <w:r>
        <w:rPr>
          <w:rFonts w:ascii="Times New Roman" w:hAnsi="Times New Roman" w:eastAsia="宋体"/>
          <w:b w:val="0"/>
          <w:sz w:val="24"/>
        </w:rPr>
        <w:t>第二条，逐轮状态的显式保存。每轮记录当前问题的条件需求、已检索候选及其条件状态、已作出的取舍、已向用户声明过的限制。状态以结构化形式保存，使任一时刻的决策可回溯到当时的可见信息，而不是事后重构。</w:t>
      </w:r>
    </w:p>
    <w:p>
      <w:pPr>
        <w:ind w:firstLine="480" w:firstLineChars="200"/>
        <w:spacing w:line="312" w:lineRule="auto"/>
      </w:pPr>
      <w:r>
        <w:rPr>
          <w:rFonts w:ascii="Times New Roman" w:hAnsi="Times New Roman" w:eastAsia="宋体"/>
          <w:b w:val="0"/>
          <w:sz w:val="24"/>
        </w:rPr>
        <w:t>第三条，决策过程的完整留痕。除最终答案外，保存每一步的动作选择、依据与中间结论。评测时既看最终答案是否正确，也看关键决策点是否处理正确，例如在仅有冲突证据时是否选择了澄清或如实说明，而非直接采用。</w:t>
      </w:r>
    </w:p>
    <w:p>
      <w:pPr>
        <w:ind w:firstLine="480" w:firstLineChars="200"/>
        <w:spacing w:line="312" w:lineRule="auto"/>
      </w:pPr>
      <w:r>
        <w:rPr>
          <w:rFonts w:ascii="Times New Roman" w:hAnsi="Times New Roman" w:eastAsia="宋体"/>
          <w:b w:val="0"/>
          <w:sz w:val="24"/>
        </w:rPr>
        <w:t>第四条，本地部署边界核查。逐项检查模型、嵌入模型与检索组件是否存在联网传输，对内部数据的上传与外发分别取得授权。</w:t>
      </w:r>
    </w:p>
    <w:p>
      <w:pPr>
        <w:ind w:firstLine="480" w:firstLineChars="200"/>
        <w:spacing w:line="312" w:lineRule="auto"/>
      </w:pPr>
      <w:r>
        <w:rPr>
          <w:rFonts w:ascii="Times New Roman" w:hAnsi="Times New Roman" w:eastAsia="宋体"/>
          <w:b/>
          <w:sz w:val="24"/>
        </w:rPr>
        <w:t>该实现能解决什么问题。</w:t>
      </w:r>
      <w:r>
        <w:rPr>
          <w:rFonts w:ascii="Times New Roman" w:hAnsi="Times New Roman" w:eastAsia="宋体"/>
          <w:b w:val="0"/>
          <w:sz w:val="24"/>
        </w:rPr>
        <w:t xml:space="preserve"> 该载体使冲突处置的价值可被观测：不仅能测判定标签是否准确，还能测该判定是否改变了最终任务结果。动作空间固定使不同方法的比较不受工程差异干扰；状态与过程留痕使多轮失败可归因到具体环节；方法层与载体层分离，使工程改动不会被误读为算法贡献。</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预期交付一个可在本地运行、决策过程逐步可追溯的多步 Agent 执行器，与条件绑定的知识库、条件判定模块共同构成完整的验证环境，并作为学院要求"可落地项目"的交付物。其评测结果作为第二项研究内容的支撑证据，主指标仍以单轮条件下的答案正确率与既有工作对比。</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数据选择与检索增强均已有较成熟的研究，但它们在材料文献问答这一类任务上仍留有具体缺口：既有工作多以语义相似度组织证据，未把实验条件作为可判定的显式属性，因而无法处理"语义相关而条件不可比"的情形。这一缺口构成本课题的切入点。</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本项针对材料文献问答中"证据语义相似但物理不可比"这一失效。既有检索增强与类型化知识图谱工作关注语义覆盖与关系抽取的完整性，其知识组织以实体与关系为主</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，部分工作亦保存证据窗口与出处；但"同一成分在不同温度下的两条记录不可直接互换"这一约束是否被显式表达，须视具体实现而定，不能笼统断言其无法表达。本项的可测主张是：</w:t>
      </w:r>
      <w:r>
        <w:rPr>
          <w:rFonts w:ascii="Times New Roman" w:hAnsi="Times New Roman" w:eastAsia="宋体"/>
          <w:b/>
          <w:sz w:val="24"/>
        </w:rPr>
        <w:t>把条件元组作为记录的显式属性、在生成前执行条件判定</w:t>
      </w:r>
      <w:r>
        <w:rPr>
          <w:rFonts w:ascii="Times New Roman" w:hAnsi="Times New Roman" w:eastAsia="宋体"/>
          <w:b w:val="0"/>
          <w:sz w:val="24"/>
        </w:rPr>
        <w:t>，相对仅存条件文本或依赖语义相似度排序的做法，能在条件敏感问题上取得可测的正确率差异。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拟创新点二：基于过程示范的小模型条件处置蒸馏方法（支撑性工作）。</w:t>
      </w:r>
      <w:r>
        <w:rPr>
          <w:rFonts w:ascii="Times New Roman" w:hAnsi="Times New Roman" w:eastAsia="宋体"/>
          <w:b w:val="0"/>
          <w:sz w:val="24"/>
        </w:rPr>
        <w:t xml:space="preserve"> 条件处置的正确做法依赖问题意图与整组证据，规则只能按字段一致性给出弱标签，最终处置须人工核验，因此材料领域缺乏大规模类型化训练所需的标注体系。本项以规则弱标签加人工核验构造训练集，其规模受人工成本限制；教师示范采用逐项说明的过程而非仅给结论，示范内容为"该冲突出现在哪个槽位、问题意图是什么、因此该证据在回答中承担什么角色"；并分别度量规则弱标签与人工判断的一致率、模型相对规则弱标签的增益、以及模型相对"一律标注为不确定"这一廉价基线的增量。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。这不是数据清洗能解决的问题，只能从论文全文中抽取。本课题为此备有约两万篇材料学论文的授权语料，热处理与测量方法正是该通道的首要目标字段。</w:t>
      </w:r>
    </w:p>
    <w:p>
      <w:pPr>
        <w:ind w:firstLine="480" w:firstLineChars="200"/>
        <w:spacing w:line="312" w:lineRule="auto"/>
      </w:pPr>
      <w:r>
        <w:rPr>
          <w:rFonts w:ascii="Times New Roman" w:hAnsi="Times New Roman" w:eastAsia="宋体"/>
          <w:b w:val="0"/>
          <w:sz w:val="24"/>
        </w:rPr>
        <w:t>槽位启用采取分阶段策略，以降低对抽取成功率的依赖。首版本体只启用主线数据中确有的槽位（成分、制备工艺、相结构、测试温度、试验类型），使第一项研究内容不依赖文献抽取即可开展；热处理与测量方法作为第二阶段字段，在补充库的抽取结果经一致性检查、且该字段的实测覆盖率报告之后纳入判定。这一安排的用意是使研究的核心结论不悬置于一个尚未验证的抽取环节之上。若抽取成功率低于预期，前五个槽位上的实验仍可独立成立，只需相应收紧结论范围。该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w:t>
      </w:r>
    </w:p>
    <w:p>
      <w:pPr>
        <w:ind w:firstLine="480" w:firstLineChars="200"/>
        <w:spacing w:line="312" w:lineRule="auto"/>
      </w:pPr>
      <w:r>
        <w:rPr>
          <w:rFonts w:ascii="Times New Roman" w:hAnsi="Times New Roman" w:eastAsia="宋体"/>
          <w:b w:val="0"/>
          <w:sz w:val="24"/>
        </w:rPr>
        <w:t>补充库的来源为一套已获授权、规模约两万篇的材料学论文全文语料。该语料的使用价值在于三处：其一，主线数据中热处理与测量方法两个槽位无对应字段，这两类信息通常存在于论文的表格表头、表注与实验方法章节，只能从全文抽取；其二，主线数据仅 265 个来源，按来源关联分组划分后每区组数偏少，扩大语料可使独立来源数提升一个数量级；其三，真实全文的抽取结果带有真实噪声，可作为方法在非理想数据上的评测场景，而不只是在已清洗的结构化表上验证。</w:t>
      </w:r>
    </w:p>
    <w:p>
      <w:pPr>
        <w:ind w:firstLine="480" w:firstLineChars="200"/>
        <w:spacing w:line="312" w:lineRule="auto"/>
      </w:pPr>
      <w:r>
        <w:rPr>
          <w:rFonts w:ascii="Times New Roman" w:hAnsi="Times New Roman" w:eastAsia="宋体"/>
          <w:b w:val="0"/>
          <w:sz w:val="24"/>
        </w:rPr>
        <w:t>须明确的是，语料篇数不等于可用记录数，两者之间存在多级损耗：并非每篇论文都含实验性能数据（综述、纯计算与理论类论文往往没有）；解析环节在表格合并单元格、上下标与真实扫描件上存在已知短板；三类条件字段须同时可定位方构成本课题所需的条件完整记录。因此本课题不按篇数推算样本规模，而以实测可用率折算。</w:t>
      </w:r>
    </w:p>
    <w:p>
      <w:pPr>
        <w:ind w:firstLine="480" w:firstLineChars="200"/>
        <w:spacing w:line="312" w:lineRule="auto"/>
      </w:pPr>
      <w:r>
        <w:rPr>
          <w:rFonts w:ascii="Times New Roman" w:hAnsi="Times New Roman" w:eastAsia="宋体"/>
          <w:b w:val="0"/>
          <w:sz w:val="24"/>
        </w:rPr>
        <w:t>处理流程分三步，且先验证后扩量。第一步抽样约两百篇跑通完整管线，依次经解析、字段抽取与一致性检查，实测各级损耗并报告真实可用率；第二步依据该可用率决定是否扩大处理规模，若抽取环节存在系统性缺陷则先修正管线再扩量；第三步在确认管线可用后处理全量语料，并按来源分组完成数据划分。</w:t>
      </w:r>
    </w:p>
    <w:p>
      <w:pPr>
        <w:ind w:firstLine="480" w:firstLineChars="200"/>
        <w:spacing w:line="312" w:lineRule="auto"/>
      </w:pPr>
      <w:r>
        <w:rPr>
          <w:rFonts w:ascii="Times New Roman" w:hAnsi="Times New Roman" w:eastAsia="宋体"/>
          <w:b w:val="0"/>
          <w:sz w:val="24"/>
        </w:rPr>
        <w:t>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其输出须经槽位抽取与一致性检查后方可入库，不直接计入判定数据。抽取环节须区分实验值与计算值：计算得到的性能与实测性能不属同一类别，混同会使"所引记录与所述数值一致"这一判定标准失效，故每条记录须标注数值来源类型。补充库的实际可用条数、各槽位覆盖率与来源数在首轮试验后报告，此处不填预计数值。</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w:t>
      </w:r>
    </w:p>
    <w:p>
      <w:pPr>
        <w:ind w:firstLine="480" w:firstLineChars="200"/>
        <w:spacing w:line="312" w:lineRule="auto"/>
      </w:pPr>
      <w:r>
        <w:rPr>
          <w:rFonts w:ascii="Times New Roman" w:hAnsi="Times New Roman" w:eastAsia="宋体"/>
          <w:b w:val="0"/>
          <w:sz w:val="24"/>
        </w:rPr>
        <w:t>上述指标均在单轮条件下测得，以便与既有工作直接比较。此外在多步 Agent 载体上设一项</w:t>
      </w:r>
      <w:r>
        <w:rPr>
          <w:rFonts w:ascii="Times New Roman" w:hAnsi="Times New Roman" w:eastAsia="宋体"/>
          <w:b/>
          <w:sz w:val="24"/>
        </w:rPr>
        <w:t>补充指标：任务完成度</w:t>
      </w:r>
      <w:r>
        <w:rPr>
          <w:rFonts w:ascii="Times New Roman" w:hAnsi="Times New Roman" w:eastAsia="宋体"/>
          <w:b w:val="0"/>
          <w:sz w:val="24"/>
        </w:rPr>
        <w:t>，用于检验冲突处置在交互中是否真正改变了结果。任务完成度的判定不看单条回答是否正确，而看三类关键决策点是否处理得当。其一，在仅检索到条件冲突证据时，是否选择了澄清追问或如实说明不可得，而非直接采用；其二，在用户补充条件或改换追问后，是否基于新条件重新检索而非沿用旧候选；其三，终止作答时，给出的结论是否与全程已检索到的证据一致，不出现先声明未找到后又给出数据这类自相矛盾。三项按通过与否分别统计，并报告失败样本的失败环节。</w:t>
      </w:r>
    </w:p>
    <w:p>
      <w:pPr>
        <w:ind w:firstLine="480" w:firstLineChars="200"/>
        <w:spacing w:line="312" w:lineRule="auto"/>
      </w:pPr>
      <w:r>
        <w:rPr>
          <w:rFonts w:ascii="Times New Roman" w:hAnsi="Times New Roman" w:eastAsia="宋体"/>
          <w:b w:val="0"/>
          <w:sz w:val="24"/>
        </w:rPr>
        <w:t>须说明的是，</w:t>
      </w:r>
      <w:r>
        <w:rPr>
          <w:rFonts w:ascii="Times New Roman" w:hAnsi="Times New Roman" w:eastAsia="宋体"/>
          <w:b/>
          <w:sz w:val="24"/>
        </w:rPr>
        <w:t>主指标仍是单轮答案正确率</w:t>
      </w:r>
      <w:r>
        <w:rPr>
          <w:rFonts w:ascii="Times New Roman" w:hAnsi="Times New Roman" w:eastAsia="宋体"/>
          <w:b w:val="0"/>
          <w:sz w:val="24"/>
        </w:rPr>
        <w:t>，任务完成度仅用于支撑第二项研究内容，不替代主指标。原因是多步任务的评价尚无公认口径，且决策路径不唯一，若以其为主指标，结论难以与既有工作比较。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技术路线为：文献解析与条件字段抽取、条件元组绑定与本地知识库构建、条件感知检索、规则与模型协同的条件判定、条件标注下的答案生成、多步 Agent 执行与决策留痕、分问题类型正确率与错误归因评估。检索、判定与生成共用同一套条件元组与来源类型，方法与载体分离：条件处理的方法层构成研究内容，多步执行器仅作为验证载体。最终输出索引快照、蒸馏模型权重、判定日志与执行轨迹。整体流程见图 3-1。</w:t>
      </w:r>
    </w:p>
    <w:p>
      <w:pPr>
        <w:spacing w:before="120" w:after="120"/>
        <w:ind w:firstLine="0"/>
        <w:jc w:val="center"/>
      </w:pPr>
      <w:r>
        <w:drawing>
          <wp:inline xmlns:a="http://schemas.openxmlformats.org/drawingml/2006/main" xmlns:pic="http://schemas.openxmlformats.org/drawingml/2006/picture">
            <wp:extent cx="4860000" cy="4635378"/>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635378"/>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全文语料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全文语料的实际可用率可能显著低于预期。两万篇篇数不等于可用记录数，损耗来自三处：综述与纯计算类论文不含实验性能数据；解析环节在表格与扫描件上存在已知短板；三类条件须同时可定位方可入库。处理办法是先抽样验证再决定是否扩量，并以实测可用率折算样本规模，不按篇数推算。若可用率过低，则只启用不依赖抽取的前五个槽位，相应收紧结论范围；若抽取结果的实验值与计算值难以区分，则该批数据不用于性能一致性判定，仅用于条件字段的补充。</w:t>
      </w:r>
    </w:p>
    <w:p>
      <w:pPr>
        <w:ind w:firstLine="480" w:firstLineChars="200"/>
        <w:spacing w:line="312" w:lineRule="auto"/>
      </w:pPr>
      <w:r>
        <w:rPr>
          <w:rFonts w:ascii="Times New Roman" w:hAnsi="Times New Roman" w:eastAsia="宋体"/>
          <w:b w:val="0"/>
          <w:sz w:val="24"/>
        </w:rPr>
        <w:t>第三，抽取所得条件字段可能与原文不符。这是本课题要处理的问题本身，不能反过来假定抽取结果可信。处理办法是：抽取结果须附来源标识（DOI 与页码）与原文片段，抽样人工核验并报告一致率；不一致的处理作为检测环节的输入而非噪声直接剔除；若人工核验一致率过低，说明抽取协议须重新设计，不得在低质量数据上继续后续实验。</w:t>
      </w:r>
    </w:p>
    <w:p>
      <w:pPr>
        <w:ind w:firstLine="480" w:firstLineChars="200"/>
        <w:spacing w:line="312" w:lineRule="auto"/>
      </w:pPr>
      <w:r>
        <w:rPr>
          <w:rFonts w:ascii="Times New Roman" w:hAnsi="Times New Roman" w:eastAsia="宋体"/>
          <w:b w:val="0"/>
          <w:sz w:val="24"/>
        </w:rPr>
        <w:t>第四，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五，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六，多步执行可能使评价口径失焦。决策路径不唯一，同一任务可能有多条合理路径，若按单一轨迹判定正确性会误判。处理办法是把评价拆为最终答案正确性与关键决策点通过与否两部分，并说明主指标仍为单轮答案正确率；若多步结果与单轮结果方向不一致，以单轮结果为主并在结果中如实报告差异，不以多步表现替代主指标。凡属工程层面的选择，不作为方法贡献计入，其收益单独列出。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预期形成一份带条件元组的材料文献知识库规范、一种条件可比的证据组织与答案生成方法、一个小型条件冲突处置模型，以及一个可在本地运行、决策过程可追溯的多步 Agent 执行器。成果应包括版本化实验配置、对照结果与适用范围，而不只是模型文件或界面演示。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处置的训练与核验数据（规则弱标签加人工核验），完成教师示范采集与小模型蒸馏，并与规则弱标签、纯模型（不经过程示范）、一律标注不确定三种做法对照，确认过程示范相对其他做法的实际收益。同月完成多步 Agent 执行器的集成，固定动作空间与状态表示。</w:t>
      </w:r>
    </w:p>
    <w:p>
      <w:pPr>
        <w:ind w:firstLine="480" w:firstLineChars="200"/>
        <w:spacing w:line="312" w:lineRule="auto"/>
      </w:pPr>
      <w:r>
        <w:rPr>
          <w:rFonts w:ascii="Times New Roman" w:hAnsi="Times New Roman" w:eastAsia="宋体"/>
          <w:b w:val="0"/>
          <w:sz w:val="24"/>
        </w:rPr>
        <w:t>第 6 个月：完成条件字段绑定、条件判定、依据标注三项消融，逐组确认改进来源；另设仅用规则的基线测规则天花板，界定模型的必要性。同步在多步 Agent 载体上采集任务完成度数据，检验冲突处置是否改变最终任务结果。</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2026.（预印本）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2026.（预印本）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2026.（预印本）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16(6): 1-27. DOI: 10.1145/3699518.</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models[J]. Scientific Reports, 2025. DOI: 10.1038/s41598-025-03619-y.</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 models: an early evidence audit and evaluation checklist[EB/OL].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Tan Y, Yuan Y, Li, et al. Bootstrapping knowledge acquisition from domain text with a seed ontology and small language models[C]//Lecture Notes in Computer Science. 2026: 190-207. DOI: 10.1007/978-3-032-41614-8_11.</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