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面向材料文献问答的条件可比 RAG 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材料文献中"主题相关但条件不符"的证据极易被误用：同一成分在不同热处理与测试条件下的记录语义高度相似而物理上不可比较，通用检索结构无法区分二者，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材料文献问答是一项约束密集的任务，其难点不在生成语言，而在判断到手的信息是否可用。</w:t>
      </w:r>
      <w:r>
        <w:rPr>
          <w:rFonts w:ascii="Times New Roman" w:hAnsi="Times New Roman" w:eastAsia="宋体"/>
          <w:b w:val="0"/>
          <w:sz w:val="24"/>
        </w:rPr>
        <w:t xml:space="preserve"> 一条性能记录是否成立，取决于若干硬性条件：数值必须绑定其测量温度、制备工艺与试验类型；条件不同则数值不可直接比较。与此同时，同一成分在不同条件下往往存在多条记录，语义上高度相似。这一"语义相似而物理不可比"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语义相似而条件决定性"的专业问答场景都面临同样困难：材料文献、临床指南、法规条文，表述高度相似而适用条件不同，判定依据必须显式保留。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在科学文献问答方向，已有工作用类型化知识图谱改善本地小模型的检索：把文献中的证据组织为带类型的关系，并对比自动生成 schema 与专家定义 schema 两种做法，在自建基准上以六个维度（正确性、完整性等）评估，报告类型化检索优于常规检索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该类工作的组织单位是实体与关系，未涉及同一实体在不同实验条件下的可比性。此外，已有工作训练小模型承担证据接地的判断：用偏好优化把大模型推理蒸馏进四亿级参数的模型，判断文档与声明是否构成支持关系，在公开基准上取得与更大专用模型相当的准确率</w:t>
      </w:r>
      <w:r>
        <w:rPr>
          <w:rFonts w:ascii="Times New Roman" w:hAnsi="Times New Roman" w:eastAsia="宋体"/>
          <w:sz w:val="24"/>
          <w:vertAlign w:val="superscript"/>
        </w:rPr>
        <w:fldChar w:fldCharType="begin"/>
        <w:instrText xml:space="preserve"> REF _Ref_ref048 \h </w:instrText>
        <w:fldChar w:fldCharType="separate"/>
        <w:t xml:space="preserve">[48]</w:t>
        <w:fldChar w:fldCharType="end"/>
      </w:r>
      <w:r>
        <w:rPr>
          <w:rFonts w:ascii="Times New Roman" w:hAnsi="Times New Roman" w:eastAsia="宋体"/>
          <w:b w:val="0"/>
          <w:sz w:val="24"/>
        </w:rPr>
        <w:t>；其判定对象是"声明是否被文档支持"，不涉及"文档的测试条件是否与问题匹配"。另有工作把大模型 RAG 的证据与图谱蒸馏进小模型，以缓解幻觉</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，其蒸馏对象是检索与生成的整体行为，未区分条件层面的判断。本体在检索中的应用还有另一条路线：用本体锚定检索过程并按本体结构组织文档</w:t>
      </w:r>
      <w:r>
        <w:rPr>
          <w:rFonts w:ascii="Times New Roman" w:hAnsi="Times New Roman" w:eastAsia="宋体"/>
          <w:sz w:val="24"/>
          <w:vertAlign w:val="superscript"/>
        </w:rPr>
        <w:fldChar w:fldCharType="begin"/>
        <w:instrText xml:space="preserve"> REF _Ref_ref046 \h </w:instrText>
        <w:fldChar w:fldCharType="separate"/>
        <w:t xml:space="preserve">[46]</w:t>
        <w:fldChar w:fldCharType="end"/>
      </w:r>
      <w:r>
        <w:rPr>
          <w:rFonts w:ascii="Times New Roman" w:hAnsi="Times New Roman" w:eastAsia="宋体"/>
          <w:b w:val="0"/>
          <w:sz w:val="24"/>
        </w:rPr>
        <w:t>，或判定实体归属哪一本体类</w:t>
      </w:r>
      <w:r>
        <w:rPr>
          <w:rFonts w:ascii="Times New Roman" w:hAnsi="Times New Roman" w:eastAsia="宋体"/>
          <w:sz w:val="24"/>
          <w:vertAlign w:val="superscript"/>
        </w:rPr>
        <w:fldChar w:fldCharType="begin"/>
        <w:instrText xml:space="preserve"> REF _Ref_ref049 \h </w:instrText>
        <w:fldChar w:fldCharType="separate"/>
        <w:t xml:space="preserve">[49]</w:t>
        <w:fldChar w:fldCharType="end"/>
      </w:r>
      <w:r>
        <w:rPr>
          <w:rFonts w:ascii="Times New Roman" w:hAnsi="Times New Roman" w:eastAsia="宋体"/>
          <w:b w:val="0"/>
          <w:sz w:val="24"/>
        </w:rPr>
        <w:t>，或先用种子本体指导数据增强再微调小模型</w:t>
      </w:r>
      <w:r>
        <w:rPr>
          <w:rFonts w:ascii="Times New Roman" w:hAnsi="Times New Roman" w:eastAsia="宋体"/>
          <w:sz w:val="24"/>
          <w:vertAlign w:val="superscript"/>
        </w:rPr>
        <w:fldChar w:fldCharType="begin"/>
        <w:instrText xml:space="preserve"> REF _Ref_ref052 \h </w:instrText>
        <w:fldChar w:fldCharType="separate"/>
        <w:t xml:space="preserve">[52]</w:t>
        <w:fldChar w:fldCharType="end"/>
      </w:r>
      <w:r>
        <w:rPr>
          <w:rFonts w:ascii="Times New Roman" w:hAnsi="Times New Roman" w:eastAsia="宋体"/>
          <w:b w:val="0"/>
          <w:sz w:val="24"/>
        </w:rPr>
        <w:t>；这些工作的共同点是围绕实体与类型展开，均未把实验条件作为独立维度纳入判定。在材料领域，已有工作直接把"证据是否可用"作为推理的前置门控：ARIA 按因果完整性把推理分为三级，证据链完整时直接推理、不完整时降级为物理类比或参数化回退，并保留可审计的因果轨迹</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这一设计说明"按证据完整性分级处置"的思路在材料任务上已获验证，其判据是因果链的完整性，而非本课题关注的条件字段一致性。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综合上述，领域适配、小模型蒸馏、数据选择与检索增强均已有较成熟的研究。科学文献问答方向亦已成形：既有工作用类型化知识图谱组织文献证据以改善小模型检索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，也有工作把大模型的检索与生成行为蒸馏进小模型</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；材料领域则已有双源离线检索增强的实践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。可延伸的问题因此不是"是否有人做过"，而是一个更具体的缺口：</w:t>
      </w:r>
      <w:r>
        <w:rPr>
          <w:rFonts w:ascii="Times New Roman" w:hAnsi="Times New Roman" w:eastAsia="宋体"/>
          <w:b/>
          <w:sz w:val="24"/>
        </w:rPr>
        <w:t>当检索到的证据在语义上高度相关、在物理条件上却不可直接比较时，应以何种数据结构保存条件、以何种信号判断其可用性，并使该判断在训练与推理两个阶段保持一致。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条件可比的检索增强生成"为技术形态，构建一个面向材料文献问答的本地知识库与问答原型，并通过选择性蒸馏提升小模型使用条件信息的能力。与不做条件区分的常规检索增强不同，本课题把实验条件作为证据的一等属性组织进知识库：每条证据绑定测试温度、制备工艺与试验类型，检索结果因此自带可比性信息；生成前先判定证据与问题的条件关系，答案须标注所依据记录的条件，使结论的适用范围可见。研究工作先界定知识库的记录结构与条件字段，明确可用字段与缺失处理；再构造问答对与评测集，按来源分组划分数据分区；核心环节是条件判定与冲突处置，规则处理可判定的情形，模型补位处置决策；最后在分问题类型的答案正确率与错误归因上完成评估。上述环节共同支撑一个可在本地运行、答案依据可追溯的问答原型。</w:t>
      </w:r>
    </w:p>
    <w:p>
      <w:pPr>
        <w:pStyle w:val="Heading3"/>
      </w:pPr>
      <w:r>
        <w:rPr>
          <w:rFonts w:ascii="Times New Roman" w:hAnsi="Times New Roman" w:eastAsia="黑体"/>
          <w:b/>
          <w:sz w:val="28"/>
        </w:rPr>
        <w:t>3.1.1 条件空间覆盖驱动的证据集选择方法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材料性能数据的可用性由观测条件决定，而条件是连续量或有序量。测试温度带量纲，制备工艺在工序链上有先后，二者均存在"接近程度"之分。现有做法把条件判定写成离散分类，实现简单但抹掉了量的差别：温度相差五度与相差七百度被判为同一结果，实际可用性相差极大。</w:t>
      </w:r>
    </w:p>
    <w:p>
      <w:pPr>
        <w:ind w:firstLine="480" w:firstLineChars="200"/>
        <w:spacing w:line="312" w:lineRule="auto"/>
      </w:pPr>
      <w:r>
        <w:rPr>
          <w:rFonts w:ascii="Times New Roman" w:hAnsi="Times New Roman" w:eastAsia="宋体"/>
          <w:b/>
          <w:sz w:val="24"/>
        </w:rPr>
        <w:t>实测依据。</w:t>
      </w:r>
      <w:r>
        <w:rPr>
          <w:rFonts w:ascii="Times New Roman" w:hAnsi="Times New Roman" w:eastAsia="宋体"/>
          <w:b w:val="0"/>
          <w:sz w:val="24"/>
        </w:rPr>
        <w:t xml:space="preserve"> 对主线数据中同成分、温度不同的四千六百六十二对配对统计：按离散判定全部落入"冲突"一档；但温差不超过五摄氏度者一百一十九对，六至二十摄氏度者八十一对，合计两百对约占百分之四点三。这两百对物理上接近等价，离散判定却把它们与相差数百度的配对一并排除。对问答系统而言，这意味着四点三成的可用证据被系统性误弃。</w:t>
      </w:r>
    </w:p>
    <w:p>
      <w:pPr>
        <w:ind w:firstLine="480" w:firstLineChars="200"/>
        <w:spacing w:line="312" w:lineRule="auto"/>
      </w:pPr>
      <w:r>
        <w:rPr>
          <w:rFonts w:ascii="Times New Roman" w:hAnsi="Times New Roman" w:eastAsia="宋体"/>
          <w:b/>
          <w:sz w:val="24"/>
        </w:rPr>
        <w:t>问题形式化。</w:t>
      </w:r>
      <w:r>
        <w:rPr>
          <w:rFonts w:ascii="Times New Roman" w:hAnsi="Times New Roman" w:eastAsia="宋体"/>
          <w:b w:val="0"/>
          <w:sz w:val="24"/>
        </w:rPr>
        <w:t xml:space="preserve"> 把证据选择写成单调查集函数的最大化问题。记问题所需的条件区间为 Q = [L, U]，证据 e 的观测温度为 t_e，容差为 δ，则单条证据对需求区间的贡献为两区间交集长度与需求区间长度之比：</w:t>
      </w:r>
    </w:p>
    <w:p>
      <w:pPr>
        <w:ind w:firstLine="480" w:firstLineChars="200"/>
        <w:spacing w:line="312" w:lineRule="auto"/>
      </w:pPr>
      <w:r>
        <w:rPr>
          <w:rFonts w:ascii="Times New Roman" w:hAnsi="Times New Roman" w:eastAsia="宋体"/>
          <w:b w:val="0"/>
          <w:sz w:val="24"/>
        </w:rPr>
        <w:t>c_e(Q) = | [L, U] ∩ [t_e − δ, t_e + δ] | / (U − L)</w:t>
      </w:r>
    </w:p>
    <w:p>
      <w:pPr>
        <w:ind w:firstLine="480" w:firstLineChars="200"/>
        <w:spacing w:line="312" w:lineRule="auto"/>
      </w:pPr>
      <w:r>
        <w:rPr>
          <w:rFonts w:ascii="Times New Roman" w:hAnsi="Times New Roman" w:eastAsia="宋体"/>
          <w:b w:val="0"/>
          <w:sz w:val="24"/>
        </w:rPr>
        <w:t>对证据子集 S，定义集合覆盖函数为各证据贡献区间之并的长度，再除以需求区间长度以归一化：</w:t>
      </w:r>
    </w:p>
    <w:p>
      <w:pPr>
        <w:ind w:firstLine="480" w:firstLineChars="200"/>
        <w:spacing w:line="312" w:lineRule="auto"/>
      </w:pPr>
      <w:r>
        <w:rPr>
          <w:rFonts w:ascii="Times New Roman" w:hAnsi="Times New Roman" w:eastAsia="宋体"/>
          <w:b w:val="0"/>
          <w:sz w:val="24"/>
        </w:rPr>
        <w:t>f(S; Q) = | ⋃_{e∈S} ( [L, U] ∩ [t_e − δ, t_e + δ] ) | / (U − L)</w:t>
      </w:r>
    </w:p>
    <w:p>
      <w:pPr>
        <w:ind w:firstLine="480" w:firstLineChars="200"/>
        <w:spacing w:line="312" w:lineRule="auto"/>
      </w:pPr>
      <w:r>
        <w:rPr>
          <w:rFonts w:ascii="Times New Roman" w:hAnsi="Times New Roman" w:eastAsia="宋体"/>
          <w:b w:val="0"/>
          <w:sz w:val="24"/>
        </w:rPr>
        <w:t>该函数的含义是"子集 S 覆盖了需求区间的多大部分"。与逐条判定相比，它衡量的是</w:t>
      </w:r>
      <w:r>
        <w:rPr>
          <w:rFonts w:ascii="Times New Roman" w:hAnsi="Times New Roman" w:eastAsia="宋体"/>
          <w:b/>
          <w:sz w:val="24"/>
        </w:rPr>
        <w:t>集合层面</w:t>
      </w:r>
      <w:r>
        <w:rPr>
          <w:rFonts w:ascii="Times New Roman" w:hAnsi="Times New Roman" w:eastAsia="宋体"/>
          <w:b w:val="0"/>
          <w:sz w:val="24"/>
        </w:rPr>
        <w:t>的覆盖，因而能区分"单条证据只覆盖一半"、"两条证据各覆盖一半而合起来恰好覆盖全部"这两种情况：后者在离散判定下与前者同为"部分冲突"，在覆盖函数下得分为一。</w:t>
      </w:r>
    </w:p>
    <w:p>
      <w:pPr>
        <w:ind w:firstLine="480" w:firstLineChars="200"/>
        <w:spacing w:line="312" w:lineRule="auto"/>
      </w:pPr>
      <w:r>
        <w:rPr>
          <w:rFonts w:ascii="Times New Roman" w:hAnsi="Times New Roman" w:eastAsia="宋体"/>
          <w:b/>
          <w:sz w:val="24"/>
        </w:rPr>
        <w:t>子模性。</w:t>
      </w:r>
      <w:r>
        <w:rPr>
          <w:rFonts w:ascii="Times New Roman" w:hAnsi="Times New Roman" w:eastAsia="宋体"/>
          <w:b w:val="0"/>
          <w:sz w:val="24"/>
        </w:rPr>
        <w:t xml:space="preserve"> 上式满足单调与子模两个性质。单调性来自并集测度随集合增大不减；子模性即边际收益递减：对任意 A ⊆ B 与任意证据 x ∉ B，有</w:t>
      </w:r>
    </w:p>
    <w:p>
      <w:pPr>
        <w:ind w:firstLine="480" w:firstLineChars="200"/>
        <w:spacing w:line="312" w:lineRule="auto"/>
      </w:pPr>
      <w:r>
        <w:rPr>
          <w:rFonts w:ascii="Times New Roman" w:hAnsi="Times New Roman" w:eastAsia="宋体"/>
          <w:b w:val="0"/>
          <w:sz w:val="24"/>
        </w:rPr>
        <w:t>f(A ∪ {x}) − f(A)  ≥  f(B ∪ {x}) − f(B)</w:t>
      </w:r>
    </w:p>
    <w:p>
      <w:pPr>
        <w:ind w:firstLine="480" w:firstLineChars="200"/>
        <w:spacing w:line="312" w:lineRule="auto"/>
      </w:pPr>
      <w:r>
        <w:rPr>
          <w:rFonts w:ascii="Times New Roman" w:hAnsi="Times New Roman" w:eastAsia="宋体"/>
          <w:b w:val="0"/>
          <w:sz w:val="24"/>
        </w:rPr>
        <w:t>其含义是已被覆盖的区间再次被覆盖不产生增量，故先将 x 加入较小的集合收益更大。这两条性质决定了在基数约束 |S| ≤ k 下：已被覆盖的区间再次被覆盖不产生增量。这两条性质决定了在基数约束 |S|\le k 下的贪心选择具有近似保证。本课题已用主线数据对该性质做过数值检验：在三个不同需求区间与容差组合下各随机抽取三千个实例，检验边际收益递减不等式，违反数为零。</w:t>
      </w:r>
    </w:p>
    <w:p>
      <w:pPr>
        <w:ind w:firstLine="480" w:firstLineChars="200"/>
        <w:spacing w:line="312" w:lineRule="auto"/>
      </w:pPr>
      <w:r>
        <w:rPr>
          <w:rFonts w:ascii="Times New Roman" w:hAnsi="Times New Roman" w:eastAsia="宋体"/>
          <w:b/>
          <w:sz w:val="24"/>
        </w:rPr>
        <w:t>近似比与求解。</w:t>
      </w:r>
      <w:r>
        <w:rPr>
          <w:rFonts w:ascii="Times New Roman" w:hAnsi="Times New Roman" w:eastAsia="宋体"/>
          <w:b w:val="0"/>
          <w:sz w:val="24"/>
        </w:rPr>
        <w:t xml:space="preserve"> 在单调子模与基数约束下，贪心算法达到至少 (1 − 1/e) 的近似比，该结论由 Nemhauser 等人给出</w:t>
      </w:r>
      <w:r>
        <w:rPr>
          <w:rFonts w:ascii="Times New Roman" w:hAnsi="Times New Roman" w:eastAsia="宋体"/>
          <w:sz w:val="24"/>
          <w:vertAlign w:val="superscript"/>
        </w:rPr>
        <w:fldChar w:fldCharType="begin"/>
        <w:instrText xml:space="preserve"> REF _Ref_ref063 \h </w:instrText>
        <w:fldChar w:fldCharType="separate"/>
        <w:t xml:space="preserve">[63]</w:t>
        <w:fldChar w:fldCharType="end"/>
      </w:r>
      <w:r>
        <w:rPr>
          <w:rFonts w:ascii="Times New Roman" w:hAnsi="Times New Roman" w:eastAsia="宋体"/>
          <w:b w:val="0"/>
          <w:sz w:val="24"/>
        </w:rPr>
        <w:t>。本课题进一步用穷举对照验证了实际表现：在证据池随机抽取十个候选、取 k=3 的六十个实例上，贪心结果与穷举最优的比值全部为一，即在该规模下贪心已达到最优。求解只需按边际增益排序的贪心过程，计算代价为 O(k\cdot n) 次函数求值，对本地部署不构成负担。</w:t>
      </w:r>
    </w:p>
    <w:p>
      <w:pPr>
        <w:ind w:firstLine="480" w:firstLineChars="200"/>
        <w:spacing w:line="312" w:lineRule="auto"/>
      </w:pPr>
      <w:r>
        <w:rPr>
          <w:rFonts w:ascii="Times New Roman" w:hAnsi="Times New Roman" w:eastAsia="宋体"/>
          <w:b/>
          <w:sz w:val="24"/>
        </w:rPr>
        <w:t>与既有工作的差别。</w:t>
      </w:r>
      <w:r>
        <w:rPr>
          <w:rFonts w:ascii="Times New Roman" w:hAnsi="Times New Roman" w:eastAsia="宋体"/>
          <w:b w:val="0"/>
          <w:sz w:val="24"/>
        </w:rPr>
        <w:t xml:space="preserve"> 已有工作把 RAG 的文档选择表述为背包约束下的单调子模最大化，目标函数实例化为查询词上的加权覆盖函数，并指出标准 top-k 选择常把预算浪费在冗余证据上</w:t>
      </w:r>
      <w:r>
        <w:rPr>
          <w:rFonts w:ascii="Times New Roman" w:hAnsi="Times New Roman" w:eastAsia="宋体"/>
          <w:sz w:val="24"/>
          <w:vertAlign w:val="superscript"/>
        </w:rPr>
        <w:fldChar w:fldCharType="begin"/>
        <w:instrText xml:space="preserve"> REF _Ref_ref062 \h </w:instrText>
        <w:fldChar w:fldCharType="separate"/>
        <w:t xml:space="preserve">[62]</w:t>
        <w:fldChar w:fldCharType="end"/>
      </w:r>
      <w:r>
        <w:rPr>
          <w:rFonts w:ascii="Times New Roman" w:hAnsi="Times New Roman" w:eastAsia="宋体"/>
          <w:b w:val="0"/>
          <w:sz w:val="24"/>
        </w:rPr>
        <w:t>。本项的覆盖对象不同：覆盖的不是离散查询词，而是</w:t>
      </w:r>
      <w:r>
        <w:rPr>
          <w:rFonts w:ascii="Times New Roman" w:hAnsi="Times New Roman" w:eastAsia="宋体"/>
          <w:b/>
          <w:sz w:val="24"/>
        </w:rPr>
        <w:t>带量纲的连续条件区间</w:t>
      </w:r>
      <w:r>
        <w:rPr>
          <w:rFonts w:ascii="Times New Roman" w:hAnsi="Times New Roman" w:eastAsia="宋体"/>
          <w:b w:val="0"/>
          <w:sz w:val="24"/>
        </w:rPr>
        <w:t>；函数形式相应改为区间测度之并，而非词语命中计数。这一改动使覆盖函数具备可解释的物理含义：得分零点六即表示需求条件被覆盖六成，可直接用于分级处置。</w:t>
      </w:r>
    </w:p>
    <w:p>
      <w:pPr>
        <w:ind w:firstLine="480" w:firstLineChars="200"/>
        <w:spacing w:line="312" w:lineRule="auto"/>
      </w:pPr>
      <w:r>
        <w:rPr>
          <w:rFonts w:ascii="Times New Roman" w:hAnsi="Times New Roman" w:eastAsia="宋体"/>
          <w:b/>
          <w:sz w:val="24"/>
        </w:rPr>
        <w:t>工艺与试验类型维度。</w:t>
      </w:r>
      <w:r>
        <w:rPr>
          <w:rFonts w:ascii="Times New Roman" w:hAnsi="Times New Roman" w:eastAsia="宋体"/>
          <w:b w:val="0"/>
          <w:sz w:val="24"/>
        </w:rPr>
        <w:t xml:space="preserve"> 制备工艺在工序链上为类别标签但存在先后关系，先按材料领域确认的工序顺序映射到有序位置，再以工序距离核函数替代区间重叠；该映射列为待校准项，不由本研究单方面设定。试验类型（压缩与拉伸）在物理上不可换算，保持离散约束而非并入覆盖函数。</w:t>
      </w:r>
    </w:p>
    <w:p>
      <w:pPr>
        <w:ind w:firstLine="480" w:firstLineChars="200"/>
        <w:spacing w:line="312" w:lineRule="auto"/>
      </w:pPr>
      <w:r>
        <w:rPr>
          <w:rFonts w:ascii="Times New Roman" w:hAnsi="Times New Roman" w:eastAsia="宋体"/>
          <w:b/>
          <w:sz w:val="24"/>
        </w:rPr>
        <w:t>可检验的主张。</w:t>
      </w:r>
      <w:r>
        <w:rPr>
          <w:rFonts w:ascii="Times New Roman" w:hAnsi="Times New Roman" w:eastAsia="宋体"/>
          <w:b w:val="0"/>
          <w:sz w:val="24"/>
        </w:rPr>
        <w:t xml:space="preserve"> 与离散三态判定、按规则硬过滤、以及既有子模文档选择方法三种做法对照；分别移除覆盖函数的集合并运算（退化为逐条最大值）、移除缺失维度识别、移除工艺维度。若移除某组件后正确率不降，则该组件不构成贡献，如实报告。</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预期形成一套条件空间覆盖驱动的证据集选择方法，给出覆盖函数的定义、子模性的论证与贪心求解的近似比，并在条件敏感问题上报告相对离散判定与既有子模选择方法的正确率差异。</w:t>
      </w:r>
    </w:p>
    <w:p>
      <w:pPr>
        <w:pStyle w:val="Heading3"/>
      </w:pPr>
      <w:r>
        <w:rPr>
          <w:rFonts w:ascii="Times New Roman" w:hAnsi="Times New Roman" w:eastAsia="黑体"/>
          <w:b/>
          <w:sz w:val="28"/>
        </w:rPr>
        <w:t>3.1.2 小模型的条件覆盖度修正与处置决策蒸馏</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覆盖度计算由规则完成，但规则只能给出几何意义上的量，无法判断该量在真实问答中是否可接受。温度重叠度为零点六意味着"可以勉强使用"还是"仍应排除"，取决于材料类型、性能指标与用户容差，规则无法枚举。这一判断需由模型学习，而模型须先有可靠的训练信号。</w:t>
      </w:r>
    </w:p>
    <w:p>
      <w:pPr>
        <w:ind w:firstLine="480" w:firstLineChars="200"/>
        <w:spacing w:line="312" w:lineRule="auto"/>
      </w:pPr>
      <w:r>
        <w:rPr>
          <w:rFonts w:ascii="Times New Roman" w:hAnsi="Times New Roman" w:eastAsia="宋体"/>
          <w:b/>
          <w:sz w:val="24"/>
        </w:rPr>
        <w:t>实测依据。</w:t>
      </w:r>
      <w:r>
        <w:rPr>
          <w:rFonts w:ascii="Times New Roman" w:hAnsi="Times New Roman" w:eastAsia="宋体"/>
          <w:b w:val="0"/>
          <w:sz w:val="24"/>
        </w:rPr>
        <w:t xml:space="preserve"> 对主线数据的统计显示，条件字段已高度标准化：制备工艺仅有若干枚举取值，试验类型分压缩与拉伸，温度为数值型字段。按问题与证据的配对统计，规则能够完全判定的情形约占百分之八十九，另有约百分之七可部分判定，真正无规则结论的约百分之四。这一分布决定了模型的任务不应是"判断条件是否相符"（规则已能算），而应是"给定算出的覆盖度，判断该证据在答案中应承担何种角色"。小模型能否有效利用给定的结构化信息本身需要验证：已有实证显示参数量较小的模型即使获得含正确信息的输入，仍存在提取失败</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，故本项对模型的增益单独设对照而非预设成立。</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这一训练。第一，标签来源。覆盖度到处置的映射没有现成标注体系，只能由规则给出弱标签、人工核验修正，规模受人工成本约束；此类"不作生成、只作判定"的范式已有工作做过证据审计并给出评估清单</w:t>
      </w:r>
      <w:r>
        <w:rPr>
          <w:rFonts w:ascii="Times New Roman" w:hAnsi="Times New Roman" w:eastAsia="宋体"/>
          <w:sz w:val="24"/>
          <w:vertAlign w:val="superscript"/>
        </w:rPr>
        <w:fldChar w:fldCharType="begin"/>
        <w:instrText xml:space="preserve"> REF _Ref_ref050 \h </w:instrText>
        <w:fldChar w:fldCharType="separate"/>
        <w:t xml:space="preserve">[50]</w:t>
        <w:fldChar w:fldCharType="end"/>
      </w:r>
      <w:r>
        <w:rPr>
          <w:rFonts w:ascii="Times New Roman" w:hAnsi="Times New Roman" w:eastAsia="宋体"/>
          <w:b w:val="0"/>
          <w:sz w:val="24"/>
        </w:rPr>
        <w:t>，其共同前提是存在可靠的选项定义与标签来源。第二，输入表示。若把原始文本喂给模型，模型需重新学习如何比对条件，而这部分规则已算得更好；应以覆盖度向量与缺失维度列表为输入，使模型专注于阈值判断而非重复计算。第三，评价。若不能把模型的贡献与规则阈值分开计量，就无法判断模型是否必要。</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模型从原始文本重新学判定，一是浪费训练信号，二是引入规则已解决的误差。若不做分离计量，则可能出现模型增益微弱而未被察觉的情形。若标签完全依赖规则而不加人工核验，则标签错误会沿模型传播，而错误来源无法追溯。已有的蒸馏可靠性研究亦表明，训练样本的可靠性估计会影响蒸馏效果，可靠性不足时蒸馏可能带来负迁移</w:t>
      </w:r>
      <w:r>
        <w:rPr>
          <w:rFonts w:ascii="Times New Roman" w:hAnsi="Times New Roman" w:eastAsia="宋体"/>
          <w:sz w:val="24"/>
          <w:vertAlign w:val="superscript"/>
        </w:rPr>
        <w:fldChar w:fldCharType="begin"/>
        <w:instrText xml:space="preserve"> REF _Ref_ref060 \h </w:instrText>
        <w:fldChar w:fldCharType="separate"/>
        <w:t xml:space="preserve">[60]</w:t>
        <w:fldChar w:fldCharType="end"/>
      </w:r>
      <w:r>
        <w:rPr>
          <w:rFonts w:ascii="Times New Roman" w:hAnsi="Times New Roman" w:eastAsia="宋体"/>
          <w:sz w:val="24"/>
          <w:vertAlign w:val="superscript"/>
        </w:rPr>
        <w:fldChar w:fldCharType="begin"/>
        <w:instrText xml:space="preserve"> REF _Ref_ref061 \h </w:instrText>
        <w:fldChar w:fldCharType="separate"/>
        <w:t xml:space="preserve">[61]</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分三步处理。</w:t>
      </w:r>
    </w:p>
    <w:p>
      <w:pPr>
        <w:ind w:firstLine="480" w:firstLineChars="200"/>
        <w:spacing w:line="312" w:lineRule="auto"/>
      </w:pPr>
      <w:r>
        <w:rPr>
          <w:rFonts w:ascii="Times New Roman" w:hAnsi="Times New Roman" w:eastAsia="宋体"/>
          <w:b w:val="0"/>
          <w:sz w:val="24"/>
        </w:rPr>
        <w:t>第一步，以覆盖度向量为输入的轻量判别模型。模型的输入不是原始文本，而是规则算出的覆盖度向量与缺失维度标志；输出是对该覆盖度的修正量与处置建议（直接采用、标注条件后采用、仅作背景、排除）。这一设计使模型与规则分工明确：规则负责计算几何量，模型负责判断该量是否可接受。</w:t>
      </w:r>
    </w:p>
    <w:p>
      <w:pPr>
        <w:ind w:firstLine="480" w:firstLineChars="200"/>
        <w:spacing w:line="312" w:lineRule="auto"/>
      </w:pPr>
      <w:r>
        <w:rPr>
          <w:rFonts w:ascii="Times New Roman" w:hAnsi="Times New Roman" w:eastAsia="宋体"/>
          <w:b w:val="0"/>
          <w:sz w:val="24"/>
        </w:rPr>
        <w:t>第二步，规则弱标签加人工核验构造训练集。已有弱监督工作研究如何用规则加少量人工标注获得高覆盖标签</w:t>
      </w:r>
      <w:r>
        <w:rPr>
          <w:rFonts w:ascii="Times New Roman" w:hAnsi="Times New Roman" w:eastAsia="宋体"/>
          <w:sz w:val="24"/>
          <w:vertAlign w:val="superscript"/>
        </w:rPr>
        <w:fldChar w:fldCharType="begin"/>
        <w:instrText xml:space="preserve"> REF _Ref_ref058 \h </w:instrText>
        <w:fldChar w:fldCharType="separate"/>
        <w:t xml:space="preserve">[58]</w:t>
        <w:fldChar w:fldCharType="end"/>
      </w:r>
      <w:r>
        <w:rPr>
          <w:rFonts w:ascii="Times New Roman" w:hAnsi="Times New Roman" w:eastAsia="宋体"/>
          <w:b w:val="0"/>
          <w:sz w:val="24"/>
        </w:rPr>
        <w:t>，其对象是样本分类标签；本项的对象是覆盖度到处置的映射，判定依据是覆盖度数值与问题意图的关系，二者不同。规则按覆盖度阈值给出初始处置建议，该建议只作标注起点；人工结合问题意图与整组候选证据核验并确定最终处置。人工核验规模与实际分布如实报告，并报告规则弱标签与人工判断的一致率。若一致率过低，说明阈值设计不足以支撑标注，须重新设计。</w:t>
      </w:r>
    </w:p>
    <w:p>
      <w:pPr>
        <w:ind w:firstLine="480" w:firstLineChars="200"/>
        <w:spacing w:line="312" w:lineRule="auto"/>
      </w:pPr>
      <w:r>
        <w:rPr>
          <w:rFonts w:ascii="Times New Roman" w:hAnsi="Times New Roman" w:eastAsia="宋体"/>
          <w:b w:val="0"/>
          <w:sz w:val="24"/>
        </w:rPr>
        <w:t>第三步，分离计量。设四组对照：规则阈值处置、模型处置（不经过程示范）、模型处置（经过程示范）、一律标注为不确定。第四组的作用是排除"模型只是学会了保守"这一解释；若模型与第四组相当，则蒸馏的必要性需要重新论证。</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以覆盖度向量为输入，使模型专注于规则无法完成的阈值判断，避免重复计算；以弱标签加人工核验构造训练集，在材料领域缺乏标注体系的条件下使训练可行；四组对照使模型贡献可被计量，而非依赖整体正确率。</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预期形成一套覆盖度修正与处置决策的蒸馏方法，并报告三项结果：规则弱标签与人工判断的一致率、模型相对规则阈值的增益、模型相对"一律标注不确定"的增量。</w:t>
      </w:r>
    </w:p>
    <w:p>
      <w:pPr>
        <w:pStyle w:val="Heading3"/>
      </w:pPr>
      <w:r>
        <w:rPr>
          <w:rFonts w:ascii="Times New Roman" w:hAnsi="Times New Roman" w:eastAsia="黑体"/>
          <w:b/>
          <w:sz w:val="28"/>
        </w:rPr>
        <w:t>3.1.3 面向材料文献问答的多步 Agent 执行器实现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而这一载体不能是单轮问答。单轮问答只能检验"一次检索加一次生成"是否给出正确答案，无法检验本课题的核心主张：当检索到的证据条件不符时，系统能否作出恰当处置。这类处置在交互中才显现出来：检索到高温数据而用户问室温，系统是应当如实说明未找到该条件下的数据、还是追问用户是否接受相近条件、还是改用其他成分或工艺路径重新检索，三种反应对应不同的正确行为，单轮问答无法区分。因此本部分实现一个可在本地运行的多步 Agent 执行器，作为方法验证的载体。该执行器不主张算法创新，其定位是验证工具与本课题"可落地项目"的交付物。</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四。第一，多步执行使状态管理复杂化：已检索过的条件、已判定为冲突的证据、已告知用户的限制，都需在轮次间保持，否则会重复检索或自相矛盾。第二，决策路径不唯一，同一任务可能有多条合理路径，这使"正确性"难以按单一轨迹判定，须改为按最终状态与关键决策点判定。第三，实验可复现依赖对决策过程的完整记录，若只保存最终答案，无法分析失败发生在哪一步。第四，本地部署形态下，模型、嵌入与检索均须离线，需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载体时，覆盖度判定的价值无法被观测：覆盖度数值是否恰当只体现在细粒度的阈值判断上，而无法体现为任务是否完成。若决策路径缺少记录，则多轮失败无法归因，也无法判断增益来自检索改进、判定改进还是决策策略改进。若状态管理不当，会出现同一问题在多轮中被反复检索、或先说明"未找到"随后又给出数据这类自相矛盾。</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执行器按四条线组织，方法与载体严格分离。</w:t>
      </w:r>
    </w:p>
    <w:p>
      <w:pPr>
        <w:ind w:firstLine="480" w:firstLineChars="200"/>
        <w:spacing w:line="312" w:lineRule="auto"/>
      </w:pPr>
      <w:r>
        <w:rPr>
          <w:rFonts w:ascii="Times New Roman" w:hAnsi="Times New Roman" w:eastAsia="宋体"/>
          <w:b w:val="0"/>
          <w:sz w:val="24"/>
        </w:rPr>
        <w:t>第一条，动作空间的最小化设计。执行器只暴露与条件处理直接相关的动作，避免把工程复杂度引入评测：检索（可带条件约束）、条件判定（复用 3.1.1 的规则与模型）、证据取舍（采用、降级、排除）、澄清追问（条件不足时向用户确认）、终止作答（给出答案或如实说明不可得）。动作集合保持固定，使其本身不成为实验变量。</w:t>
      </w:r>
    </w:p>
    <w:p>
      <w:pPr>
        <w:ind w:firstLine="480" w:firstLineChars="200"/>
        <w:spacing w:line="312" w:lineRule="auto"/>
      </w:pPr>
      <w:r>
        <w:rPr>
          <w:rFonts w:ascii="Times New Roman" w:hAnsi="Times New Roman" w:eastAsia="宋体"/>
          <w:b w:val="0"/>
          <w:sz w:val="24"/>
        </w:rPr>
        <w:t>第二条，逐轮状态的显式保存。每轮记录当前问题的条件需求、已检索候选及其条件状态、已作出的取舍、已向用户声明过的限制。状态以结构化形式保存，使任一时刻的决策可回溯到当时的可见信息，而不是事后重构。</w:t>
      </w:r>
    </w:p>
    <w:p>
      <w:pPr>
        <w:ind w:firstLine="480" w:firstLineChars="200"/>
        <w:spacing w:line="312" w:lineRule="auto"/>
      </w:pPr>
      <w:r>
        <w:rPr>
          <w:rFonts w:ascii="Times New Roman" w:hAnsi="Times New Roman" w:eastAsia="宋体"/>
          <w:b w:val="0"/>
          <w:sz w:val="24"/>
        </w:rPr>
        <w:t>第三条，决策过程的完整留痕。除最终答案外，保存每一步的动作选择、依据与中间结论。评测时既看最终答案是否正确，也看关键决策点是否处理正确，例如在仅有冲突证据时是否选择了澄清或如实说明，而非直接采用。</w:t>
      </w:r>
    </w:p>
    <w:p>
      <w:pPr>
        <w:ind w:firstLine="480" w:firstLineChars="200"/>
        <w:spacing w:line="312" w:lineRule="auto"/>
      </w:pPr>
      <w:r>
        <w:rPr>
          <w:rFonts w:ascii="Times New Roman" w:hAnsi="Times New Roman" w:eastAsia="宋体"/>
          <w:b w:val="0"/>
          <w:sz w:val="24"/>
        </w:rPr>
        <w:t>第四条，本地部署边界核查。逐项检查模型、嵌入模型与检索组件是否存在联网传输，对内部数据的上传与外发分别取得授权。</w:t>
      </w:r>
    </w:p>
    <w:p>
      <w:pPr>
        <w:ind w:firstLine="480" w:firstLineChars="200"/>
        <w:spacing w:line="312" w:lineRule="auto"/>
      </w:pPr>
      <w:r>
        <w:rPr>
          <w:rFonts w:ascii="Times New Roman" w:hAnsi="Times New Roman" w:eastAsia="宋体"/>
          <w:b/>
          <w:sz w:val="24"/>
        </w:rPr>
        <w:t>该实现能解决什么问题。</w:t>
      </w:r>
      <w:r>
        <w:rPr>
          <w:rFonts w:ascii="Times New Roman" w:hAnsi="Times New Roman" w:eastAsia="宋体"/>
          <w:b w:val="0"/>
          <w:sz w:val="24"/>
        </w:rPr>
        <w:t xml:space="preserve"> 该载体使覆盖度判定的价值可被观测：不仅能测阈值判断是否准确，还能测该判断是否改变了最终任务结果。动作空间固定使不同方法的比较不受工程差异干扰；状态与过程留痕使多轮失败可归因到具体环节；方法层与载体层分离，使工程改动不会被误读为算法贡献。</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预期交付一个可在本地运行、决策过程逐步可追溯的多步 Agent 执行器，与条件绑定的知识库、条件判定模块共同构成完整的验证环境，并作为学院要求"可落地项目"的交付物。其评测结果作为第二项研究内容的支撑证据，主指标仍以单轮条件下的答案正确率与既有工作对比。</w:t>
      </w:r>
    </w:p>
    <w:p>
      <w:pPr>
        <w:pStyle w:val="Heading3"/>
      </w:pPr>
      <w:r>
        <w:rPr>
          <w:rFonts w:ascii="Times New Roman" w:hAnsi="Times New Roman" w:eastAsia="黑体"/>
          <w:b/>
          <w:sz w:val="28"/>
        </w:rPr>
        <w:t>3.1.4 面向文献抽取结果的分级自动核验方法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前述方法依赖从文献中抽取的结构化记录，而抽取结果本身并不可信。已有研究对自动抽取所得数据库的核查显示结构性错误占比可观，且会沿下游传播</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；另有工作指出此类错误的修复并不困难，瓶颈在于检测环节的召回</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本课题面对的情况更为直接：全文语料规模达两万篇量级，抽取所得记录数以万计，逐条人工核验不具备可行性。因此须先由可计算的检查筛除大部分问题，人工只处理剩余的疑点。该环节不是辅助工序，而是使前述方法在真实数据上成立的前提。</w:t>
      </w:r>
    </w:p>
    <w:p>
      <w:pPr>
        <w:ind w:firstLine="480" w:firstLineChars="200"/>
        <w:spacing w:line="312" w:lineRule="auto"/>
      </w:pPr>
      <w:r>
        <w:rPr>
          <w:rFonts w:ascii="Times New Roman" w:hAnsi="Times New Roman" w:eastAsia="宋体"/>
          <w:b/>
          <w:sz w:val="24"/>
        </w:rPr>
        <w:t>实测依据。</w:t>
      </w:r>
      <w:r>
        <w:rPr>
          <w:rFonts w:ascii="Times New Roman" w:hAnsi="Times New Roman" w:eastAsia="宋体"/>
          <w:b w:val="0"/>
          <w:sz w:val="24"/>
        </w:rPr>
        <w:t xml:space="preserve"> 在主线数据上试运行两类检查，结果如下。其一，单条记录的自洽检查检出率低：对硬度数值做物理边界检查，五百三十条全部通过；对化学式做可解析性检查，全部可解析。其二，跨记录的一致性检查检出率高：按"同成分、同测试温度、同工艺"分组，三十八组中存在内部矛盾（组内极差超过最大值三成）者九组，占百分之二十三点七。这一对照说明单条记录自检抓不到问题，须做跨记录比对。</w:t>
      </w:r>
    </w:p>
    <w:p>
      <w:pPr>
        <w:ind w:firstLine="480" w:firstLineChars="200"/>
        <w:spacing w:line="312" w:lineRule="auto"/>
      </w:pPr>
      <w:r>
        <w:rPr>
          <w:rFonts w:ascii="Times New Roman" w:hAnsi="Times New Roman" w:eastAsia="宋体"/>
          <w:b w:val="0"/>
          <w:sz w:val="24"/>
        </w:rPr>
        <w:t>同一试运行还暴露了一个设计上的教训：最初按"化学式系数加和应等于一百"设计检查，在主线数据上误报率百分之百。原因是该数据以摩尔比表示成分（如某四元合金各元素系数之和为三点二），并非百分比。这说明核验规则须先识别计量基准，否则会全量误报。该教训直接决定了检查项的设计顺序：先判基准，再判内容。</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核验环节的设计。第一，错误类型分散，成分基准、单位量纲、数值边界、跨记录矛盾各有不同的判定逻辑，无法用单一检查覆盖。第二，各级检查的成本与收益不成比例，须分级而非并列。第三，人工核验与自动检查的边界难以确定，若人工比例过高则规模不可行，若过低则漏检无法控制。</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不做自动核验，两万篇语料的人工核验不具备可行性，抽取错误会直接进入知识库并污染后续判定；若只做单条记录自检，则跨记录矛盾（实测占百分之二十三点七）无从发现；若不区分计量基准，则检查规则本身会产生大量误报，反而掩盖真实错误。</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按成本与检出能力分三级组织，逐级降级。</w:t>
      </w:r>
    </w:p>
    <w:p>
      <w:pPr>
        <w:ind w:firstLine="480" w:firstLineChars="200"/>
        <w:spacing w:line="312" w:lineRule="auto"/>
      </w:pPr>
      <w:r>
        <w:rPr>
          <w:rFonts w:ascii="Times New Roman" w:hAnsi="Times New Roman" w:eastAsia="宋体"/>
          <w:b w:val="0"/>
          <w:sz w:val="24"/>
        </w:rPr>
        <w:t>第一级为单条记录的可解析性与量纲检查。先识别计量基准（摩尔比、原子百分比或质量百分比），再据此判断归一化是否可行；检查单位是否与字段含义一致；检查数值是否落在物理边界内。该级计算成本极低，用于快速排除明显错误。</w:t>
      </w:r>
    </w:p>
    <w:p>
      <w:pPr>
        <w:ind w:firstLine="480" w:firstLineChars="200"/>
        <w:spacing w:line="312" w:lineRule="auto"/>
      </w:pPr>
      <w:r>
        <w:rPr>
          <w:rFonts w:ascii="Times New Roman" w:hAnsi="Times New Roman" w:eastAsia="宋体"/>
          <w:b w:val="0"/>
          <w:sz w:val="24"/>
        </w:rPr>
        <w:t>第二级为跨记录的一致性检查，含两类。其一为基准一致性：同一文献内是否混用不同计量基准。其二为交叉一致性：同一成分、同一测试条件下是否出现相互矛盾的数值。实测表明该级是本方法检出能力的主体。</w:t>
      </w:r>
    </w:p>
    <w:p>
      <w:pPr>
        <w:ind w:firstLine="480" w:firstLineChars="200"/>
        <w:spacing w:line="312" w:lineRule="auto"/>
      </w:pPr>
      <w:r>
        <w:rPr>
          <w:rFonts w:ascii="Times New Roman" w:hAnsi="Times New Roman" w:eastAsia="宋体"/>
          <w:b w:val="0"/>
          <w:sz w:val="24"/>
        </w:rPr>
        <w:t>第三级为人工核验。只处理第一级通过但第二级存疑的记录，并抽检部分第一级通过的记录以估计漏检率。核验结果须附来源标识（DOI 与页码）与原文片段。</w:t>
      </w:r>
    </w:p>
    <w:p>
      <w:pPr>
        <w:ind w:firstLine="480" w:firstLineChars="200"/>
        <w:spacing w:line="312" w:lineRule="auto"/>
      </w:pPr>
      <w:r>
        <w:rPr>
          <w:rFonts w:ascii="Times New Roman" w:hAnsi="Times New Roman" w:eastAsia="宋体"/>
          <w:b w:val="0"/>
          <w:sz w:val="24"/>
        </w:rPr>
        <w:t>三级之间为降级关系而非并列关系：第一级不通过者直接拒收，不进入后续；第二级存疑者降级为待核验，不直接入库；第三级核验通过者方可计入判定数据。各级的检出量、误报量与漏检估计分别报告。</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不可行的全量人工核验转为"自动筛选加人工处理剩余"，使两万篇量级的语料处理在人力上可行；按成本与收益分级，把计算资源集中在检出能力最强的一致性检查上；先识别计量基准再判内容的顺序，避免了规则本身的全量误报；逐级降级使错误不会直接进入知识库。</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预期形成一套抽取结果的分级核验方法，报告各级的检出率、误报率、人工工作量与漏检估计，并与"纯人工抽样核验"这一基线对照，说明自动筛选在同等人工预算下的覆盖差异。</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数据选择与检索增强均已有较成熟的研究，但它们在材料文献问答这一类任务上仍留有具体缺口：既有工作多以语义相似度组织证据，未把实验条件作为可判定的显式属性，因而无法处理"语义相关而条件不可比"的情形。这一缺口构成本课题的切入点。</w:t>
      </w:r>
    </w:p>
    <w:p>
      <w:pPr>
        <w:ind w:firstLine="480" w:firstLineChars="200"/>
        <w:spacing w:line="312" w:lineRule="auto"/>
      </w:pPr>
      <w:r>
        <w:rPr>
          <w:rFonts w:ascii="Times New Roman" w:hAnsi="Times New Roman" w:eastAsia="宋体"/>
          <w:b/>
          <w:sz w:val="24"/>
        </w:rPr>
        <w:t>为解决上述问题，本文提出"条件可比的检索增强生成"方法，构建一个面向材料文献问答的本地知识库与问答框架。</w:t>
      </w:r>
      <w:r>
        <w:rPr>
          <w:rFonts w:ascii="Times New Roman" w:hAnsi="Times New Roman" w:eastAsia="宋体"/>
          <w:b w:val="0"/>
          <w:sz w:val="24"/>
        </w:rPr>
        <w:t xml:space="preserve"> 该方法要解决的问题是：材料性能的可用性由观测条件决定，而现有检索与判定多以离散标签处理条件，抹掉了条件的量的差别，导致接近等价与相差悬殊的证据被同等对待。具体做法分三层：其一，按维度计算条件覆盖度，温度用区间重叠、工艺用工序链偏移、试验类型保持离散，输出覆盖度向量与缺失维度；其二，以覆盖度向量为输入训练轻量判别环节，学习该覆盖度在真实问答中是否可接受；其三，对文献抽取所得记录实施分级自动核验，先判计量基准再判内容，跨记录一致性检查优先于单条自检。三项工作共同支撑一个可在本地运行、判定过程可追溯的问答系统，并以条件敏感问题的正确率与错误归因说明其实际增量。</w:t>
      </w:r>
    </w:p>
    <w:p>
      <w:pPr>
        <w:ind w:firstLine="480" w:firstLineChars="200"/>
        <w:spacing w:line="312" w:lineRule="auto"/>
      </w:pPr>
      <w:r>
        <w:rPr>
          <w:rFonts w:ascii="Times New Roman" w:hAnsi="Times New Roman" w:eastAsia="宋体"/>
          <w:b/>
          <w:sz w:val="24"/>
        </w:rPr>
        <w:t>拟创新点一：条件空间覆盖驱动的证据集选择方法。</w:t>
      </w:r>
    </w:p>
    <w:p>
      <w:pPr>
        <w:ind w:firstLine="480" w:firstLineChars="200"/>
        <w:spacing w:line="312" w:lineRule="auto"/>
      </w:pPr>
      <w:r>
        <w:rPr>
          <w:rFonts w:ascii="Times New Roman" w:hAnsi="Times New Roman" w:eastAsia="宋体"/>
          <w:b/>
          <w:sz w:val="24"/>
        </w:rPr>
        <w:t>思路来源与既有工作。</w:t>
      </w:r>
      <w:r>
        <w:rPr>
          <w:rFonts w:ascii="Times New Roman" w:hAnsi="Times New Roman" w:eastAsia="宋体"/>
          <w:b w:val="0"/>
          <w:sz w:val="24"/>
        </w:rPr>
        <w:t xml:space="preserve"> 证据选择的公式化已有先例：RAG 方向有工作把文档选择表述为背包约束下的单调子模最大化，目标函数为查询词上的加权覆盖</w:t>
      </w:r>
      <w:r>
        <w:rPr>
          <w:rFonts w:ascii="Times New Roman" w:hAnsi="Times New Roman" w:eastAsia="宋体"/>
          <w:sz w:val="24"/>
          <w:vertAlign w:val="superscript"/>
        </w:rPr>
        <w:fldChar w:fldCharType="begin"/>
        <w:instrText xml:space="preserve"> REF _Ref_ref062 \h </w:instrText>
        <w:fldChar w:fldCharType="separate"/>
        <w:t xml:space="preserve">[62]</w:t>
        <w:fldChar w:fldCharType="end"/>
      </w:r>
      <w:r>
        <w:rPr>
          <w:rFonts w:ascii="Times New Roman" w:hAnsi="Times New Roman" w:eastAsia="宋体"/>
          <w:b w:val="0"/>
          <w:sz w:val="24"/>
        </w:rPr>
        <w:t>；证据适用性方向有工作主张在生成之前判断充分性</w:t>
      </w:r>
      <w:r>
        <w:rPr>
          <w:rFonts w:ascii="Times New Roman" w:hAnsi="Times New Roman" w:eastAsia="宋体"/>
          <w:sz w:val="24"/>
          <w:vertAlign w:val="superscript"/>
        </w:rPr>
        <w:fldChar w:fldCharType="begin"/>
        <w:instrText xml:space="preserve"> REF _Ref_ref059 \h </w:instrText>
        <w:fldChar w:fldCharType="separate"/>
        <w:t xml:space="preserve">[59]</w:t>
        <w:fldChar w:fldCharType="end"/>
      </w:r>
      <w:r>
        <w:rPr>
          <w:rFonts w:ascii="Times New Roman" w:hAnsi="Times New Roman" w:eastAsia="宋体"/>
          <w:b w:val="0"/>
          <w:sz w:val="24"/>
        </w:rPr>
        <w:t>，生物医学方向则以条件门控的方式激活或剪枝推理路径</w:t>
      </w:r>
      <w:r>
        <w:rPr>
          <w:rFonts w:ascii="Times New Roman" w:hAnsi="Times New Roman" w:eastAsia="宋体"/>
          <w:sz w:val="24"/>
          <w:vertAlign w:val="superscript"/>
        </w:rPr>
        <w:fldChar w:fldCharType="begin"/>
        <w:instrText xml:space="preserve"> REF _Ref_ref056 \h </w:instrText>
        <w:fldChar w:fldCharType="separate"/>
        <w:t xml:space="preserve">[56]</w:t>
        <w:fldChar w:fldCharType="end"/>
      </w:r>
      <w:r>
        <w:rPr>
          <w:rFonts w:ascii="Times New Roman" w:hAnsi="Times New Roman" w:eastAsia="宋体"/>
          <w:b w:val="0"/>
          <w:sz w:val="24"/>
        </w:rPr>
        <w:t>。这些工作确认了"覆盖"与"适用"这两个概念，但其覆盖对象是离散查询词，判定形式为分类。</w:t>
      </w:r>
    </w:p>
    <w:p>
      <w:pPr>
        <w:ind w:firstLine="480" w:firstLineChars="200"/>
        <w:spacing w:line="312" w:lineRule="auto"/>
      </w:pPr>
      <w:r>
        <w:rPr>
          <w:rFonts w:ascii="Times New Roman" w:hAnsi="Times New Roman" w:eastAsia="宋体"/>
          <w:b/>
          <w:sz w:val="24"/>
        </w:rPr>
        <w:t>本项换的手段：覆盖对象由离散词语改为连续物理区间。</w:t>
      </w:r>
      <w:r>
        <w:rPr>
          <w:rFonts w:ascii="Times New Roman" w:hAnsi="Times New Roman" w:eastAsia="宋体"/>
          <w:b w:val="0"/>
          <w:sz w:val="24"/>
        </w:rPr>
        <w:t xml:space="preserve"> 条件不是词语，而是带量纲的连续量（温度）或有序量（工艺）。本项据此重新定义覆盖函数：单条证据对需求区间的贡献为两区间交集长度之比，集合覆盖函数为各证据贡献区间之并的长度归一化。与查询词计数的关键差别在于，区间并运算能表达"两条证据各覆盖一半、合起来恰好覆盖全部"这一情形：它在离散判定下与"两条都只覆盖一半"同属部分冲突，在覆盖函数下得分为一。</w:t>
      </w:r>
    </w:p>
    <w:p>
      <w:pPr>
        <w:ind w:firstLine="480" w:firstLineChars="200"/>
        <w:spacing w:line="312" w:lineRule="auto"/>
      </w:pPr>
      <w:r>
        <w:rPr>
          <w:rFonts w:ascii="Times New Roman" w:hAnsi="Times New Roman" w:eastAsia="宋体"/>
          <w:b/>
          <w:sz w:val="24"/>
        </w:rPr>
        <w:t>性质与求解。</w:t>
      </w:r>
      <w:r>
        <w:rPr>
          <w:rFonts w:ascii="Times New Roman" w:hAnsi="Times New Roman" w:eastAsia="宋体"/>
          <w:b w:val="0"/>
          <w:sz w:val="24"/>
        </w:rPr>
        <w:t xml:space="preserve"> 该函数满足单调性与子模性，前者来自并集测度随集合增大不减，后者即边际收益递减。两条性质决定了在基数约束下贪心选择具有 (1 − 1/e) 的近似比</w:t>
      </w:r>
      <w:r>
        <w:rPr>
          <w:rFonts w:ascii="Times New Roman" w:hAnsi="Times New Roman" w:eastAsia="宋体"/>
          <w:sz w:val="24"/>
          <w:vertAlign w:val="superscript"/>
        </w:rPr>
        <w:fldChar w:fldCharType="begin"/>
        <w:instrText xml:space="preserve"> REF _Ref_ref063 \h </w:instrText>
        <w:fldChar w:fldCharType="separate"/>
        <w:t xml:space="preserve">[63]</w:t>
        <w:fldChar w:fldCharType="end"/>
      </w:r>
      <w:r>
        <w:rPr>
          <w:rFonts w:ascii="Times New Roman" w:hAnsi="Times New Roman" w:eastAsia="宋体"/>
          <w:b w:val="0"/>
          <w:sz w:val="24"/>
        </w:rPr>
        <w:t>。本项已用主线数据做数值检验：三个不同需求区间与容差组合各随机抽取三千实例，检验边际收益递减不等式，违反数为零；另以穷举最优为对照，在十个候选取三的六十个实例上，贪心比值全部为一。</w:t>
      </w:r>
    </w:p>
    <w:p>
      <w:pPr>
        <w:ind w:firstLine="480" w:firstLineChars="200"/>
        <w:spacing w:line="312" w:lineRule="auto"/>
      </w:pPr>
      <w:r>
        <w:rPr>
          <w:rFonts w:ascii="Times New Roman" w:hAnsi="Times New Roman" w:eastAsia="宋体"/>
          <w:b/>
          <w:sz w:val="24"/>
        </w:rPr>
        <w:t>加的流程：覆盖度修正判别环节。</w:t>
      </w:r>
      <w:r>
        <w:rPr>
          <w:rFonts w:ascii="Times New Roman" w:hAnsi="Times New Roman" w:eastAsia="宋体"/>
          <w:b w:val="0"/>
          <w:sz w:val="24"/>
        </w:rPr>
        <w:t xml:space="preserve"> 集合覆盖函数给出的是几何量，该量在真实问答中是否可接受需另作判断。本项在覆盖计算之后、答案生成之前插入轻量判别环节，输入为覆盖度向量与缺失维度标志，输出为修正量与处置建议；该环节与覆盖计算分离，可单独移除并测量贡献。</w:t>
      </w:r>
    </w:p>
    <w:p>
      <w:pPr>
        <w:ind w:firstLine="480" w:firstLineChars="200"/>
        <w:spacing w:line="312" w:lineRule="auto"/>
      </w:pPr>
      <w:r>
        <w:rPr>
          <w:rFonts w:ascii="Times New Roman" w:hAnsi="Times New Roman" w:eastAsia="宋体"/>
          <w:b/>
          <w:sz w:val="24"/>
        </w:rPr>
        <w:t>为何构成创新。</w:t>
      </w:r>
      <w:r>
        <w:rPr>
          <w:rFonts w:ascii="Times New Roman" w:hAnsi="Times New Roman" w:eastAsia="宋体"/>
          <w:b w:val="0"/>
          <w:sz w:val="24"/>
        </w:rPr>
        <w:t xml:space="preserve"> 三点。其一，覆盖对象改变：从离散查询词改为连续物理区间，函数形式相应从词语计数改为区间测度之并。其二，具备可解释的物理含义：得分零点六即表示需求条件被覆盖六成，可直接用于分级处置，而非一个抽象的排序分数。其三，覆盖计算、判别环节、依据标注三者彼此独立，可分别消融；图内嵌式的条件门控无法回答"只去掉判别环节会怎样"。</w:t>
      </w:r>
    </w:p>
    <w:p>
      <w:pPr>
        <w:ind w:firstLine="480" w:firstLineChars="200"/>
        <w:spacing w:line="312" w:lineRule="auto"/>
      </w:pPr>
      <w:r>
        <w:rPr>
          <w:rFonts w:ascii="Times New Roman" w:hAnsi="Times New Roman" w:eastAsia="宋体"/>
          <w:b/>
          <w:sz w:val="24"/>
        </w:rPr>
        <w:t>可检验的主张。</w:t>
      </w:r>
      <w:r>
        <w:rPr>
          <w:rFonts w:ascii="Times New Roman" w:hAnsi="Times New Roman" w:eastAsia="宋体"/>
          <w:b w:val="0"/>
          <w:sz w:val="24"/>
        </w:rPr>
        <w:t xml:space="preserve"> 与离散三态判定、按规则硬过滤、既有子模文档选择方法三种做法对照；分别移除区间并运算（退化为逐条取最大）、移除判别环节、移除工艺维度。若移除某组件后正确率不降，则该组件不构成贡献，如实报告。</w:t>
      </w:r>
    </w:p>
    <w:p>
      <w:pPr>
        <w:ind w:firstLine="480" w:firstLineChars="200"/>
        <w:spacing w:line="312" w:lineRule="auto"/>
      </w:pPr>
      <w:r>
        <w:rPr>
          <w:rFonts w:ascii="Times New Roman" w:hAnsi="Times New Roman" w:eastAsia="宋体"/>
          <w:b/>
          <w:sz w:val="24"/>
        </w:rPr>
        <w:t>拟创新点二：面向大规模文献抽取结果的分级自动核验方法。</w:t>
      </w:r>
    </w:p>
    <w:p>
      <w:pPr>
        <w:ind w:firstLine="480" w:firstLineChars="200"/>
        <w:spacing w:line="312" w:lineRule="auto"/>
      </w:pPr>
      <w:r>
        <w:rPr>
          <w:rFonts w:ascii="Times New Roman" w:hAnsi="Times New Roman" w:eastAsia="宋体"/>
          <w:b/>
          <w:sz w:val="24"/>
        </w:rPr>
        <w:t>思路来源与既有工作。</w:t>
      </w:r>
      <w:r>
        <w:rPr>
          <w:rFonts w:ascii="Times New Roman" w:hAnsi="Times New Roman" w:eastAsia="宋体"/>
          <w:b w:val="0"/>
          <w:sz w:val="24"/>
        </w:rPr>
        <w:t xml:space="preserve"> 材料数据质量控制已有系统研究，形成了多维度的评估框架与生命周期治理模型，并已有开源工具实现成分异常检测；材料信息抽取方向的工作则致力于提高抽取本身的准确率。这些工作的关注点在入库前的批量质量评估，或抽取准确率的提升。</w:t>
      </w:r>
    </w:p>
    <w:p>
      <w:pPr>
        <w:ind w:firstLine="480" w:firstLineChars="200"/>
        <w:spacing w:line="312" w:lineRule="auto"/>
      </w:pPr>
      <w:r>
        <w:rPr>
          <w:rFonts w:ascii="Times New Roman" w:hAnsi="Times New Roman" w:eastAsia="宋体"/>
          <w:b/>
          <w:sz w:val="24"/>
        </w:rPr>
        <w:t>本项换的手段：从检查单条记录改为跨记录比对。</w:t>
      </w:r>
      <w:r>
        <w:rPr>
          <w:rFonts w:ascii="Times New Roman" w:hAnsi="Times New Roman" w:eastAsia="宋体"/>
          <w:b w:val="0"/>
          <w:sz w:val="24"/>
        </w:rPr>
        <w:t xml:space="preserve"> 既有质检以单条记录为对象，判断其字段是否完整、数值是否合理。本项实测发现这一层次的检出能力有限：对硬度数值做物理边界检查，五百三十条全部通过；对化学式做可解析性检查，全部可解析。改为按"同成分、同测试温度、同工艺"分组做跨记录比对后，三十八组中存在内部矛盾者九组，占百分之二十三点七。可见矛盾主要存在于记录之间而非单条记录之内，检查对象须相应改变。</w:t>
      </w:r>
    </w:p>
    <w:p>
      <w:pPr>
        <w:ind w:firstLine="480" w:firstLineChars="200"/>
        <w:spacing w:line="312" w:lineRule="auto"/>
      </w:pPr>
      <w:r>
        <w:rPr>
          <w:rFonts w:ascii="Times New Roman" w:hAnsi="Times New Roman" w:eastAsia="宋体"/>
          <w:b/>
          <w:sz w:val="24"/>
        </w:rPr>
        <w:t>加的流程：三级降级核验链。</w:t>
      </w:r>
      <w:r>
        <w:rPr>
          <w:rFonts w:ascii="Times New Roman" w:hAnsi="Times New Roman" w:eastAsia="宋体"/>
          <w:b w:val="0"/>
          <w:sz w:val="24"/>
        </w:rPr>
        <w:t xml:space="preserve"> 既有做法是并列的多项检查。本项改为逐级降级的链路：第一级做可解析性与量纲检查，不通过者直接拒收；第二级做基准一致性与跨记录交叉一致性检查，存疑者降级为待核验；第三级人工只处理第二级存疑的记录，并抽检第一级通过者以估计漏检率。三级之间是过滤关系而非并列关系，每一级的人工与计算成本相差一个量级，故须按成本与检出能力排序而非平铺。</w:t>
      </w:r>
    </w:p>
    <w:p>
      <w:pPr>
        <w:ind w:firstLine="480" w:firstLineChars="200"/>
        <w:spacing w:line="312" w:lineRule="auto"/>
      </w:pPr>
      <w:r>
        <w:rPr>
          <w:rFonts w:ascii="Times New Roman" w:hAnsi="Times New Roman" w:eastAsia="宋体"/>
          <w:b/>
          <w:sz w:val="24"/>
        </w:rPr>
        <w:t>一个由实测得到的顺序约束。</w:t>
      </w:r>
      <w:r>
        <w:rPr>
          <w:rFonts w:ascii="Times New Roman" w:hAnsi="Times New Roman" w:eastAsia="宋体"/>
          <w:b w:val="0"/>
          <w:sz w:val="24"/>
        </w:rPr>
        <w:t xml:space="preserve"> 最初按"化学式系数加和应等于一百"设计检查，在主线数据上误报率百分之百：该数据以摩尔比表示成分，各元素系数之和为任意正数而非一百。这说明核验规则须先识别计量基准再判断内容，顺序颠倒会导致全量误报，把真实错误一并掩盖。该约束是本项在实测中获得的具体设计规则。</w:t>
      </w:r>
    </w:p>
    <w:p>
      <w:pPr>
        <w:ind w:firstLine="480" w:firstLineChars="200"/>
        <w:spacing w:line="312" w:lineRule="auto"/>
      </w:pPr>
      <w:r>
        <w:rPr>
          <w:rFonts w:ascii="Times New Roman" w:hAnsi="Times New Roman" w:eastAsia="宋体"/>
          <w:b/>
          <w:sz w:val="24"/>
        </w:rPr>
        <w:t>为何构成创新。</w:t>
      </w:r>
      <w:r>
        <w:rPr>
          <w:rFonts w:ascii="Times New Roman" w:hAnsi="Times New Roman" w:eastAsia="宋体"/>
          <w:b w:val="0"/>
          <w:sz w:val="24"/>
        </w:rPr>
        <w:t xml:space="preserve"> 三点。其一，检查对象改变：从单条记录改为跨记录关系，依据是实测中两类检查检出率的量级差异。其二，流程结构改变：从并列检查改为逐级降级，使有限人工集中在检出能力最强的一级。其三，边界明确：本项不移交抽取准确率问题，只解决抽取之后的错误自动发现，与既有质检工作的分工清晰。</w:t>
      </w:r>
    </w:p>
    <w:p>
      <w:pPr>
        <w:ind w:firstLine="480" w:firstLineChars="200"/>
        <w:spacing w:line="312" w:lineRule="auto"/>
      </w:pPr>
      <w:r>
        <w:rPr>
          <w:rFonts w:ascii="Times New Roman" w:hAnsi="Times New Roman" w:eastAsia="宋体"/>
          <w:b/>
          <w:sz w:val="24"/>
        </w:rPr>
        <w:t>与语料规模的绑定。</w:t>
      </w:r>
      <w:r>
        <w:rPr>
          <w:rFonts w:ascii="Times New Roman" w:hAnsi="Times New Roman" w:eastAsia="宋体"/>
          <w:b w:val="0"/>
          <w:sz w:val="24"/>
        </w:rPr>
        <w:t xml:space="preserve"> 该方法的必要性来自实际约束：全文语料约两万篇，抽取所得记录数以万计，全量人工核验不具备可行性。若语料规模小，抽样人工即可，自动核验无必要；正是规模使该方法成为前提而非优化。</w:t>
      </w:r>
    </w:p>
    <w:p>
      <w:pPr>
        <w:ind w:firstLine="480" w:firstLineChars="200"/>
        <w:spacing w:line="312" w:lineRule="auto"/>
      </w:pPr>
      <w:r>
        <w:rPr>
          <w:rFonts w:ascii="Times New Roman" w:hAnsi="Times New Roman" w:eastAsia="宋体"/>
          <w:b/>
          <w:sz w:val="24"/>
        </w:rPr>
        <w:t>可检验的主张。</w:t>
      </w:r>
      <w:r>
        <w:rPr>
          <w:rFonts w:ascii="Times New Roman" w:hAnsi="Times New Roman" w:eastAsia="宋体"/>
          <w:b w:val="0"/>
          <w:sz w:val="24"/>
        </w:rPr>
        <w:t xml:space="preserve"> 与纯人工抽样核验这一基线对照，在同等人工预算下比较覆盖比例与漏检估计；逐级移除第一级、第二级检查，观察人工工作量与漏检率的变化。若自动筛选在同等人工预算下未提高覆盖，则分级设计不成立，如实报告。</w:t>
      </w:r>
    </w:p>
    <w:p>
      <w:pPr>
        <w:ind w:firstLine="480" w:firstLineChars="200"/>
        <w:spacing w:line="312" w:lineRule="auto"/>
      </w:pPr>
      <w:r>
        <w:rPr>
          <w:rFonts w:ascii="Times New Roman" w:hAnsi="Times New Roman" w:eastAsia="宋体"/>
          <w:b/>
          <w:sz w:val="24"/>
        </w:rPr>
        <w:t>上述两项是相互衔接的拟研究改进，并非已证实的两个突破。第一项改变判定对象（离散分类改为覆盖度计算），第二项改变检查对象（单条记录改为跨记录比对）与流程结构（并列检查改为逐级降级）。</w:t>
      </w:r>
      <w:r>
        <w:rPr>
          <w:rFonts w:ascii="Times New Roman" w:hAnsi="Times New Roman" w:eastAsia="宋体"/>
          <w:b w:val="0"/>
          <w:sz w:val="24"/>
        </w:rPr>
        <w:t xml:space="preserve"> 两项所依据的基本认识（条件影响证据可用性、抽取结果需要质控）均为已有研究提出过的方向，本课题不主张思想首创；其贡献在于面向材料任务替换了实现手段，并把差异做成可分别消融的组件。私有化部署、LoRA、量化及系统界面本身均不另行计为创新；3.1.3 的多步 Agent 执行器作为验证载体，其工程贡献与算法贡献分别表述。同一方法层面另有一项支撑工作：以覆盖度向量为输入的小模型判别环节（3.1.2），其作用是为覆盖度阈值提供可学习的修正，不独立主张创新。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本课题对数据的需求与性能预测任务不同：不需要覆盖极宽的成分空间，而需要</w:t>
      </w:r>
      <w:r>
        <w:rPr>
          <w:rFonts w:ascii="Times New Roman" w:hAnsi="Times New Roman" w:eastAsia="宋体"/>
          <w:b/>
          <w:sz w:val="24"/>
        </w:rPr>
        <w:t>同一成分在不同条件下的多条记录</w:t>
      </w:r>
      <w:r>
        <w:rPr>
          <w:rFonts w:ascii="Times New Roman" w:hAnsi="Times New Roman" w:eastAsia="宋体"/>
          <w:b w:val="0"/>
          <w:sz w:val="24"/>
        </w:rPr>
        <w:t>，以便构造"条件相符"与"条件冲突"的判定对。这一需求决定了数据源的选型标准是字段完备性而非规模。</w:t>
      </w:r>
    </w:p>
    <w:p>
      <w:pPr>
        <w:ind w:firstLine="480" w:firstLineChars="200"/>
        <w:spacing w:line="312" w:lineRule="auto"/>
      </w:pPr>
      <w:r>
        <w:rPr>
          <w:rFonts w:ascii="Times New Roman" w:hAnsi="Times New Roman" w:eastAsia="宋体"/>
          <w:b w:val="0"/>
          <w:sz w:val="24"/>
        </w:rPr>
        <w:t>主线使用已确认可取得的公开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。当前固定版本含 1,545 条记录、630 种归一化成分与 265 个 DOI。对本体所设四类槽位逐项核对实际可得性，结果如下。这组数字是本课题判断数据是否够用的依据，而非装饰性的规模说明。</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line="240" w:lineRule="auto"/>
              <w:ind w:firstLine="0"/>
            </w:pPr>
            <w:r>
              <w:rPr>
                <w:rFonts w:ascii="Times New Roman" w:hAnsi="Times New Roman" w:eastAsia="黑体"/>
                <w:b/>
                <w:sz w:val="21"/>
              </w:rPr>
              <w:t>本体槽位</w:t>
            </w:r>
          </w:p>
        </w:tc>
        <w:tc>
          <w:tcPr>
            <w:tcW w:type="dxa" w:w="2078"/>
          </w:tcPr>
          <w:p>
            <w:pPr>
              <w:spacing w:line="240" w:lineRule="auto"/>
              <w:ind w:firstLine="0"/>
            </w:pPr>
            <w:r>
              <w:rPr>
                <w:rFonts w:ascii="Times New Roman" w:hAnsi="Times New Roman" w:eastAsia="黑体"/>
                <w:b/>
                <w:sz w:val="21"/>
              </w:rPr>
              <w:t>数据字段</w:t>
            </w:r>
          </w:p>
        </w:tc>
        <w:tc>
          <w:tcPr>
            <w:tcW w:type="dxa" w:w="2078"/>
          </w:tcPr>
          <w:p>
            <w:pPr>
              <w:spacing w:line="240" w:lineRule="auto"/>
              <w:ind w:firstLine="0"/>
            </w:pPr>
            <w:r>
              <w:rPr>
                <w:rFonts w:ascii="Times New Roman" w:hAnsi="Times New Roman" w:eastAsia="黑体"/>
                <w:b/>
                <w:sz w:val="21"/>
              </w:rPr>
              <w:t>非空率</w:t>
            </w:r>
          </w:p>
        </w:tc>
        <w:tc>
          <w:tcPr>
            <w:tcW w:type="dxa" w:w="2078"/>
          </w:tcPr>
          <w:p>
            <w:pPr>
              <w:spacing w:line="240" w:lineRule="auto"/>
              <w:ind w:firstLine="0"/>
            </w:pPr>
            <w:r>
              <w:rPr>
                <w:rFonts w:ascii="Times New Roman" w:hAnsi="Times New Roman" w:eastAsia="黑体"/>
                <w:b/>
                <w:sz w:val="21"/>
              </w:rPr>
              <w:t>说明</w:t>
            </w:r>
          </w:p>
        </w:tc>
      </w:tr>
      <w:tr>
        <w:tc>
          <w:tcPr>
            <w:tcW w:type="dxa" w:w="2078"/>
          </w:tcPr>
          <w:p>
            <w:pPr>
              <w:spacing w:line="240" w:lineRule="auto"/>
              <w:ind w:firstLine="0"/>
            </w:pPr>
            <w:r>
              <w:rPr>
                <w:rFonts w:ascii="Times New Roman" w:hAnsi="Times New Roman" w:eastAsia="宋体"/>
                <w:sz w:val="21"/>
              </w:rPr>
              <w:t>成分</w:t>
            </w:r>
          </w:p>
        </w:tc>
        <w:tc>
          <w:tcPr>
            <w:tcW w:type="dxa" w:w="2078"/>
          </w:tcPr>
          <w:p>
            <w:pPr>
              <w:spacing w:line="240" w:lineRule="auto"/>
              <w:ind w:firstLine="0"/>
            </w:pPr>
            <w:r>
              <w:rPr>
                <w:rFonts w:ascii="Times New Roman" w:hAnsi="Times New Roman" w:eastAsia="宋体"/>
                <w:sz w:val="21"/>
              </w:rPr>
              <w:t>FORMULA</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含元素集合，归一化后可作为比对基准</w:t>
            </w:r>
          </w:p>
        </w:tc>
      </w:tr>
      <w:tr>
        <w:tc>
          <w:tcPr>
            <w:tcW w:type="dxa" w:w="2078"/>
          </w:tcPr>
          <w:p>
            <w:pPr>
              <w:spacing w:line="240" w:lineRule="auto"/>
              <w:ind w:firstLine="0"/>
            </w:pPr>
            <w:r>
              <w:rPr>
                <w:rFonts w:ascii="Times New Roman" w:hAnsi="Times New Roman" w:eastAsia="宋体"/>
                <w:sz w:val="21"/>
              </w:rPr>
              <w:t>状态·制备工艺</w:t>
            </w:r>
          </w:p>
        </w:tc>
        <w:tc>
          <w:tcPr>
            <w:tcW w:type="dxa" w:w="2078"/>
          </w:tcPr>
          <w:p>
            <w:pPr>
              <w:spacing w:line="240" w:lineRule="auto"/>
              <w:ind w:firstLine="0"/>
            </w:pPr>
            <w:r>
              <w:rPr>
                <w:rFonts w:ascii="Times New Roman" w:hAnsi="Times New Roman" w:eastAsia="宋体"/>
                <w:sz w:val="21"/>
              </w:rPr>
              <w:t>Processing method</w:t>
            </w:r>
          </w:p>
        </w:tc>
        <w:tc>
          <w:tcPr>
            <w:tcW w:type="dxa" w:w="2078"/>
          </w:tcPr>
          <w:p>
            <w:pPr>
              <w:spacing w:line="240" w:lineRule="auto"/>
              <w:ind w:firstLine="0"/>
            </w:pPr>
            <w:r>
              <w:rPr>
                <w:rFonts w:ascii="Times New Roman" w:hAnsi="Times New Roman" w:eastAsia="宋体"/>
                <w:sz w:val="21"/>
              </w:rPr>
              <w:t>92.3%</w:t>
            </w:r>
          </w:p>
        </w:tc>
        <w:tc>
          <w:tcPr>
            <w:tcW w:type="dxa" w:w="2078"/>
          </w:tcPr>
          <w:p>
            <w:pPr>
              <w:spacing w:line="240" w:lineRule="auto"/>
              <w:ind w:firstLine="0"/>
            </w:pPr>
            <w:r>
              <w:rPr>
                <w:rFonts w:ascii="Times New Roman" w:hAnsi="Times New Roman" w:eastAsia="宋体"/>
                <w:sz w:val="21"/>
              </w:rPr>
              <w:t>粗标签（如 CAST），粒度有限</w:t>
            </w:r>
          </w:p>
        </w:tc>
      </w:tr>
      <w:tr>
        <w:tc>
          <w:tcPr>
            <w:tcW w:type="dxa" w:w="2078"/>
          </w:tcPr>
          <w:p>
            <w:pPr>
              <w:spacing w:line="240" w:lineRule="auto"/>
              <w:ind w:firstLine="0"/>
            </w:pPr>
            <w:r>
              <w:rPr>
                <w:rFonts w:ascii="Times New Roman" w:hAnsi="Times New Roman" w:eastAsia="宋体"/>
                <w:sz w:val="21"/>
              </w:rPr>
              <w:t>状态·相结构</w:t>
            </w:r>
          </w:p>
        </w:tc>
        <w:tc>
          <w:tcPr>
            <w:tcW w:type="dxa" w:w="2078"/>
          </w:tcPr>
          <w:p>
            <w:pPr>
              <w:spacing w:line="240" w:lineRule="auto"/>
              <w:ind w:firstLine="0"/>
            </w:pPr>
            <w:r>
              <w:rPr>
                <w:rFonts w:ascii="Times New Roman" w:hAnsi="Times New Roman" w:eastAsia="宋体"/>
                <w:sz w:val="21"/>
              </w:rPr>
              <w:t>BCC/FCC/other</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可作为状态差异的一个维度</w:t>
            </w:r>
          </w:p>
        </w:tc>
      </w:tr>
      <w:tr>
        <w:tc>
          <w:tcPr>
            <w:tcW w:type="dxa" w:w="2078"/>
          </w:tcPr>
          <w:p>
            <w:pPr>
              <w:spacing w:line="240" w:lineRule="auto"/>
              <w:ind w:firstLine="0"/>
            </w:pPr>
            <w:r>
              <w:rPr>
                <w:rFonts w:ascii="Times New Roman" w:hAnsi="Times New Roman" w:eastAsia="宋体"/>
                <w:sz w:val="21"/>
              </w:rPr>
              <w:t>状态·热处理</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测试·测试温度</w:t>
            </w:r>
          </w:p>
        </w:tc>
        <w:tc>
          <w:tcPr>
            <w:tcW w:type="dxa" w:w="2078"/>
          </w:tcPr>
          <w:p>
            <w:pPr>
              <w:spacing w:line="240" w:lineRule="auto"/>
              <w:ind w:firstLine="0"/>
            </w:pPr>
            <w:r>
              <w:rPr>
                <w:rFonts w:ascii="Times New Roman" w:hAnsi="Times New Roman" w:eastAsia="宋体"/>
                <w:sz w:val="21"/>
              </w:rPr>
              <w:t>Test temperature</w:t>
            </w:r>
          </w:p>
        </w:tc>
        <w:tc>
          <w:tcPr>
            <w:tcW w:type="dxa" w:w="2078"/>
          </w:tcPr>
          <w:p>
            <w:pPr>
              <w:spacing w:line="240" w:lineRule="auto"/>
              <w:ind w:firstLine="0"/>
            </w:pPr>
            <w:r>
              <w:rPr>
                <w:rFonts w:ascii="Times New Roman" w:hAnsi="Times New Roman" w:eastAsia="宋体"/>
                <w:sz w:val="21"/>
              </w:rPr>
              <w:t>88.3%</w:t>
            </w:r>
          </w:p>
        </w:tc>
        <w:tc>
          <w:tcPr>
            <w:tcW w:type="dxa" w:w="2078"/>
          </w:tcPr>
          <w:p>
            <w:pPr>
              <w:spacing w:line="240" w:lineRule="auto"/>
              <w:ind w:firstLine="0"/>
            </w:pPr>
            <w:r>
              <w:rPr>
                <w:rFonts w:ascii="Times New Roman" w:hAnsi="Times New Roman" w:eastAsia="宋体"/>
                <w:sz w:val="21"/>
              </w:rPr>
              <w:t>条件判定的主要依据</w:t>
            </w:r>
          </w:p>
        </w:tc>
      </w:tr>
      <w:tr>
        <w:tc>
          <w:tcPr>
            <w:tcW w:type="dxa" w:w="2078"/>
          </w:tcPr>
          <w:p>
            <w:pPr>
              <w:spacing w:line="240" w:lineRule="auto"/>
              <w:ind w:firstLine="0"/>
            </w:pPr>
            <w:r>
              <w:rPr>
                <w:rFonts w:ascii="Times New Roman" w:hAnsi="Times New Roman" w:eastAsia="宋体"/>
                <w:sz w:val="21"/>
              </w:rPr>
              <w:t>测试·试验类型</w:t>
            </w:r>
          </w:p>
        </w:tc>
        <w:tc>
          <w:tcPr>
            <w:tcW w:type="dxa" w:w="2078"/>
          </w:tcPr>
          <w:p>
            <w:pPr>
              <w:spacing w:line="240" w:lineRule="auto"/>
              <w:ind w:firstLine="0"/>
            </w:pPr>
            <w:r>
              <w:rPr>
                <w:rFonts w:ascii="Times New Roman" w:hAnsi="Times New Roman" w:eastAsia="宋体"/>
                <w:sz w:val="21"/>
              </w:rPr>
              <w:t>Type of test</w:t>
            </w:r>
          </w:p>
        </w:tc>
        <w:tc>
          <w:tcPr>
            <w:tcW w:type="dxa" w:w="2078"/>
          </w:tcPr>
          <w:p>
            <w:pPr>
              <w:spacing w:line="240" w:lineRule="auto"/>
              <w:ind w:firstLine="0"/>
            </w:pPr>
            <w:r>
              <w:rPr>
                <w:rFonts w:ascii="Times New Roman" w:hAnsi="Times New Roman" w:eastAsia="宋体"/>
                <w:sz w:val="21"/>
              </w:rPr>
              <w:t>74.4%</w:t>
            </w:r>
          </w:p>
        </w:tc>
        <w:tc>
          <w:tcPr>
            <w:tcW w:type="dxa" w:w="2078"/>
          </w:tcPr>
          <w:p>
            <w:pPr>
              <w:spacing w:line="240" w:lineRule="auto"/>
              <w:ind w:firstLine="0"/>
            </w:pPr>
            <w:r>
              <w:rPr>
                <w:rFonts w:ascii="Times New Roman" w:hAnsi="Times New Roman" w:eastAsia="宋体"/>
                <w:sz w:val="21"/>
              </w:rPr>
              <w:t>决定性能是否可跨记录比较</w:t>
            </w:r>
          </w:p>
        </w:tc>
      </w:tr>
      <w:tr>
        <w:tc>
          <w:tcPr>
            <w:tcW w:type="dxa" w:w="2078"/>
          </w:tcPr>
          <w:p>
            <w:pPr>
              <w:spacing w:line="240" w:lineRule="auto"/>
              <w:ind w:firstLine="0"/>
            </w:pPr>
            <w:r>
              <w:rPr>
                <w:rFonts w:ascii="Times New Roman" w:hAnsi="Times New Roman" w:eastAsia="宋体"/>
                <w:sz w:val="21"/>
              </w:rPr>
              <w:t>测试·测量方法</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性能·硬度</w:t>
            </w:r>
          </w:p>
        </w:tc>
        <w:tc>
          <w:tcPr>
            <w:tcW w:type="dxa" w:w="2078"/>
          </w:tcPr>
          <w:p>
            <w:pPr>
              <w:spacing w:line="240" w:lineRule="auto"/>
              <w:ind w:firstLine="0"/>
            </w:pPr>
            <w:r>
              <w:rPr>
                <w:rFonts w:ascii="Times New Roman" w:hAnsi="Times New Roman" w:eastAsia="宋体"/>
                <w:sz w:val="21"/>
              </w:rPr>
              <w:t>HV</w:t>
            </w:r>
          </w:p>
        </w:tc>
        <w:tc>
          <w:tcPr>
            <w:tcW w:type="dxa" w:w="2078"/>
          </w:tcPr>
          <w:p>
            <w:pPr>
              <w:spacing w:line="240" w:lineRule="auto"/>
              <w:ind w:firstLine="0"/>
            </w:pPr>
            <w:r>
              <w:rPr>
                <w:rFonts w:ascii="Times New Roman" w:hAnsi="Times New Roman" w:eastAsia="宋体"/>
                <w:sz w:val="21"/>
              </w:rPr>
              <w:t>34.3%</w:t>
            </w:r>
          </w:p>
        </w:tc>
        <w:tc>
          <w:tcPr>
            <w:tcW w:type="dxa" w:w="2078"/>
          </w:tcPr>
          <w:p>
            <w:pPr>
              <w:spacing w:line="240" w:lineRule="auto"/>
              <w:ind w:firstLine="0"/>
            </w:pPr>
            <w:r>
              <w:rPr>
                <w:rFonts w:ascii="Times New Roman" w:hAnsi="Times New Roman" w:eastAsia="宋体"/>
                <w:sz w:val="21"/>
              </w:rPr>
              <w:t>覆盖率偏低</w:t>
            </w:r>
          </w:p>
        </w:tc>
      </w:tr>
      <w:tr>
        <w:tc>
          <w:tcPr>
            <w:tcW w:type="dxa" w:w="2078"/>
          </w:tcPr>
          <w:p>
            <w:pPr>
              <w:spacing w:line="240" w:lineRule="auto"/>
              <w:ind w:firstLine="0"/>
            </w:pPr>
            <w:r>
              <w:rPr>
                <w:rFonts w:ascii="Times New Roman" w:hAnsi="Times New Roman" w:eastAsia="宋体"/>
                <w:sz w:val="21"/>
              </w:rPr>
              <w:t>性能·屈服强度</w:t>
            </w:r>
          </w:p>
        </w:tc>
        <w:tc>
          <w:tcPr>
            <w:tcW w:type="dxa" w:w="2078"/>
          </w:tcPr>
          <w:p>
            <w:pPr>
              <w:spacing w:line="240" w:lineRule="auto"/>
              <w:ind w:firstLine="0"/>
            </w:pPr>
            <w:r>
              <w:rPr>
                <w:rFonts w:ascii="Times New Roman" w:hAnsi="Times New Roman" w:eastAsia="宋体"/>
                <w:sz w:val="21"/>
              </w:rPr>
              <w:t>YS</w:t>
            </w:r>
          </w:p>
        </w:tc>
        <w:tc>
          <w:tcPr>
            <w:tcW w:type="dxa" w:w="2078"/>
          </w:tcPr>
          <w:p>
            <w:pPr>
              <w:spacing w:line="240" w:lineRule="auto"/>
              <w:ind w:firstLine="0"/>
            </w:pPr>
            <w:r>
              <w:rPr>
                <w:rFonts w:ascii="Times New Roman" w:hAnsi="Times New Roman" w:eastAsia="宋体"/>
                <w:sz w:val="21"/>
              </w:rPr>
              <w:t>69.1%</w:t>
            </w:r>
          </w:p>
        </w:tc>
        <w:tc>
          <w:tcPr>
            <w:tcW w:type="dxa" w:w="2078"/>
          </w:tcPr>
          <w:p>
            <w:pPr>
              <w:spacing w:line="240" w:lineRule="auto"/>
              <w:ind w:firstLine="0"/>
            </w:pPr>
            <w:r>
              <w:rPr>
                <w:rFonts w:ascii="Times New Roman" w:hAnsi="Times New Roman" w:eastAsia="宋体"/>
                <w:sz w:val="21"/>
              </w:rPr>
              <w:t>相对完整</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这张表暴露了一个必须正面处理的事实：</w:t>
      </w:r>
      <w:r>
        <w:rPr>
          <w:rFonts w:ascii="Times New Roman" w:hAnsi="Times New Roman" w:eastAsia="宋体"/>
          <w:b/>
          <w:sz w:val="24"/>
        </w:rPr>
        <w:t>本体所设的四类槽位中，热处理与测量方法在主线数据中根本没有对应字段</w:t>
      </w:r>
      <w:r>
        <w:rPr>
          <w:rFonts w:ascii="Times New Roman" w:hAnsi="Times New Roman" w:eastAsia="宋体"/>
          <w:b w:val="0"/>
          <w:sz w:val="24"/>
        </w:rPr>
        <w:t>。这不是数据清洗能解决的问题，只能从论文全文中抽取。本课题为此备有约两万篇材料学论文的授权语料，热处理与测量方法正是该通道的首要目标字段。</w:t>
      </w:r>
    </w:p>
    <w:p>
      <w:pPr>
        <w:ind w:firstLine="480" w:firstLineChars="200"/>
        <w:spacing w:line="312" w:lineRule="auto"/>
      </w:pPr>
      <w:r>
        <w:rPr>
          <w:rFonts w:ascii="Times New Roman" w:hAnsi="Times New Roman" w:eastAsia="宋体"/>
          <w:b w:val="0"/>
          <w:sz w:val="24"/>
        </w:rPr>
        <w:t>槽位启用采取分阶段策略，以降低对抽取成功率的依赖。首版本体只启用主线数据中确有的槽位（成分、制备工艺、相结构、测试温度、试验类型），使第一项研究内容不依赖文献抽取即可开展；热处理与测量方法作为第二阶段字段，在补充库的抽取结果经一致性检查、且该字段的实测覆盖率报告之后纳入判定。这一安排的用意是使研究的核心结论不悬置于一个尚未验证的抽取环节之上。若抽取成功率低于预期，前五个槽位上的实验仍可独立成立，只需相应收紧结论范围。该取舍在开题阶段即予声明，避免后期因字段缺失而被迫修改标签体系。</w:t>
      </w:r>
    </w:p>
    <w:p>
      <w:pPr>
        <w:ind w:firstLine="480" w:firstLineChars="200"/>
        <w:spacing w:line="312" w:lineRule="auto"/>
      </w:pPr>
      <w:r>
        <w:rPr>
          <w:rFonts w:ascii="Times New Roman" w:hAnsi="Times New Roman" w:eastAsia="宋体"/>
          <w:b w:val="0"/>
          <w:sz w:val="24"/>
        </w:rPr>
        <w:t>判定对的构造能力实测如下。630 种成分中有 186 种存在多于一条记录，按同成分记录两两配对可得 8,857 对；其中测试温度或制备工艺的取值不同者有 7,452 对。须进一步区分：这 7,452 对中有 1,571 对至少一侧字段为空，其差异属缺失而非已知冲突；扣除此部分后，</w:t>
      </w:r>
      <w:r>
        <w:rPr>
          <w:rFonts w:ascii="Times New Roman" w:hAnsi="Times New Roman" w:eastAsia="宋体"/>
          <w:b/>
          <w:sz w:val="24"/>
        </w:rPr>
        <w:t>两侧字段均有值且取值不同者 5,881 对</w:t>
      </w:r>
      <w:r>
        <w:rPr>
          <w:rFonts w:ascii="Times New Roman" w:hAnsi="Times New Roman" w:eastAsia="宋体"/>
          <w:b w:val="0"/>
          <w:sz w:val="24"/>
        </w:rPr>
        <w:t>，才构成已知条件冲突的候选。后续凡称"条件冲突"均指这 5,881 对，不使用含缺失的 7,452 对作为冲突样本数。这一数字仍只是数据侧的构造上限，不等于可评测样本数：判定对是记录之间的关系，而评测需要的是问题、答案与证据齐全的三元组。</w:t>
      </w:r>
    </w:p>
    <w:p>
      <w:pPr>
        <w:ind w:firstLine="480" w:firstLineChars="200"/>
        <w:spacing w:line="312" w:lineRule="auto"/>
      </w:pPr>
      <w:r>
        <w:rPr>
          <w:rFonts w:ascii="Times New Roman" w:hAnsi="Times New Roman" w:eastAsia="宋体"/>
          <w:b w:val="0"/>
          <w:sz w:val="24"/>
        </w:rPr>
        <w:t>据实折算如下，三个数字分别对应三种口径，不可混用。其一，</w:t>
      </w:r>
      <w:r>
        <w:rPr>
          <w:rFonts w:ascii="Times New Roman" w:hAnsi="Times New Roman" w:eastAsia="宋体"/>
          <w:b/>
          <w:sz w:val="24"/>
        </w:rPr>
        <w:t>同时具备性能值（HV 或 YS）与测试温度、制备工艺的记录共 1,205 条</w:t>
      </w:r>
      <w:r>
        <w:rPr>
          <w:rFonts w:ascii="Times New Roman" w:hAnsi="Times New Roman" w:eastAsia="宋体"/>
          <w:b w:val="0"/>
          <w:sz w:val="24"/>
        </w:rPr>
        <w:t>；其二，</w:t>
      </w:r>
      <w:r>
        <w:rPr>
          <w:rFonts w:ascii="Times New Roman" w:hAnsi="Times New Roman" w:eastAsia="宋体"/>
          <w:b/>
          <w:sz w:val="24"/>
        </w:rPr>
        <w:t>在此基础上再要求试验类型也非空者 1,062 条</w:t>
      </w:r>
      <w:r>
        <w:rPr>
          <w:rFonts w:ascii="Times New Roman" w:hAnsi="Times New Roman" w:eastAsia="宋体"/>
          <w:b w:val="0"/>
          <w:sz w:val="24"/>
        </w:rPr>
        <w:t>，这是构造"条件完整"题的基础；其三，</w:t>
      </w:r>
      <w:r>
        <w:rPr>
          <w:rFonts w:ascii="Times New Roman" w:hAnsi="Times New Roman" w:eastAsia="宋体"/>
          <w:b/>
          <w:sz w:val="24"/>
        </w:rPr>
        <w:t>仅要求温度与工艺非空、不要求有性能值者 1,311 条</w:t>
      </w:r>
      <w:r>
        <w:rPr>
          <w:rFonts w:ascii="Times New Roman" w:hAnsi="Times New Roman" w:eastAsia="宋体"/>
          <w:b w:val="0"/>
          <w:sz w:val="24"/>
        </w:rPr>
        <w:t>，该口径下的记录不能用于性能问答，只可用于条件判定类任务。正文后述以 1,062 条为首版口径。</w:t>
      </w:r>
    </w:p>
    <w:p>
      <w:pPr>
        <w:ind w:firstLine="480" w:firstLineChars="200"/>
        <w:spacing w:line="312" w:lineRule="auto"/>
      </w:pPr>
      <w:r>
        <w:rPr>
          <w:rFonts w:ascii="Times New Roman" w:hAnsi="Times New Roman" w:eastAsia="宋体"/>
          <w:b w:val="0"/>
          <w:sz w:val="24"/>
        </w:rPr>
        <w:t>在 1,062 条中，存在同成分不同条件干扰项者 722 条，无干扰项者 340 条。</w:t>
      </w:r>
      <w:r>
        <w:rPr>
          <w:rFonts w:ascii="Times New Roman" w:hAnsi="Times New Roman" w:eastAsia="宋体"/>
          <w:b/>
          <w:sz w:val="24"/>
        </w:rPr>
        <w:t>须说明的是，无干扰项的记录同样可以构造条件敏感题</w:t>
      </w:r>
      <w:r>
        <w:rPr>
          <w:rFonts w:ascii="Times New Roman" w:hAnsi="Times New Roman" w:eastAsia="宋体"/>
          <w:b w:val="0"/>
          <w:sz w:val="24"/>
        </w:rPr>
        <w:t>：其干扰项不来自库中同成分的其他记录，而可由系统按该记录的已知条件反向构造错误条件的问法（如取该记录温度以外的温度提问），此时正确行为是如实说明"未找到该条件下的数据"。故 340 条并非只能做条件无关题，而是其干扰来源不同。</w:t>
      </w:r>
    </w:p>
    <w:p>
      <w:pPr>
        <w:ind w:firstLine="480" w:firstLineChars="200"/>
        <w:spacing w:line="312" w:lineRule="auto"/>
      </w:pPr>
      <w:r>
        <w:rPr>
          <w:rFonts w:ascii="Times New Roman" w:hAnsi="Times New Roman" w:eastAsia="宋体"/>
          <w:b w:val="0"/>
          <w:sz w:val="24"/>
        </w:rPr>
        <w:t>按一条记录生成一题计，条件敏感问答对约 722 题（库内干扰）+ 340 题（构造干扰），条件无关题另计。按百分之七十、十五、十五划分后，测试集规模在百余题量级。该规模足以支撑两组之间的正确率对比，但不足以支撑"问题类型×错误类型"的交叉分析，故须扩题。扩题途径为同一记录生成多种问法，须保证同记录的不同问法不跨数据分区。实际可用题数在首次构造后报告，不在此处填预计数值。</w:t>
      </w:r>
    </w:p>
    <w:p>
      <w:pPr>
        <w:ind w:firstLine="480" w:firstLineChars="200"/>
        <w:spacing w:line="312" w:lineRule="auto"/>
      </w:pPr>
      <w:r>
        <w:rPr>
          <w:rFonts w:ascii="Times New Roman" w:hAnsi="Times New Roman" w:eastAsia="宋体"/>
          <w:b w:val="0"/>
          <w:sz w:val="24"/>
        </w:rPr>
        <w:t>上述两部分数据共同构成条件感知的本地知识库：MPEA 作为已结构化的基础库，文献解析结果作为补充库，两者以统一的记录结构与条件元组入库。</w:t>
      </w:r>
    </w:p>
    <w:p>
      <w:pPr>
        <w:ind w:firstLine="480" w:firstLineChars="200"/>
        <w:spacing w:line="312" w:lineRule="auto"/>
      </w:pPr>
      <w:r>
        <w:rPr>
          <w:rFonts w:ascii="Times New Roman" w:hAnsi="Times New Roman" w:eastAsia="宋体"/>
          <w:b w:val="0"/>
          <w:sz w:val="24"/>
        </w:rPr>
        <w:t>补充库的来源为一套已获授权、规模约两万篇的材料学论文全文语料。该语料的使用价值在于三处：其一，主线数据中热处理与测量方法两个槽位无对应字段，这两类信息通常存在于论文的表格表头、表注与实验方法章节，只能从全文抽取；其二，主线数据仅 265 个来源，按来源关联分组划分后每区组数偏少，扩大语料可使独立来源数提升一个数量级；其三，真实全文的抽取结果带有真实噪声，可作为方法在非理想数据上的评测场景，而不只是在已清洗的结构化表上验证。</w:t>
      </w:r>
    </w:p>
    <w:p>
      <w:pPr>
        <w:ind w:firstLine="480" w:firstLineChars="200"/>
        <w:spacing w:line="312" w:lineRule="auto"/>
      </w:pPr>
      <w:r>
        <w:rPr>
          <w:rFonts w:ascii="Times New Roman" w:hAnsi="Times New Roman" w:eastAsia="宋体"/>
          <w:b w:val="0"/>
          <w:sz w:val="24"/>
        </w:rPr>
        <w:t>须明确的是，语料篇数不等于可用记录数，两者之间存在多级损耗：并非每篇论文都含实验性能数据（综述、纯计算与理论类论文往往没有）；解析环节在表格合并单元格、上下标与真实扫描件上存在已知短板；三类条件字段须同时可定位方构成本课题所需的条件完整记录。因此本课题不按篇数推算样本规模，而以实测可用率折算。</w:t>
      </w:r>
    </w:p>
    <w:p>
      <w:pPr>
        <w:ind w:firstLine="480" w:firstLineChars="200"/>
        <w:spacing w:line="312" w:lineRule="auto"/>
      </w:pPr>
      <w:r>
        <w:rPr>
          <w:rFonts w:ascii="Times New Roman" w:hAnsi="Times New Roman" w:eastAsia="宋体"/>
          <w:b w:val="0"/>
          <w:sz w:val="24"/>
        </w:rPr>
        <w:t>处理流程分三步，且先验证后扩量。第一步抽样约两百篇跑通完整管线，依次经解析、字段抽取与一致性检查，实测各级损耗并报告真实可用率；第二步依据该可用率决定是否扩大处理规模，若抽取环节存在系统性缺陷则先修正管线再扩量；第三步在确认管线可用后处理全量语料，并按来源分组完成数据划分。</w:t>
      </w:r>
    </w:p>
    <w:p>
      <w:pPr>
        <w:ind w:firstLine="480" w:firstLineChars="200"/>
        <w:spacing w:line="312" w:lineRule="auto"/>
      </w:pPr>
      <w:r>
        <w:rPr>
          <w:rFonts w:ascii="Times New Roman" w:hAnsi="Times New Roman" w:eastAsia="宋体"/>
          <w:b w:val="0"/>
          <w:sz w:val="24"/>
        </w:rPr>
        <w:t>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其输出须经槽位抽取与一致性检查后方可入库，不直接计入判定数据。抽取环节须区分实验值与计算值：计算得到的性能与实测性能不属同一类别，混同会使"所引记录与所述数值一致"这一判定标准失效，故每条记录须标注数值来源类型。补充库的实际可用条数、各槽位覆盖率与来源数在首轮试验后报告，此处不填预计数值。</w:t>
      </w:r>
    </w:p>
    <w:p>
      <w:pPr>
        <w:ind w:firstLine="480" w:firstLineChars="200"/>
        <w:spacing w:line="312" w:lineRule="auto"/>
      </w:pPr>
      <w:r>
        <w:rPr>
          <w:rFonts w:ascii="Times New Roman" w:hAnsi="Times New Roman" w:eastAsia="宋体"/>
          <w:b w:val="0"/>
          <w:sz w:val="24"/>
        </w:rPr>
        <w:t>其他公开合金数据源已作初步排查，均未达到本课题的可用条件。难熔高熵合金方向存在规模更大的数据库（如 ULTERA，报告约 2,700 种合金、6,500 条性质数据、540 篇文献），但其数据未公开，需经合作申请获取；其他以性能汇总为主的数据集侧重成分与性能两列，缺少可比的测试条件与来源字段，无法支撑条件适用性判定。材料领域的离线检索增强已有实践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，其做法是整合文献与结构化数据两类来源，本课题在数据组织上采用相近思路，但把条件元组作为独立字段处理。MPEA 作为主线的依据不在于规模，而在于同时提供成分、状态、测试条件与来源标识四类字段。若具备许可与下载条件，可选用再生铝合金模拟数据扩展规模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，但它不是高熵合金实测数据，正式使用前须核对版本、字段与缺失值，不作为当前必需前提。</w:t>
      </w:r>
    </w:p>
    <w:p>
      <w:pPr>
        <w:ind w:firstLine="480" w:firstLineChars="200"/>
        <w:spacing w:line="312" w:lineRule="auto"/>
      </w:pPr>
      <w:r>
        <w:rPr>
          <w:rFonts w:ascii="Times New Roman" w:hAnsi="Times New Roman" w:eastAsia="宋体"/>
          <w:b w:val="0"/>
          <w:sz w:val="24"/>
        </w:rPr>
        <w:t>数据划分以来源关联组为单位，约按 70%、15%、15% 分配训练、开发与测试，同组不可拆分。划分后先确认每区是否有足够的来源组与可比较判定对；若不足以支撑稳定的留出比较，则扩大获准资料或收紧结论范围，不以增加同记录改写次数代替独立来源。实际可用的判定对数、来源组数与各槽位覆盖率在首次划分完成后报告。</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构造判定对。教师示范池仅由训练资料产生；本体比较规则的阈值、置信度门槛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基础对照包括五组，各组使用同一文献库、同一检索召回数与同一底座，只改变条件处理策略，其余设置保持一致。其一为常规 RAG，不作条件区分。其二为</w:t>
      </w:r>
      <w:r>
        <w:rPr>
          <w:rFonts w:ascii="Times New Roman" w:hAnsi="Times New Roman" w:eastAsia="宋体"/>
          <w:b/>
          <w:sz w:val="24"/>
        </w:rPr>
        <w:t>文本拼接对照</w:t>
      </w:r>
      <w:r>
        <w:rPr>
          <w:rFonts w:ascii="Times New Roman" w:hAnsi="Times New Roman" w:eastAsia="宋体"/>
          <w:b w:val="0"/>
          <w:sz w:val="24"/>
        </w:rPr>
        <w:t>：把成分、性能与三条件字段拼成一段自然语言写入检索单元，不做结构化绑定，也不做前置判定。这一组是关键，它回答"条件信息以结构化方式组织是否必要"，若其结果与完整方案相当，则条件元组的组织方式不构成贡献。其三为仅按语义重排的 RAG。其四为规则硬过滤 RAG，仅按条件做硬性筛选、不做冲突处置与依据标注；该组本身使用了条件字段，故须与消融结果结合解读，才能分离"字段有用"与"过滤有用"。其五为用大模型直接问答，作为性能上界参考。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判定实验固定同一批判定对与同一底座，比较纯规则、纯模型、规则+模型三种做法；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消融实验聚焦三项核心设计，每组只改动一处，其余设置保持不变，使改进归因可追溯。</w:t>
      </w:r>
    </w:p>
    <w:p>
      <w:pPr>
        <w:ind w:firstLine="480" w:firstLineChars="200"/>
        <w:spacing w:line="312" w:lineRule="auto"/>
      </w:pPr>
      <w:r>
        <w:rPr>
          <w:rFonts w:ascii="Times New Roman" w:hAnsi="Times New Roman" w:eastAsia="宋体"/>
          <w:b w:val="0"/>
          <w:sz w:val="24"/>
        </w:rPr>
        <w:t>第一组将覆盖度计算换回离散三态判定：其余设置不变，只改判定形式，测出连续量相对离散类别的贡献。该组是创新点一的核心对照，因两种判定在同等条件信息下比较。</w:t>
      </w:r>
    </w:p>
    <w:p>
      <w:pPr>
        <w:ind w:firstLine="480" w:firstLineChars="200"/>
        <w:spacing w:line="312" w:lineRule="auto"/>
      </w:pPr>
      <w:r>
        <w:rPr>
          <w:rFonts w:ascii="Times New Roman" w:hAnsi="Times New Roman" w:eastAsia="宋体"/>
          <w:b w:val="0"/>
          <w:sz w:val="24"/>
        </w:rPr>
        <w:t>第二组移除覆盖度修正判别环节：直接用规则算出的覆盖度做阈值判断，测出判别环节的贡献。</w:t>
      </w:r>
    </w:p>
    <w:p>
      <w:pPr>
        <w:ind w:firstLine="480" w:firstLineChars="200"/>
        <w:spacing w:line="312" w:lineRule="auto"/>
      </w:pPr>
      <w:r>
        <w:rPr>
          <w:rFonts w:ascii="Times New Roman" w:hAnsi="Times New Roman" w:eastAsia="宋体"/>
          <w:b w:val="0"/>
          <w:sz w:val="24"/>
        </w:rPr>
        <w:t>第三组移除缺失维度识别：只输出合成覆盖度而不报告缺失维度，测出结构化输出相对单一分数的增益。</w:t>
      </w:r>
    </w:p>
    <w:p>
      <w:pPr>
        <w:ind w:firstLine="480" w:firstLineChars="200"/>
        <w:spacing w:line="312" w:lineRule="auto"/>
      </w:pPr>
      <w:r>
        <w:rPr>
          <w:rFonts w:ascii="Times New Roman" w:hAnsi="Times New Roman" w:eastAsia="宋体"/>
          <w:b w:val="0"/>
          <w:sz w:val="24"/>
        </w:rPr>
        <w:t>三组之外另设一组基线消融：仅用规则覆盖度与固定阈值、不引入蒸馏模型，直接测出规则方法的天花板，用于界定模型的必要性，该结果如实报告。</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分问题类型的答案正确率。问题按是否涉及条件敏感查询分为两组：条件敏感组（如指定测试温度或工艺状态下的性能查询）与条件无关组（如相结构列举、元素组成查询）。两组分别报告正确率，其中条件敏感组的提升为主要结论依据，条件无关组用作对照以排除整体性提升来自其他因素。</w:t>
      </w:r>
    </w:p>
    <w:p>
      <w:pPr>
        <w:ind w:firstLine="480" w:firstLineChars="200"/>
        <w:spacing w:line="312" w:lineRule="auto"/>
      </w:pPr>
      <w:r>
        <w:rPr>
          <w:rFonts w:ascii="Times New Roman" w:hAnsi="Times New Roman" w:eastAsia="宋体"/>
          <w:b w:val="0"/>
          <w:sz w:val="24"/>
        </w:rPr>
        <w:t>条件敏感组内进一步做两类分层报告，二者用途不同。</w:t>
      </w:r>
    </w:p>
    <w:p>
      <w:pPr>
        <w:ind w:firstLine="480" w:firstLineChars="200"/>
        <w:spacing w:line="312" w:lineRule="auto"/>
      </w:pPr>
      <w:r>
        <w:rPr>
          <w:rFonts w:ascii="Times New Roman" w:hAnsi="Times New Roman" w:eastAsia="宋体"/>
          <w:b w:val="0"/>
          <w:sz w:val="24"/>
        </w:rPr>
        <w:t>第一类按库内是否存在同成分干扰项分层。若条件元组确实在起作用，增益应较多出现在库内存在同成分不同条件记录的题目上。须说明这是</w:t>
      </w:r>
      <w:r>
        <w:rPr>
          <w:rFonts w:ascii="Times New Roman" w:hAnsi="Times New Roman" w:eastAsia="宋体"/>
          <w:b/>
          <w:sz w:val="24"/>
        </w:rPr>
        <w:t>机制线索而非因果证据</w:t>
      </w:r>
      <w:r>
        <w:rPr>
          <w:rFonts w:ascii="Times New Roman" w:hAnsi="Times New Roman" w:eastAsia="宋体"/>
          <w:b w:val="0"/>
          <w:sz w:val="24"/>
        </w:rPr>
        <w:t>：分层由数据固有属性决定，不是随机分配的，因此不能把两层差异直接称为因果。真正的因果证据来自下一条的受控比较。</w:t>
      </w:r>
    </w:p>
    <w:p>
      <w:pPr>
        <w:ind w:firstLine="480" w:firstLineChars="200"/>
        <w:spacing w:line="312" w:lineRule="auto"/>
      </w:pPr>
      <w:r>
        <w:rPr>
          <w:rFonts w:ascii="Times New Roman" w:hAnsi="Times New Roman" w:eastAsia="宋体"/>
          <w:b w:val="0"/>
          <w:sz w:val="24"/>
        </w:rPr>
        <w:t>第二类做同题受控加减干扰：对同一道题，分别在候选集合中保留与移除同成分不同条件的干扰记录，其他设置完全固定，比较答案正确率的变化。这是随机可控的比较，其差值直接度量条件处理的作用。</w:t>
      </w:r>
    </w:p>
    <w:p>
      <w:pPr>
        <w:ind w:firstLine="480" w:firstLineChars="200"/>
        <w:spacing w:line="312" w:lineRule="auto"/>
      </w:pPr>
      <w:r>
        <w:rPr>
          <w:rFonts w:ascii="Times New Roman" w:hAnsi="Times New Roman" w:eastAsia="宋体"/>
          <w:b/>
          <w:sz w:val="24"/>
        </w:rPr>
        <w:t>答案正确性判定与依据标注完整性分开计分</w:t>
      </w:r>
      <w:r>
        <w:rPr>
          <w:rFonts w:ascii="Times New Roman" w:hAnsi="Times New Roman" w:eastAsia="宋体"/>
          <w:b w:val="0"/>
          <w:sz w:val="24"/>
        </w:rPr>
        <w:t>，避免格式要求污染正确率。正确性只看：所述性能数值是否与所引记录一致、所引记录的条件是否与问题要求相符、条件不符时是否如实拒答。依据标注是否完整（答案是否写明所依据记录的条件）作为独立的完整率指标单独报告。这样，消融中移除依据标注一组的正确率不会因定义而必然下降，其影响只体现在完整率与人工可用性评价上。</w:t>
      </w:r>
    </w:p>
    <w:p>
      <w:pPr>
        <w:ind w:firstLine="480" w:firstLineChars="200"/>
        <w:spacing w:line="312" w:lineRule="auto"/>
      </w:pPr>
      <w:r>
        <w:rPr>
          <w:rFonts w:ascii="Times New Roman" w:hAnsi="Times New Roman" w:eastAsia="宋体"/>
          <w:b w:val="0"/>
          <w:sz w:val="24"/>
        </w:rPr>
        <w:t>另报逐条依据准确率、条件标注完整率与拒答率。</w:t>
      </w:r>
    </w:p>
    <w:p>
      <w:pPr>
        <w:ind w:firstLine="480" w:firstLineChars="200"/>
        <w:spacing w:line="312" w:lineRule="auto"/>
      </w:pPr>
      <w:r>
        <w:rPr>
          <w:rFonts w:ascii="Times New Roman" w:hAnsi="Times New Roman" w:eastAsia="宋体"/>
          <w:b w:val="0"/>
          <w:sz w:val="24"/>
        </w:rPr>
        <w:t>上述指标均在单轮条件下测得，以便与既有工作直接比较。此外在多步 Agent 载体上设一项</w:t>
      </w:r>
      <w:r>
        <w:rPr>
          <w:rFonts w:ascii="Times New Roman" w:hAnsi="Times New Roman" w:eastAsia="宋体"/>
          <w:b/>
          <w:sz w:val="24"/>
        </w:rPr>
        <w:t>补充指标：任务完成度</w:t>
      </w:r>
      <w:r>
        <w:rPr>
          <w:rFonts w:ascii="Times New Roman" w:hAnsi="Times New Roman" w:eastAsia="宋体"/>
          <w:b w:val="0"/>
          <w:sz w:val="24"/>
        </w:rPr>
        <w:t>，用于检验冲突处置在交互中是否真正改变了结果。任务完成度的判定不看单条回答是否正确，而看三类关键决策点是否处理得当。其一，在仅检索到条件冲突证据时，是否选择了澄清追问或如实说明不可得，而非直接采用；其二，在用户补充条件或改换追问后，是否基于新条件重新检索而非沿用旧候选；其三，终止作答时，给出的结论是否与全程已检索到的证据一致，不出现先声明未找到后又给出数据这类自相矛盾。三项按通过与否分别统计，并报告失败样本的失败环节。</w:t>
      </w:r>
    </w:p>
    <w:p>
      <w:pPr>
        <w:ind w:firstLine="480" w:firstLineChars="200"/>
        <w:spacing w:line="312" w:lineRule="auto"/>
      </w:pPr>
      <w:r>
        <w:rPr>
          <w:rFonts w:ascii="Times New Roman" w:hAnsi="Times New Roman" w:eastAsia="宋体"/>
          <w:b w:val="0"/>
          <w:sz w:val="24"/>
        </w:rPr>
        <w:t>须说明的是，</w:t>
      </w:r>
      <w:r>
        <w:rPr>
          <w:rFonts w:ascii="Times New Roman" w:hAnsi="Times New Roman" w:eastAsia="宋体"/>
          <w:b/>
          <w:sz w:val="24"/>
        </w:rPr>
        <w:t>主指标仍是单轮答案正确率</w:t>
      </w:r>
      <w:r>
        <w:rPr>
          <w:rFonts w:ascii="Times New Roman" w:hAnsi="Times New Roman" w:eastAsia="宋体"/>
          <w:b w:val="0"/>
          <w:sz w:val="24"/>
        </w:rPr>
        <w:t>，任务完成度仅用于支撑第二项研究内容，不替代主指标。原因是多步任务的评价尚无公认口径，且决策路径不唯一，若以其为主指标，结论难以与既有工作比较。任务资格在评测前由构造协议与独立检查确定，不因某方法是否成功检索或输出而改变分母；资格不确定的题目单列并报告纳入与排除数量。</w:t>
      </w:r>
    </w:p>
    <w:p>
      <w:pPr>
        <w:ind w:firstLine="480" w:firstLineChars="200"/>
        <w:spacing w:line="312" w:lineRule="auto"/>
      </w:pPr>
      <w:r>
        <w:rPr>
          <w:rFonts w:ascii="Times New Roman" w:hAnsi="Times New Roman" w:eastAsia="宋体"/>
          <w:b w:val="0"/>
          <w:sz w:val="24"/>
        </w:rPr>
        <w:t>错误按三类归因分别统计：检索未命中（正确记录未出现在候选中）、条件误用（记录被检索到但条件不符仍被采用）、生成错误（证据与条件均正确而表述出错）。为使三类可被分离测量而非事后推断，另设两种评测条件：在"给定正确证据"的条件下运行，此时若仍出错即排除检索因素；在"给定正确证据且条件已正确标注"的条件下运行，此时若仍出错即为纯生成问题。两种条件下的结果与自然条件下的结果并列报告，其差值分别对应检索环节与条件处理环节的贡献。该设置参照科学问答中区分检索、接地与合成瓶颈的常见做法。三类占比分别报告，作为判断改进优先级与评价各环节贡献的依据。数值约束冲突、证据不足与需要澄清的问题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技术路线为：文献解析与条件字段抽取、条件元组绑定与本地知识库构建、条件感知检索、规则与模型协同的条件判定、条件标注下的答案生成、多步 Agent 执行与决策留痕、分问题类型正确率与错误归因评估。检索、判定与生成共用同一套条件元组与来源类型，方法与载体分离：条件处理的方法层构成研究内容，多步执行器仅作为验证载体。最终输出索引快照、蒸馏模型权重、判定日志与执行轨迹。整体流程见图 3-1。</w:t>
      </w:r>
    </w:p>
    <w:p>
      <w:pPr>
        <w:spacing w:before="120" w:after="120"/>
        <w:ind w:firstLine="0"/>
        <w:jc w:val="center"/>
      </w:pPr>
      <w:r>
        <w:drawing>
          <wp:inline xmlns:a="http://schemas.openxmlformats.org/drawingml/2006/main" xmlns:pic="http://schemas.openxmlformats.org/drawingml/2006/picture">
            <wp:extent cx="4860000" cy="4635378"/>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4635378"/>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全文语料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全文语料的实际可用率可能显著低于预期。两万篇篇数不等于可用记录数，损耗来自三处：综述与纯计算类论文不含实验性能数据；解析环节在表格与扫描件上存在已知短板；三类条件须同时可定位方可入库。处理办法是先抽样验证再决定是否扩量，并以实测可用率折算样本规模，不按篇数推算。若可用率过低，则只启用不依赖抽取的前五个槽位，相应收紧结论范围；若抽取结果的实验值与计算值难以区分，则该批数据不用于性能一致性判定，仅用于条件字段的补充。</w:t>
      </w:r>
    </w:p>
    <w:p>
      <w:pPr>
        <w:ind w:firstLine="480" w:firstLineChars="200"/>
        <w:spacing w:line="312" w:lineRule="auto"/>
      </w:pPr>
      <w:r>
        <w:rPr>
          <w:rFonts w:ascii="Times New Roman" w:hAnsi="Times New Roman" w:eastAsia="宋体"/>
          <w:b w:val="0"/>
          <w:sz w:val="24"/>
        </w:rPr>
        <w:t>第三，抽取所得条件字段可能与原文不符。这是本课题要处理的问题本身，不能反过来假定抽取结果可信。处理办法是：抽取结果须附来源标识（DOI 与页码）与原文片段，抽样人工核验并报告一致率；不一致的处理作为检测环节的输入而非噪声直接剔除；若人工核验一致率过低，说明抽取协议须重新设计，不得在低质量数据上继续后续实验。</w:t>
      </w:r>
    </w:p>
    <w:p>
      <w:pPr>
        <w:ind w:firstLine="480" w:firstLineChars="200"/>
        <w:spacing w:line="312" w:lineRule="auto"/>
      </w:pPr>
      <w:r>
        <w:rPr>
          <w:rFonts w:ascii="Times New Roman" w:hAnsi="Times New Roman" w:eastAsia="宋体"/>
          <w:b w:val="0"/>
          <w:sz w:val="24"/>
        </w:rPr>
        <w:t>第四，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五，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六，多步执行可能使评价口径失焦。决策路径不唯一，同一任务可能有多条合理路径，若按单一轨迹判定正确性会误判。处理办法是把评价拆为最终答案正确性与关键决策点通过与否两部分，并说明主指标仍为单轮答案正确率；若多步结果与单轮结果方向不一致，以单轮结果为主并在结果中如实报告差异，不以多步表现替代主指标。凡属工程层面的选择，不作为方法贡献计入，其收益单独列出。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预期形成一份带条件元组的材料文献知识库规范、一种条件可比的证据组织与答案生成方法、一个小型条件冲突处置模型，以及一个可在本地运行、决策过程可追溯的多步 Agent 执行器。成果应包括版本化实验配置、对照结果与适用范围，而不只是模型文件或界面演示。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本体构建、标签生成、模型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个月：完成本体设计与槽位比较规则实现，统计规则覆盖率与重复标注一致率，据此确定规则与模型的分工边界；同步完成判定对构造与基线实现。</w:t>
      </w:r>
    </w:p>
    <w:p>
      <w:pPr>
        <w:ind w:firstLine="480" w:firstLineChars="200"/>
        <w:spacing w:line="312" w:lineRule="auto"/>
      </w:pPr>
      <w:r>
        <w:rPr>
          <w:rFonts w:ascii="Times New Roman" w:hAnsi="Times New Roman" w:eastAsia="宋体"/>
          <w:b w:val="0"/>
          <w:sz w:val="24"/>
        </w:rPr>
        <w:t>第 5 个月：构造条件处置的训练与核验数据（规则弱标签加人工核验），完成教师示范采集与小模型蒸馏，并与规则弱标签、纯模型（不经过程示范）、一律标注不确定三种做法对照，确认过程示范相对其他做法的实际收益。同月完成多步 Agent 执行器的集成，固定动作空间与状态表示。</w:t>
      </w:r>
    </w:p>
    <w:p>
      <w:pPr>
        <w:ind w:firstLine="480" w:firstLineChars="200"/>
        <w:spacing w:line="312" w:lineRule="auto"/>
      </w:pPr>
      <w:r>
        <w:rPr>
          <w:rFonts w:ascii="Times New Roman" w:hAnsi="Times New Roman" w:eastAsia="宋体"/>
          <w:b w:val="0"/>
          <w:sz w:val="24"/>
        </w:rPr>
        <w:t>第 6 个月：完成条件字段绑定、条件判定、依据标注三项消融，逐组确认改进来源；另设仅用规则的基线测规则天花板，界定模型的必要性。同步在多步 Agent 载体上采集任务完成度数据，检验冲突处置是否改变最终任务结果。</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个月：整理结果与复现材料，完成论文撰写、局限性讨论与修改，准备学位论文送审与答辩。若资源不足，优先完成本体判定与规则/模型边界分析，减少额外模型与外部验证扩展，不删去关键对照。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2025.（预印本）</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294.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2025.（预印本）</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2026.（预印本）</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network[R/OL]. 2015. arXiv:1503.02531.（该文为会议报告与预印本，无正式期刊发表版本）</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2026.（预印本）</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2026.（预印本，期刊发表信息待核实）</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selection[EB/OL]. arXiv:2609.05198, 2026.（预印本）</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distillation[EB/OL]. arXiv:2609.37377, 2026.（预印本）</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coverage[EB/OL]. arXiv:2605.28247, 2026.（预印本）</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16(6): 1-27. DOI: 10.1145/3699518.</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alignment[EB/OL]. arXiv:2304.06767, 2023.（预印本）</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tools[C]//Advances in Neural Information Processing Systems 38 (NeurIPS 2025).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p>
      <w:pPr>
        <w:spacing w:line="312" w:lineRule="auto"/>
        <w:ind w:left="480" w:leftChars="0" w:hanging="480" w:hangingChars="200"/>
      </w:pPr>
      <w:bookmarkStart w:id="1046" w:name="_Ref_ref046"/>
      <w:r>
        <w:rPr>
          <w:rFonts w:ascii="Times New Roman" w:hAnsi="Times New Roman" w:eastAsia="宋体"/>
          <w:sz w:val="21"/>
        </w:rPr>
        <w:t>[46]</w:t>
      </w:r>
      <w:bookmarkEnd w:id="1046"/>
      <w:r>
        <w:rPr>
          <w:rFonts w:ascii="Times New Roman" w:hAnsi="Times New Roman" w:eastAsia="宋体"/>
          <w:sz w:val="21"/>
        </w:rPr>
        <w:t xml:space="preserve"> OG-RAG: ontology-grounded retrieval-augmented generation for large language models[EB/OL]. arXiv:2412.15235, 2024.（预印本）</w:t>
      </w:r>
    </w:p>
    <w:p>
      <w:pPr>
        <w:spacing w:line="312" w:lineRule="auto"/>
        <w:ind w:left="480" w:leftChars="0" w:hanging="480" w:hangingChars="200"/>
      </w:pPr>
      <w:bookmarkStart w:id="1047" w:name="_Ref_ref047"/>
      <w:r>
        <w:rPr>
          <w:rFonts w:ascii="Times New Roman" w:hAnsi="Times New Roman" w:eastAsia="宋体"/>
          <w:sz w:val="21"/>
        </w:rPr>
        <w:t>[47]</w:t>
      </w:r>
      <w:bookmarkEnd w:id="1047"/>
      <w:r>
        <w:rPr>
          <w:rFonts w:ascii="Times New Roman" w:hAnsi="Times New Roman" w:eastAsia="宋体"/>
          <w:sz w:val="21"/>
        </w:rPr>
        <w:t xml:space="preserve"> Can small language models use what they retrieve? An empirical study of retrieval utilization across model scale[EB/OL]. arXiv:2603.11513, 2026.（预印本）</w:t>
      </w:r>
    </w:p>
    <w:p>
      <w:pPr>
        <w:spacing w:line="312" w:lineRule="auto"/>
        <w:ind w:left="480" w:leftChars="0" w:hanging="480" w:hangingChars="200"/>
      </w:pPr>
      <w:bookmarkStart w:id="1048" w:name="_Ref_ref048"/>
      <w:r>
        <w:rPr>
          <w:rFonts w:ascii="Times New Roman" w:hAnsi="Times New Roman" w:eastAsia="宋体"/>
          <w:sz w:val="21"/>
        </w:rPr>
        <w:t>[48]</w:t>
      </w:r>
      <w:bookmarkEnd w:id="1048"/>
      <w:r>
        <w:rPr>
          <w:rFonts w:ascii="Times New Roman" w:hAnsi="Times New Roman" w:eastAsia="宋体"/>
          <w:sz w:val="21"/>
        </w:rPr>
        <w:t xml:space="preserve"> HalluGuard: evidence-grounded small reasoning models to mitigate hallucinations in retrieval-augmented generation[EB/OL]. arXiv:2510.00880, 2025.（预印本）</w:t>
      </w:r>
    </w:p>
    <w:p>
      <w:pPr>
        <w:spacing w:line="312" w:lineRule="auto"/>
        <w:ind w:left="480" w:leftChars="0" w:hanging="480" w:hangingChars="200"/>
      </w:pPr>
      <w:bookmarkStart w:id="1049" w:name="_Ref_ref049"/>
      <w:r>
        <w:rPr>
          <w:rFonts w:ascii="Times New Roman" w:hAnsi="Times New Roman" w:eastAsia="宋体"/>
          <w:sz w:val="21"/>
        </w:rPr>
        <w:t>[49]</w:t>
      </w:r>
      <w:bookmarkEnd w:id="1049"/>
      <w:r>
        <w:rPr>
          <w:rFonts w:ascii="Times New Roman" w:hAnsi="Times New Roman" w:eastAsia="宋体"/>
          <w:sz w:val="21"/>
        </w:rPr>
        <w:t xml:space="preserve"> Ontology-conformal recognition of materials entities using language models[J]. Scientific Reports, 2025. DOI: 10.1038/s41598-025-03619-y.</w:t>
      </w:r>
    </w:p>
    <w:p>
      <w:pPr>
        <w:spacing w:line="312" w:lineRule="auto"/>
        <w:ind w:left="480" w:leftChars="0" w:hanging="480" w:hangingChars="200"/>
      </w:pPr>
      <w:bookmarkStart w:id="1050" w:name="_Ref_ref050"/>
      <w:r>
        <w:rPr>
          <w:rFonts w:ascii="Times New Roman" w:hAnsi="Times New Roman" w:eastAsia="宋体"/>
          <w:sz w:val="21"/>
        </w:rPr>
        <w:t>[50]</w:t>
      </w:r>
      <w:bookmarkEnd w:id="1050"/>
      <w:r>
        <w:rPr>
          <w:rFonts w:ascii="Times New Roman" w:hAnsi="Times New Roman" w:eastAsia="宋体"/>
          <w:sz w:val="21"/>
        </w:rPr>
        <w:t xml:space="preserve"> Typed decision models: an early evidence audit and evaluation checklist[EB/OL]. arXiv:2609.32160, 2026.（预印本）</w:t>
      </w:r>
    </w:p>
    <w:p>
      <w:pPr>
        <w:spacing w:line="312" w:lineRule="auto"/>
        <w:ind w:left="480" w:leftChars="0" w:hanging="480" w:hangingChars="200"/>
      </w:pPr>
      <w:bookmarkStart w:id="1051" w:name="_Ref_ref051"/>
      <w:r>
        <w:rPr>
          <w:rFonts w:ascii="Times New Roman" w:hAnsi="Times New Roman" w:eastAsia="宋体"/>
          <w:sz w:val="21"/>
        </w:rPr>
        <w:t>[51]</w:t>
      </w:r>
      <w:bookmarkEnd w:id="1051"/>
      <w:r>
        <w:rPr>
          <w:rFonts w:ascii="Times New Roman" w:hAnsi="Times New Roman" w:eastAsia="宋体"/>
          <w:sz w:val="21"/>
        </w:rPr>
        <w:t xml:space="preserve"> Cao Y, Wang L, Chen J, et al. ARIA: a causal-aware framework for rescuing LLM reasoning in trustworthy materials discovery[C]//Proceedings of the 32nd ACM SIGKDD Conference on Knowledge Discovery and Data Mining. 2026.</w:t>
      </w:r>
    </w:p>
    <w:p>
      <w:pPr>
        <w:spacing w:line="312" w:lineRule="auto"/>
        <w:ind w:left="480" w:leftChars="0" w:hanging="480" w:hangingChars="200"/>
      </w:pPr>
      <w:bookmarkStart w:id="1052" w:name="_Ref_ref052"/>
      <w:r>
        <w:rPr>
          <w:rFonts w:ascii="Times New Roman" w:hAnsi="Times New Roman" w:eastAsia="宋体"/>
          <w:sz w:val="21"/>
        </w:rPr>
        <w:t>[52]</w:t>
      </w:r>
      <w:bookmarkEnd w:id="1052"/>
      <w:r>
        <w:rPr>
          <w:rFonts w:ascii="Times New Roman" w:hAnsi="Times New Roman" w:eastAsia="宋体"/>
          <w:sz w:val="21"/>
        </w:rPr>
        <w:t xml:space="preserve"> Tan Y, Yuan Y, Li, et al. Bootstrapping knowledge acquisition from domain text with a seed ontology and small language models[C]//Lecture Notes in Computer Science. 2026: 190-207. DOI: 10.1007/978-3-032-41614-8_11.</w:t>
      </w:r>
    </w:p>
    <w:p>
      <w:pPr>
        <w:spacing w:line="312" w:lineRule="auto"/>
        <w:ind w:left="480" w:leftChars="0" w:hanging="480" w:hangingChars="200"/>
      </w:pPr>
      <w:bookmarkStart w:id="1053" w:name="_Ref_ref053"/>
      <w:r>
        <w:rPr>
          <w:rFonts w:ascii="Times New Roman" w:hAnsi="Times New Roman" w:eastAsia="宋体"/>
          <w:sz w:val="21"/>
        </w:rPr>
        <w:t>[53]</w:t>
      </w:r>
      <w:bookmarkEnd w:id="1053"/>
      <w:r>
        <w:rPr>
          <w:rFonts w:ascii="Times New Roman" w:hAnsi="Times New Roman" w:eastAsia="宋体"/>
          <w:sz w:val="21"/>
        </w:rPr>
        <w:t xml:space="preserve"> DRAG: distilling RAG for SLMs from LLMs to transfer knowledge and mitigate hallucination via evidence and graph-based distillation[EB/OL]. arXiv:2506.01954, 2025.（预印本）</w:t>
      </w:r>
    </w:p>
    <w:p>
      <w:pPr>
        <w:spacing w:line="312" w:lineRule="auto"/>
        <w:ind w:left="480" w:leftChars="0" w:hanging="480" w:hangingChars="200"/>
      </w:pPr>
      <w:bookmarkStart w:id="1054" w:name="_Ref_ref054"/>
      <w:r>
        <w:rPr>
          <w:rFonts w:ascii="Times New Roman" w:hAnsi="Times New Roman" w:eastAsia="宋体"/>
          <w:sz w:val="21"/>
        </w:rPr>
        <w:t>[54]</w:t>
      </w:r>
      <w:bookmarkEnd w:id="1054"/>
      <w:r>
        <w:rPr>
          <w:rFonts w:ascii="Times New Roman" w:hAnsi="Times New Roman" w:eastAsia="宋体"/>
          <w:sz w:val="21"/>
        </w:rPr>
        <w:t xml:space="preserve"> EGT-KG: evidence-grounded typed KG retrieval for practical scientific QA with small language models[EB/OL]. arXiv:2609.00479, 2026.（预印本）</w:t>
      </w:r>
    </w:p>
    <w:p>
      <w:pPr>
        <w:spacing w:line="312" w:lineRule="auto"/>
        <w:ind w:left="480" w:leftChars="0" w:hanging="480" w:hangingChars="200"/>
      </w:pPr>
      <w:bookmarkStart w:id="1055" w:name="_Ref_ref055"/>
      <w:r>
        <w:rPr>
          <w:rFonts w:ascii="Times New Roman" w:hAnsi="Times New Roman" w:eastAsia="宋体"/>
          <w:sz w:val="21"/>
        </w:rPr>
        <w:t>[55]</w:t>
      </w:r>
      <w:bookmarkEnd w:id="1055"/>
      <w:r>
        <w:rPr>
          <w:rFonts w:ascii="Times New Roman" w:hAnsi="Times New Roman" w:eastAsia="宋体"/>
          <w:sz w:val="21"/>
        </w:rPr>
        <w:t xml:space="preserve"> Materials dual-source knowledge retrieval-augmented generation for local large language models in photocatalysts[J]. Journal of Chemical Information and Modeling, 2025. DOI: 10.1021/acs.jcim.5c01941.</w:t>
      </w:r>
    </w:p>
    <w:p>
      <w:pPr>
        <w:spacing w:line="312" w:lineRule="auto"/>
        <w:ind w:left="480" w:leftChars="0" w:hanging="480" w:hangingChars="200"/>
      </w:pPr>
      <w:bookmarkStart w:id="1056" w:name="_Ref_ref056"/>
      <w:r>
        <w:rPr>
          <w:rFonts w:ascii="Times New Roman" w:hAnsi="Times New Roman" w:eastAsia="宋体"/>
          <w:sz w:val="21"/>
        </w:rPr>
        <w:t>[56]</w:t>
      </w:r>
      <w:bookmarkEnd w:id="1056"/>
      <w:r>
        <w:rPr>
          <w:rFonts w:ascii="Times New Roman" w:hAnsi="Times New Roman" w:eastAsia="宋体"/>
          <w:sz w:val="21"/>
        </w:rPr>
        <w:t xml:space="preserve"> Condition-gated reasoning for context-dependent biomedical question answering[EB/OL]. arXiv:2602.17911, 2026.（预印本）</w:t>
      </w:r>
    </w:p>
    <w:p>
      <w:pPr>
        <w:spacing w:line="312" w:lineRule="auto"/>
        <w:ind w:left="480" w:leftChars="0" w:hanging="480" w:hangingChars="200"/>
      </w:pPr>
      <w:bookmarkStart w:id="1057" w:name="_Ref_ref057"/>
      <w:r>
        <w:rPr>
          <w:rFonts w:ascii="Times New Roman" w:hAnsi="Times New Roman" w:eastAsia="宋体"/>
          <w:sz w:val="21"/>
        </w:rPr>
        <w:t>[57]</w:t>
      </w:r>
      <w:bookmarkEnd w:id="1057"/>
      <w:r>
        <w:rPr>
          <w:rFonts w:ascii="Times New Roman" w:hAnsi="Times New Roman" w:eastAsia="宋体"/>
          <w:sz w:val="21"/>
        </w:rPr>
        <w:t xml:space="preserve"> Relevance is not sufficiency: what actually closes the evidence gap in long-term memory QA[EB/OL]. arXiv:2610.09348, 2026.（预印本）</w:t>
      </w:r>
    </w:p>
    <w:p>
      <w:pPr>
        <w:spacing w:line="312" w:lineRule="auto"/>
        <w:ind w:left="480" w:leftChars="0" w:hanging="480" w:hangingChars="200"/>
      </w:pPr>
      <w:bookmarkStart w:id="1058" w:name="_Ref_ref058"/>
      <w:r>
        <w:rPr>
          <w:rFonts w:ascii="Times New Roman" w:hAnsi="Times New Roman" w:eastAsia="宋体"/>
          <w:sz w:val="21"/>
        </w:rPr>
        <w:t>[58]</w:t>
      </w:r>
      <w:bookmarkEnd w:id="1058"/>
      <w:r>
        <w:rPr>
          <w:rFonts w:ascii="Times New Roman" w:hAnsi="Times New Roman" w:eastAsia="宋体"/>
          <w:sz w:val="21"/>
        </w:rPr>
        <w:t xml:space="preserve"> Guan N, Koudas N. ActiveDP: bridging active learning and data programming[EB/OL]. arXiv:2402.06056, 2024.（预印本）</w:t>
      </w:r>
    </w:p>
    <w:p>
      <w:pPr>
        <w:spacing w:line="312" w:lineRule="auto"/>
        <w:ind w:left="480" w:leftChars="0" w:hanging="480" w:hangingChars="200"/>
      </w:pPr>
      <w:bookmarkStart w:id="1059" w:name="_Ref_ref059"/>
      <w:r>
        <w:rPr>
          <w:rFonts w:ascii="Times New Roman" w:hAnsi="Times New Roman" w:eastAsia="宋体"/>
          <w:sz w:val="21"/>
        </w:rPr>
        <w:t>[59]</w:t>
      </w:r>
      <w:bookmarkEnd w:id="1059"/>
      <w:r>
        <w:rPr>
          <w:rFonts w:ascii="Times New Roman" w:hAnsi="Times New Roman" w:eastAsia="宋体"/>
          <w:sz w:val="21"/>
        </w:rPr>
        <w:t xml:space="preserve"> Relevance is not sufficient evidence: detecting evidence gaps before generation in RAG[EB/OL]. arXiv:2609.37469, 2026.（预印本）</w:t>
      </w:r>
    </w:p>
    <w:p>
      <w:pPr>
        <w:spacing w:line="312" w:lineRule="auto"/>
        <w:ind w:left="480" w:leftChars="0" w:hanging="480" w:hangingChars="200"/>
      </w:pPr>
      <w:bookmarkStart w:id="1060" w:name="_Ref_ref060"/>
      <w:r>
        <w:rPr>
          <w:rFonts w:ascii="Times New Roman" w:hAnsi="Times New Roman" w:eastAsia="宋体"/>
          <w:sz w:val="21"/>
        </w:rPr>
        <w:t>[60]</w:t>
      </w:r>
      <w:bookmarkEnd w:id="1060"/>
      <w:r>
        <w:rPr>
          <w:rFonts w:ascii="Times New Roman" w:hAnsi="Times New Roman" w:eastAsia="宋体"/>
          <w:sz w:val="21"/>
        </w:rPr>
        <w:t xml:space="preserve"> Iliopoulos F, Kontonis V, Baykal C, et al. Weighted distillation with unlabeled examples[EB/OL]. arXiv:2210.06711, 2022.（预印本）</w:t>
      </w:r>
    </w:p>
    <w:p>
      <w:pPr>
        <w:spacing w:line="312" w:lineRule="auto"/>
        <w:ind w:left="480" w:leftChars="0" w:hanging="480" w:hangingChars="200"/>
      </w:pPr>
      <w:bookmarkStart w:id="1061" w:name="_Ref_ref061"/>
      <w:r>
        <w:rPr>
          <w:rFonts w:ascii="Times New Roman" w:hAnsi="Times New Roman" w:eastAsia="宋体"/>
          <w:sz w:val="21"/>
        </w:rPr>
        <w:t>[61]</w:t>
      </w:r>
      <w:bookmarkEnd w:id="1061"/>
      <w:r>
        <w:rPr>
          <w:rFonts w:ascii="Times New Roman" w:hAnsi="Times New Roman" w:eastAsia="宋体"/>
          <w:sz w:val="21"/>
        </w:rPr>
        <w:t xml:space="preserve"> Sumit, Srizon D, Roy A K. When does knowledge distillation hurt? reliability-aware distillation for low-resource languages[EB/OL]. arXiv:2607.19956, 2025.（预印本）</w:t>
      </w:r>
    </w:p>
    <w:p>
      <w:pPr>
        <w:spacing w:line="312" w:lineRule="auto"/>
        <w:ind w:left="480" w:leftChars="0" w:hanging="480" w:hangingChars="200"/>
      </w:pPr>
      <w:bookmarkStart w:id="1062" w:name="_Ref_ref062"/>
      <w:r>
        <w:rPr>
          <w:rFonts w:ascii="Times New Roman" w:hAnsi="Times New Roman" w:eastAsia="宋体"/>
          <w:sz w:val="21"/>
        </w:rPr>
        <w:t>[62]</w:t>
      </w:r>
      <w:bookmarkEnd w:id="1062"/>
      <w:r>
        <w:rPr>
          <w:rFonts w:ascii="Times New Roman" w:hAnsi="Times New Roman" w:eastAsia="宋体"/>
          <w:sz w:val="21"/>
        </w:rPr>
        <w:t xml:space="preserve"> Optimal document selection in RAG via combinatorial optimization[C/OL]. OpenReview, 2026. https://openreview.net/forum?id=gtcOku1v2s</w:t>
      </w:r>
    </w:p>
    <w:p>
      <w:pPr>
        <w:spacing w:line="312" w:lineRule="auto"/>
        <w:ind w:left="480" w:leftChars="0" w:hanging="480" w:hangingChars="200"/>
      </w:pPr>
      <w:bookmarkStart w:id="1063" w:name="_Ref_ref063"/>
      <w:r>
        <w:rPr>
          <w:rFonts w:ascii="Times New Roman" w:hAnsi="Times New Roman" w:eastAsia="宋体"/>
          <w:sz w:val="21"/>
        </w:rPr>
        <w:t>[63]</w:t>
      </w:r>
      <w:bookmarkEnd w:id="1063"/>
      <w:r>
        <w:rPr>
          <w:rFonts w:ascii="Times New Roman" w:hAnsi="Times New Roman" w:eastAsia="宋体"/>
          <w:sz w:val="21"/>
        </w:rPr>
        <w:t xml:space="preserve"> Nemhauser G L, Wolsey L A, Fisher M L. An analysis of approximations for maximizing submodular set functions—I[J]. Mathematical Programming, 1978, 14(1): 265-294.</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面向材料文献问答的条件可比 RAG 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