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spacing w:line="312" w:lineRule="auto" w:after="40"/>
        <w:ind w:firstLine="0" w:left="0"/>
      </w:pPr>
      <w:r>
        <w:rPr>
          <w:rFonts w:ascii="Times New Roman" w:hAnsi="Times New Roman" w:eastAsia="宋体"/>
          <w:sz w:val="24"/>
        </w:rPr>
        <w:t>1 选题背景、研究目标与意义</w:t>
      </w:r>
    </w:p>
    <w:p>
      <w:pPr>
        <w:spacing w:line="312" w:lineRule="auto" w:after="40"/>
        <w:ind w:firstLine="0" w:left="0"/>
      </w:pPr>
      <w:r>
        <w:rPr>
          <w:rFonts w:ascii="Times New Roman" w:hAnsi="Times New Roman" w:eastAsia="宋体"/>
          <w:sz w:val="24"/>
        </w:rPr>
        <w:t xml:space="preserve">　　1.1 选题背景</w:t>
      </w:r>
    </w:p>
    <w:p>
      <w:pPr>
        <w:spacing w:line="312" w:lineRule="auto" w:after="40"/>
        <w:ind w:firstLine="0" w:left="0"/>
      </w:pPr>
      <w:r>
        <w:rPr>
          <w:rFonts w:ascii="Times New Roman" w:hAnsi="Times New Roman" w:eastAsia="宋体"/>
          <w:sz w:val="24"/>
        </w:rPr>
        <w:t xml:space="preserve">　　1.2 研究目标与任务定位</w:t>
      </w:r>
    </w:p>
    <w:p>
      <w:pPr>
        <w:spacing w:line="312" w:lineRule="auto" w:after="40"/>
        <w:ind w:firstLine="0" w:left="0"/>
      </w:pPr>
      <w:r>
        <w:rPr>
          <w:rFonts w:ascii="Times New Roman" w:hAnsi="Times New Roman" w:eastAsia="宋体"/>
          <w:sz w:val="24"/>
        </w:rPr>
        <w:t xml:space="preserve">　　1.3 选题意义</w:t>
      </w:r>
    </w:p>
    <w:p>
      <w:pPr>
        <w:spacing w:line="312" w:lineRule="auto" w:after="40"/>
        <w:ind w:firstLine="0" w:left="0"/>
      </w:pPr>
      <w:r>
        <w:rPr>
          <w:rFonts w:ascii="Times New Roman" w:hAnsi="Times New Roman" w:eastAsia="宋体"/>
          <w:sz w:val="24"/>
        </w:rPr>
        <w:t>2 国内外研究现状与本课题切入点</w:t>
      </w:r>
    </w:p>
    <w:p>
      <w:pPr>
        <w:spacing w:line="312" w:lineRule="auto" w:after="40"/>
        <w:ind w:firstLine="0" w:left="0"/>
      </w:pPr>
      <w:r>
        <w:rPr>
          <w:rFonts w:ascii="Times New Roman" w:hAnsi="Times New Roman" w:eastAsia="宋体"/>
          <w:sz w:val="24"/>
        </w:rPr>
        <w:t xml:space="preserve">　　2.1 材料语言模型与合金生成</w:t>
      </w:r>
    </w:p>
    <w:p>
      <w:pPr>
        <w:spacing w:line="312" w:lineRule="auto" w:after="40"/>
        <w:ind w:firstLine="0" w:left="0"/>
      </w:pPr>
      <w:r>
        <w:rPr>
          <w:rFonts w:ascii="Times New Roman" w:hAnsi="Times New Roman" w:eastAsia="宋体"/>
          <w:sz w:val="24"/>
        </w:rPr>
        <w:t xml:space="preserve">　　2.2 知识蒸馏与领域小模型适配</w:t>
      </w:r>
    </w:p>
    <w:p>
      <w:pPr>
        <w:spacing w:line="312" w:lineRule="auto" w:after="40"/>
        <w:ind w:firstLine="0" w:left="0"/>
      </w:pPr>
      <w:r>
        <w:rPr>
          <w:rFonts w:ascii="Times New Roman" w:hAnsi="Times New Roman" w:eastAsia="宋体"/>
          <w:sz w:val="24"/>
        </w:rPr>
        <w:t xml:space="preserve">　　2.3 指令数据构造与教学样本选择</w:t>
      </w:r>
    </w:p>
    <w:p>
      <w:pPr>
        <w:spacing w:line="312" w:lineRule="auto" w:after="40"/>
        <w:ind w:firstLine="0" w:left="0"/>
      </w:pPr>
      <w:r>
        <w:rPr>
          <w:rFonts w:ascii="Times New Roman" w:hAnsi="Times New Roman" w:eastAsia="宋体"/>
          <w:sz w:val="24"/>
        </w:rPr>
        <w:t xml:space="preserve">　　2.4 检索增强与受约束生成</w:t>
      </w:r>
    </w:p>
    <w:p>
      <w:pPr>
        <w:spacing w:line="312" w:lineRule="auto" w:after="40"/>
        <w:ind w:firstLine="0" w:left="0"/>
      </w:pPr>
      <w:r>
        <w:rPr>
          <w:rFonts w:ascii="Times New Roman" w:hAnsi="Times New Roman" w:eastAsia="宋体"/>
          <w:sz w:val="24"/>
        </w:rPr>
        <w:t xml:space="preserve">　　2.5 研究定位与可延伸空间</w:t>
      </w:r>
    </w:p>
    <w:p>
      <w:pPr>
        <w:spacing w:line="312" w:lineRule="auto" w:after="40"/>
        <w:ind w:firstLine="0" w:left="0"/>
      </w:pPr>
      <w:r>
        <w:rPr>
          <w:rFonts w:ascii="Times New Roman" w:hAnsi="Times New Roman" w:eastAsia="宋体"/>
          <w:sz w:val="24"/>
        </w:rPr>
        <w:t>3 研究内容与拟采用的方法</w:t>
      </w:r>
    </w:p>
    <w:p>
      <w:pPr>
        <w:spacing w:line="312" w:lineRule="auto" w:after="40"/>
        <w:ind w:firstLine="0" w:left="0"/>
      </w:pPr>
      <w:r>
        <w:rPr>
          <w:rFonts w:ascii="Times New Roman" w:hAnsi="Times New Roman" w:eastAsia="宋体"/>
          <w:sz w:val="24"/>
        </w:rPr>
        <w:t xml:space="preserve">　　3.1 任务范围与总体方案</w:t>
      </w:r>
    </w:p>
    <w:p>
      <w:pPr>
        <w:spacing w:line="312" w:lineRule="auto" w:after="40"/>
        <w:ind w:firstLine="0" w:left="0"/>
      </w:pPr>
      <w:r>
        <w:rPr>
          <w:rFonts w:ascii="Times New Roman" w:hAnsi="Times New Roman" w:eastAsia="宋体"/>
          <w:sz w:val="24"/>
        </w:rPr>
        <w:t xml:space="preserve">　　3.2 证据可追溯的教学数据构造</w:t>
      </w:r>
    </w:p>
    <w:p>
      <w:pPr>
        <w:spacing w:line="312" w:lineRule="auto" w:after="40"/>
        <w:ind w:firstLine="0" w:left="0"/>
      </w:pPr>
      <w:r>
        <w:rPr>
          <w:rFonts w:ascii="Times New Roman" w:hAnsi="Times New Roman" w:eastAsia="宋体"/>
          <w:sz w:val="24"/>
        </w:rPr>
        <w:t xml:space="preserve">　　3.3 学生失误感知与约束覆盖联合的选择性蒸馏</w:t>
      </w:r>
    </w:p>
    <w:p>
      <w:pPr>
        <w:spacing w:line="312" w:lineRule="auto" w:after="40"/>
        <w:ind w:firstLine="0" w:left="0"/>
      </w:pPr>
      <w:r>
        <w:rPr>
          <w:rFonts w:ascii="Times New Roman" w:hAnsi="Times New Roman" w:eastAsia="宋体"/>
          <w:sz w:val="24"/>
        </w:rPr>
        <w:t xml:space="preserve">　　3.4 条件可比的证据选择与约束一致生成</w:t>
      </w:r>
    </w:p>
    <w:p>
      <w:pPr>
        <w:spacing w:line="312" w:lineRule="auto" w:after="40"/>
        <w:ind w:firstLine="0" w:left="0"/>
      </w:pPr>
      <w:r>
        <w:rPr>
          <w:rFonts w:ascii="Times New Roman" w:hAnsi="Times New Roman" w:eastAsia="宋体"/>
          <w:sz w:val="24"/>
        </w:rPr>
        <w:t>4 拟创新点与研究方案</w:t>
      </w:r>
    </w:p>
    <w:p>
      <w:pPr>
        <w:spacing w:line="312" w:lineRule="auto" w:after="40"/>
        <w:ind w:firstLine="0" w:left="0"/>
      </w:pPr>
      <w:r>
        <w:rPr>
          <w:rFonts w:ascii="Times New Roman" w:hAnsi="Times New Roman" w:eastAsia="宋体"/>
          <w:sz w:val="24"/>
        </w:rPr>
        <w:t xml:space="preserve">　　4.1 拟创新点及其证据要求</w:t>
      </w:r>
    </w:p>
    <w:p>
      <w:pPr>
        <w:spacing w:line="312" w:lineRule="auto" w:after="40"/>
        <w:ind w:firstLine="0" w:left="0"/>
      </w:pPr>
      <w:r>
        <w:rPr>
          <w:rFonts w:ascii="Times New Roman" w:hAnsi="Times New Roman" w:eastAsia="宋体"/>
          <w:sz w:val="24"/>
        </w:rPr>
        <w:t xml:space="preserve">　　4.2 数据与可用资源</w:t>
      </w:r>
    </w:p>
    <w:p>
      <w:pPr>
        <w:spacing w:line="312" w:lineRule="auto" w:after="40"/>
        <w:ind w:firstLine="0" w:left="0"/>
      </w:pPr>
      <w:r>
        <w:rPr>
          <w:rFonts w:ascii="Times New Roman" w:hAnsi="Times New Roman" w:eastAsia="宋体"/>
          <w:sz w:val="24"/>
        </w:rPr>
        <w:t xml:space="preserve">　　4.3 实验设计与公平比较</w:t>
      </w:r>
    </w:p>
    <w:p>
      <w:pPr>
        <w:spacing w:line="312" w:lineRule="auto" w:after="40"/>
        <w:ind w:firstLine="0" w:left="0"/>
      </w:pPr>
      <w:r>
        <w:rPr>
          <w:rFonts w:ascii="Times New Roman" w:hAnsi="Times New Roman" w:eastAsia="宋体"/>
          <w:sz w:val="24"/>
        </w:rPr>
        <w:t xml:space="preserve">　　4.4 指标、接近标准与应用价值验证</w:t>
      </w:r>
    </w:p>
    <w:p>
      <w:pPr>
        <w:spacing w:line="312" w:lineRule="auto" w:after="40"/>
        <w:ind w:firstLine="0" w:left="0"/>
      </w:pPr>
      <w:r>
        <w:rPr>
          <w:rFonts w:ascii="Times New Roman" w:hAnsi="Times New Roman" w:eastAsia="宋体"/>
          <w:sz w:val="24"/>
        </w:rPr>
        <w:t xml:space="preserve">　　4.5 技术路线与阶段衔接</w:t>
      </w:r>
    </w:p>
    <w:p>
      <w:pPr>
        <w:spacing w:line="312" w:lineRule="auto" w:after="40"/>
        <w:ind w:firstLine="0" w:left="0"/>
      </w:pPr>
      <w:r>
        <w:rPr>
          <w:rFonts w:ascii="Times New Roman" w:hAnsi="Times New Roman" w:eastAsia="宋体"/>
          <w:sz w:val="24"/>
        </w:rPr>
        <w:t>5 可行性、风险与预期成果</w:t>
      </w:r>
    </w:p>
    <w:p>
      <w:pPr>
        <w:spacing w:line="312" w:lineRule="auto" w:after="40"/>
        <w:ind w:firstLine="0" w:left="0"/>
      </w:pPr>
      <w:r>
        <w:rPr>
          <w:rFonts w:ascii="Times New Roman" w:hAnsi="Times New Roman" w:eastAsia="宋体"/>
          <w:sz w:val="24"/>
        </w:rPr>
        <w:t xml:space="preserve">　　5.1 资源与实施可行性</w:t>
      </w:r>
    </w:p>
    <w:p>
      <w:pPr>
        <w:spacing w:line="312" w:lineRule="auto" w:after="40"/>
        <w:ind w:firstLine="0" w:left="0"/>
      </w:pPr>
      <w:r>
        <w:rPr>
          <w:rFonts w:ascii="Times New Roman" w:hAnsi="Times New Roman" w:eastAsia="宋体"/>
          <w:sz w:val="24"/>
        </w:rPr>
        <w:t xml:space="preserve">　　5.2 主要风险及处理边界</w:t>
      </w:r>
    </w:p>
    <w:p>
      <w:pPr>
        <w:spacing w:line="312" w:lineRule="auto" w:after="40"/>
        <w:ind w:firstLine="0" w:left="0"/>
      </w:pPr>
      <w:r>
        <w:rPr>
          <w:rFonts w:ascii="Times New Roman" w:hAnsi="Times New Roman" w:eastAsia="宋体"/>
          <w:sz w:val="24"/>
        </w:rPr>
        <w:t xml:space="preserve">　　5.3 预期成果与完成标准</w:t>
      </w:r>
    </w:p>
    <w:p>
      <w:pPr>
        <w:spacing w:line="312" w:lineRule="auto" w:after="40"/>
        <w:ind w:firstLine="0" w:left="0"/>
      </w:pPr>
      <w:r>
        <w:rPr>
          <w:rFonts w:ascii="Times New Roman" w:hAnsi="Times New Roman" w:eastAsia="宋体"/>
          <w:sz w:val="24"/>
        </w:rPr>
        <w:t xml:space="preserve">　　5.4 数据管理、授权与研究诚信</w:t>
      </w:r>
    </w:p>
    <w:p>
      <w:pPr>
        <w:spacing w:line="312" w:lineRule="auto" w:after="40"/>
        <w:ind w:firstLine="0" w:left="0"/>
      </w:pPr>
      <w:r>
        <w:rPr>
          <w:rFonts w:ascii="Times New Roman" w:hAnsi="Times New Roman" w:eastAsia="宋体"/>
          <w:sz w:val="24"/>
        </w:rPr>
        <w:t>6 时间安排</w:t>
      </w:r>
    </w:p>
    <w:p>
      <w:pPr>
        <w:spacing w:line="312" w:lineRule="auto" w:after="40"/>
        <w:ind w:firstLine="0" w:left="0"/>
      </w:pPr>
      <w:r>
        <w:rPr>
          <w:rFonts w:ascii="Times New Roman" w:hAnsi="Times New Roman" w:eastAsia="宋体"/>
          <w:sz w:val="24"/>
        </w:rPr>
        <w:t>参考文献</w:t>
      </w:r>
    </w:p>
    <w:p>
      <w:r>
        <w:br w:type="page"/>
      </w:r>
    </w:p>
    <w:p>
      <w:pPr>
        <w:pStyle w:val="Heading1"/>
      </w:pPr>
      <w:r>
        <w:rPr>
          <w:rFonts w:ascii="Times New Roman" w:hAnsi="Times New Roman" w:eastAsia="黑体"/>
          <w:b/>
          <w:sz w:val="30"/>
        </w:rPr>
        <w:t>1 选题背景、研究目标与意义</w:t>
      </w:r>
    </w:p>
    <w:p>
      <w:pPr>
        <w:pStyle w:val="Heading2"/>
      </w:pPr>
      <w:r>
        <w:rPr>
          <w:rFonts w:ascii="Times New Roman" w:hAnsi="Times New Roman" w:eastAsia="黑体"/>
          <w:b/>
          <w:sz w:val="28"/>
        </w:rPr>
        <w:t>1.1 选题背景</w:t>
      </w:r>
    </w:p>
    <w:p>
      <w:r>
        <w:rPr>
          <w:rFonts w:ascii="Times New Roman" w:hAnsi="Times New Roman" w:eastAsia="宋体"/>
          <w:b w:val="0"/>
          <w:sz w:val="24"/>
        </w:rPr>
        <w:t>材料配方设计需要把性能需求、允许使用的原料、成分范围和已有实验经验联系起来。语言模型能够理解自然语言要求，组织文献证据，并与计算工具协同完成候选提出与修改。LLMatDesign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b w:val="0"/>
          <w:sz w:val="24"/>
          <w:vertAlign w:val="superscript"/>
        </w:rPr>
        <w:t>[1]</w:t>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b w:val="0"/>
          <w:sz w:val="24"/>
          <w:vertAlign w:val="superscript"/>
        </w:rPr>
        <w:t>[2]</w:t>
      </w:r>
      <w:r>
        <w:rPr>
          <w:rFonts w:ascii="Times New Roman" w:hAnsi="Times New Roman" w:eastAsia="宋体"/>
          <w:b w:val="0"/>
          <w:sz w:val="24"/>
        </w:rPr>
        <w:t>。因此，本课题不以“首次把语言模型用于材料设计”为立题依据，而是在已有应用基础上研究其本地化与任务能力迁移。</w:t>
      </w:r>
    </w:p>
    <w:p>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b w:val="0"/>
          <w:sz w:val="24"/>
          <w:vertAlign w:val="superscript"/>
        </w:rPr>
        <w:t>[3]</w:t>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b w:val="0"/>
          <w:sz w:val="24"/>
          <w:vertAlign w:val="superscript"/>
        </w:rPr>
        <w:t>[4]</w:t>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b w:val="0"/>
          <w:sz w:val="24"/>
          <w:vertAlign w:val="superscript"/>
        </w:rPr>
        <w:t>[8][9][19][20]</w:t>
      </w:r>
      <w:r>
        <w:rPr>
          <w:rFonts w:ascii="Times New Roman" w:hAnsi="Times New Roman" w:eastAsia="宋体"/>
          <w:b w:val="0"/>
          <w:sz w:val="24"/>
        </w:rPr>
        <w:t>。</w:t>
      </w:r>
    </w:p>
    <w:p>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r>
        <w:rPr>
          <w:rFonts w:ascii="Times New Roman" w:hAnsi="Times New Roman" w:eastAsia="宋体"/>
          <w:b/>
          <w:sz w:val="24"/>
        </w:rPr>
        <w:t>应用意义：减少方案准备中的重复劳动。</w:t>
      </w:r>
      <w:r>
        <w:rPr>
          <w:rFonts w:ascii="Times New Roman" w:hAnsi="Times New Roman" w:eastAsia="宋体"/>
          <w:b w:val="0"/>
          <w:sz w:val="24"/>
        </w:rPr>
        <w:t xml:space="preserve"> 配方研究中的资料筛选、条件核对、成分改写和结果整理可以被拆解为明确操作。AlloyLens 的专家参与案例表明，交互筛选、局部敏感性分析和多目标取舍具有实际应用背景</w:t>
      </w:r>
      <w:r>
        <w:rPr>
          <w:rFonts w:ascii="Times New Roman" w:hAnsi="Times New Roman" w:eastAsia="宋体"/>
          <w:b w:val="0"/>
          <w:sz w:val="24"/>
          <w:vertAlign w:val="superscript"/>
        </w:rPr>
        <w:t>[5]</w:t>
      </w:r>
      <w:r>
        <w:rPr>
          <w:rFonts w:ascii="Times New Roman" w:hAnsi="Times New Roman" w:eastAsia="宋体"/>
          <w:b w:val="0"/>
          <w:sz w:val="24"/>
        </w:rPr>
        <w:t>。本课题拟将其中部分方案准备工作转化为本地辅助能力，交付带证据和约束检查结果的候选，而不把“缩短全部研发周期”或“提升真实合成成功率”作为未经验证的承诺。应用收益将通过候选可用性、人工修订量与任务耗时检验，不能由系统演示效果代替。</w:t>
      </w:r>
    </w:p>
    <w:p>
      <w:r>
        <w:rPr>
          <w:rFonts w:ascii="Times New Roman" w:hAnsi="Times New Roman" w:eastAsia="宋体"/>
          <w:b/>
          <w:sz w:val="24"/>
        </w:rPr>
        <w:t>部署意义：使领域能力在本地可保存、可控制、可复用。</w:t>
      </w:r>
      <w:r>
        <w:rPr>
          <w:rFonts w:ascii="Times New Roman" w:hAnsi="Times New Roman" w:eastAsia="宋体"/>
          <w:b w:val="0"/>
          <w:sz w:val="24"/>
        </w:rPr>
        <w:t xml:space="preserve"> 模型权重、检索索引与数值工具在使用阶段均可位于本地，内部配方不必为了完成一次任务而发送到外部接口。模型版本与资料快照可冻结，适配结果可在后续任务中复用。私有化不是自动实现的属性，需要对模型调用、向量化和外部工具请求逐项检查。训练阶段若使用云端教师，只处理公开或明确获准上传的数据；本地运行仍有设备、维护和训练摊销成本，不宣称必然比低价 API 更便宜。</w:t>
      </w:r>
    </w:p>
    <w:p>
      <w:r>
        <w:rPr>
          <w:rFonts w:ascii="Times New Roman" w:hAnsi="Times New Roman" w:eastAsia="宋体"/>
          <w:b/>
          <w:sz w:val="24"/>
        </w:rPr>
        <w:t>方法意义：把有限资源转化为可研究的数据选择问题。</w:t>
      </w:r>
      <w:r>
        <w:rPr>
          <w:rFonts w:ascii="Times New Roman" w:hAnsi="Times New Roman" w:eastAsia="宋体"/>
          <w:b w:val="0"/>
          <w:sz w:val="24"/>
        </w:rPr>
        <w:t xml:space="preserve"> 成熟蒸馏方法已经能够向学生传递任务示范，LESS、DEITA、D3 和 LASER 也表明数据选择本身是活跃研究方向</w:t>
      </w:r>
      <w:r>
        <w:rPr>
          <w:rFonts w:ascii="Times New Roman" w:hAnsi="Times New Roman" w:eastAsia="宋体"/>
          <w:b w:val="0"/>
          <w:sz w:val="24"/>
          <w:vertAlign w:val="superscript"/>
        </w:rPr>
        <w:t>[13][14][15][16]</w:t>
      </w:r>
      <w:r>
        <w:rPr>
          <w:rFonts w:ascii="Times New Roman" w:hAnsi="Times New Roman" w:eastAsia="宋体"/>
          <w:b w:val="0"/>
          <w:sz w:val="24"/>
        </w:rPr>
        <w:t>。本课题拟在这些方法基础上做任务化改进：用可以核验的约束失误表示学生薄弱环节，并用约束组合覆盖控制教学样本组成，避免把自由生成中的合理答案差异误判为难度。研究问题是同样教学预算下能否学得更有效，而不是简单宣称“训练越多越好”。</w:t>
      </w:r>
    </w:p>
    <w:p>
      <w:r>
        <w:rPr>
          <w:rFonts w:ascii="Times New Roman" w:hAnsi="Times New Roman" w:eastAsia="宋体"/>
          <w:b/>
          <w:sz w:val="24"/>
        </w:rPr>
        <w:t>研究价值：形成从教学样本到部署输出的一致证据链。</w:t>
      </w:r>
      <w:r>
        <w:rPr>
          <w:rFonts w:ascii="Times New Roman" w:hAnsi="Times New Roman" w:eastAsia="宋体"/>
          <w:b w:val="0"/>
          <w:sz w:val="24"/>
        </w:rPr>
        <w:t xml:space="preserve"> 若训练数据强调来源与适用条件，而推理时只输入无条件的相似文本，模型仍可能错误迁移性能结论。本课题将资料来源、比例单位和约束状态作为教学与推理共用的信息，研究它们能否降低条件混用与无据生成。该价值需要通过消融实验验证，不把使用 LoRA、RAG 或结构化输出本身分别计为创新。</w:t>
      </w:r>
    </w:p>
    <w:p>
      <w:pPr>
        <w:pStyle w:val="Heading1"/>
      </w:pPr>
      <w:r>
        <w:rPr>
          <w:rFonts w:ascii="Times New Roman" w:hAnsi="Times New Roman" w:eastAsia="黑体"/>
          <w:b/>
          <w:sz w:val="30"/>
        </w:rPr>
        <w:t>2 国内外研究现状与本课题切入点</w:t>
      </w:r>
    </w:p>
    <w:p>
      <w:pPr>
        <w:pStyle w:val="Heading2"/>
      </w:pPr>
      <w:r>
        <w:rPr>
          <w:rFonts w:ascii="Times New Roman" w:hAnsi="Times New Roman" w:eastAsia="黑体"/>
          <w:b/>
          <w:sz w:val="28"/>
        </w:rPr>
        <w:t>2.1 材料语言模型与合金生成</w:t>
      </w:r>
    </w:p>
    <w:p>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b w:val="0"/>
          <w:sz w:val="24"/>
          <w:vertAlign w:val="superscript"/>
        </w:rPr>
        <w:t>[1]</w:t>
      </w:r>
      <w:r>
        <w:rPr>
          <w:rFonts w:ascii="Times New Roman" w:hAnsi="Times New Roman" w:eastAsia="宋体"/>
          <w:b w:val="0"/>
          <w:sz w:val="24"/>
        </w:rPr>
        <w:t>。针对 BCC/B2 合金的研究利用 LLaMA、Gemma 和 OLMo 等开源模型，通过热力学计算反馈构造偏好数据并进行直接偏好优化</w:t>
      </w:r>
      <w:r>
        <w:rPr>
          <w:rFonts w:ascii="Times New Roman" w:hAnsi="Times New Roman" w:eastAsia="宋体"/>
          <w:b w:val="0"/>
          <w:sz w:val="24"/>
          <w:vertAlign w:val="superscript"/>
        </w:rPr>
        <w:t>[2]</w:t>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r>
        <w:rPr>
          <w:rFonts w:ascii="Times New Roman" w:hAnsi="Times New Roman" w:eastAsia="宋体"/>
          <w:b w:val="0"/>
          <w:sz w:val="24"/>
        </w:rPr>
        <w:t>LLaMat 面向材料研究的多种文本与结构任务进行大规模领域适配</w:t>
      </w:r>
      <w:r>
        <w:rPr>
          <w:rFonts w:ascii="Times New Roman" w:hAnsi="Times New Roman" w:eastAsia="宋体"/>
          <w:b w:val="0"/>
          <w:sz w:val="24"/>
          <w:vertAlign w:val="superscript"/>
        </w:rPr>
        <w:t>[3]</w:t>
      </w:r>
      <w:r>
        <w:rPr>
          <w:rFonts w:ascii="Times New Roman" w:hAnsi="Times New Roman" w:eastAsia="宋体"/>
          <w:b w:val="0"/>
          <w:sz w:val="24"/>
        </w:rPr>
        <w:t>；AlloyGPT 同时研究合金正向预测与逆向生成</w:t>
      </w:r>
      <w:r>
        <w:rPr>
          <w:rFonts w:ascii="Times New Roman" w:hAnsi="Times New Roman" w:eastAsia="宋体"/>
          <w:b w:val="0"/>
          <w:sz w:val="24"/>
          <w:vertAlign w:val="superscript"/>
        </w:rPr>
        <w:t>[4]</w:t>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b w:val="0"/>
          <w:sz w:val="24"/>
          <w:vertAlign w:val="superscript"/>
        </w:rPr>
        <w:t>[6]</w:t>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不依赖“材料领域尚无人做过”的空白声明，也不把既有商业模型成绩直接当成不同数据划分下可比较的基线。</w:t>
      </w:r>
    </w:p>
    <w:p>
      <w:pPr>
        <w:pStyle w:val="Heading2"/>
      </w:pPr>
      <w:r>
        <w:rPr>
          <w:rFonts w:ascii="Times New Roman" w:hAnsi="Times New Roman" w:eastAsia="黑体"/>
          <w:b/>
          <w:sz w:val="28"/>
        </w:rPr>
        <w:t>2.2 知识蒸馏与领域小模型适配</w:t>
      </w:r>
    </w:p>
    <w:p>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b w:val="0"/>
          <w:sz w:val="24"/>
          <w:vertAlign w:val="superscript"/>
        </w:rPr>
        <w:t>[8]</w:t>
      </w:r>
      <w:r>
        <w:rPr>
          <w:rFonts w:ascii="Times New Roman" w:hAnsi="Times New Roman" w:eastAsia="宋体"/>
          <w:b w:val="0"/>
          <w:sz w:val="24"/>
        </w:rPr>
        <w:t>。Distilling Step-by-Step 利用教师提供的解释性监督改善任务小模型</w:t>
      </w:r>
      <w:r>
        <w:rPr>
          <w:rFonts w:ascii="Times New Roman" w:hAnsi="Times New Roman" w:eastAsia="宋体"/>
          <w:b w:val="0"/>
          <w:sz w:val="24"/>
          <w:vertAlign w:val="superscript"/>
        </w:rPr>
        <w:t>[9]</w:t>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b w:val="0"/>
          <w:sz w:val="24"/>
          <w:vertAlign w:val="superscript"/>
        </w:rPr>
        <w:t>[10]</w:t>
      </w:r>
      <w:r>
        <w:rPr>
          <w:rFonts w:ascii="Times New Roman" w:hAnsi="Times New Roman" w:eastAsia="宋体"/>
          <w:b w:val="0"/>
          <w:sz w:val="24"/>
        </w:rPr>
        <w:t>。这些结果支持任务化教学，但其 NLP 基准结论不等于材料配方任务已经有效。</w:t>
      </w:r>
    </w:p>
    <w:p>
      <w:r>
        <w:rPr>
          <w:rFonts w:ascii="Times New Roman" w:hAnsi="Times New Roman" w:eastAsia="宋体"/>
          <w:b w:val="0"/>
          <w:sz w:val="24"/>
        </w:rPr>
        <w:t>MiniLLM 研究能够访问教师分布时的蒸馏目标与优化方式</w:t>
      </w:r>
      <w:r>
        <w:rPr>
          <w:rFonts w:ascii="Times New Roman" w:hAnsi="Times New Roman" w:eastAsia="宋体"/>
          <w:b w:val="0"/>
          <w:sz w:val="24"/>
          <w:vertAlign w:val="superscript"/>
        </w:rPr>
        <w:t>[11]</w:t>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b w:val="0"/>
          <w:sz w:val="24"/>
          <w:vertAlign w:val="superscript"/>
        </w:rPr>
        <w:t>[19][20]</w:t>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b w:val="0"/>
          <w:sz w:val="24"/>
          <w:vertAlign w:val="superscript"/>
        </w:rPr>
        <w:t>[21]</w:t>
      </w:r>
      <w:r>
        <w:rPr>
          <w:rFonts w:ascii="Times New Roman" w:hAnsi="Times New Roman" w:eastAsia="宋体"/>
          <w:b w:val="0"/>
          <w:sz w:val="24"/>
        </w:rPr>
        <w:t>，具体型号、运行模板与版本将在预实验中固定，不以某个品牌作为论文贡献。</w:t>
      </w:r>
    </w:p>
    <w:p>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b w:val="0"/>
          <w:sz w:val="24"/>
          <w:vertAlign w:val="superscript"/>
        </w:rPr>
        <w:t>[25]</w:t>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b w:val="0"/>
          <w:sz w:val="24"/>
          <w:vertAlign w:val="superscript"/>
        </w:rPr>
        <w:t>[26]</w:t>
      </w:r>
      <w:r>
        <w:rPr>
          <w:rFonts w:ascii="Times New Roman" w:hAnsi="Times New Roman" w:eastAsia="宋体"/>
          <w:b w:val="0"/>
          <w:sz w:val="24"/>
        </w:rPr>
        <w:t>。其训练决策来自 NLM 索引体系，是一种长期人工维护的专业标注资源。该工作还报告，在温度缩放后没有哪个训练目标在校准上明显优于普通交叉熵，且公开的 RLCD 配方在其实验中低于交叉熵 2.5—3.0 分。这提示两点：其一，决策模型路线的标签可得性依赖所在领域已有的结构化标注体系，材料领域缺乏可直接对应的同类资源；其二，在续接此类方法时不应默认 RLCD 优于交叉熵，需以交叉熵加温度缩放作为强基线。本课题因此不把决策模型设为独立研究内容，仅在输出层保留类型化的字段与约束检查。</w:t>
      </w:r>
    </w:p>
    <w:p>
      <w:pPr>
        <w:pStyle w:val="Heading2"/>
      </w:pPr>
      <w:r>
        <w:rPr>
          <w:rFonts w:ascii="Times New Roman" w:hAnsi="Times New Roman" w:eastAsia="黑体"/>
          <w:b/>
          <w:sz w:val="28"/>
        </w:rPr>
        <w:t>2.3 指令数据构造与教学样本选择</w:t>
      </w:r>
    </w:p>
    <w:p>
      <w:r>
        <w:rPr>
          <w:rFonts w:ascii="Times New Roman" w:hAnsi="Times New Roman" w:eastAsia="宋体"/>
          <w:b w:val="0"/>
          <w:sz w:val="24"/>
        </w:rPr>
        <w:t>Self-Instruct 展示了生成指令、过滤无效或相似样本后再训练的基本流程</w:t>
      </w:r>
      <w:r>
        <w:rPr>
          <w:rFonts w:ascii="Times New Roman" w:hAnsi="Times New Roman" w:eastAsia="宋体"/>
          <w:b w:val="0"/>
          <w:sz w:val="24"/>
          <w:vertAlign w:val="superscript"/>
        </w:rPr>
        <w:t>[12]</w:t>
      </w:r>
      <w:r>
        <w:rPr>
          <w:rFonts w:ascii="Times New Roman" w:hAnsi="Times New Roman" w:eastAsia="宋体"/>
          <w:b w:val="0"/>
          <w:sz w:val="24"/>
        </w:rPr>
        <w:t>。DEITA 从质量、复杂度与多样性进行数据选择</w:t>
      </w:r>
      <w:r>
        <w:rPr>
          <w:rFonts w:ascii="Times New Roman" w:hAnsi="Times New Roman" w:eastAsia="宋体"/>
          <w:b w:val="0"/>
          <w:sz w:val="24"/>
          <w:vertAlign w:val="superscript"/>
        </w:rPr>
        <w:t>[13]</w:t>
      </w:r>
      <w:r>
        <w:rPr>
          <w:rFonts w:ascii="Times New Roman" w:hAnsi="Times New Roman" w:eastAsia="宋体"/>
          <w:b w:val="0"/>
          <w:sz w:val="24"/>
        </w:rPr>
        <w:t>，LESS 用梯度影响近似服务于定向指令微调</w:t>
      </w:r>
      <w:r>
        <w:rPr>
          <w:rFonts w:ascii="Times New Roman" w:hAnsi="Times New Roman" w:eastAsia="宋体"/>
          <w:b w:val="0"/>
          <w:sz w:val="24"/>
          <w:vertAlign w:val="superscript"/>
        </w:rPr>
        <w:t>[14]</w:t>
      </w:r>
      <w:r>
        <w:rPr>
          <w:rFonts w:ascii="Times New Roman" w:hAnsi="Times New Roman" w:eastAsia="宋体"/>
          <w:b w:val="0"/>
          <w:sz w:val="24"/>
        </w:rPr>
        <w:t>，D3 联合考虑多样性、难度和可信度</w:t>
      </w:r>
      <w:r>
        <w:rPr>
          <w:rFonts w:ascii="Times New Roman" w:hAnsi="Times New Roman" w:eastAsia="宋体"/>
          <w:b w:val="0"/>
          <w:sz w:val="24"/>
          <w:vertAlign w:val="superscript"/>
        </w:rPr>
        <w:t>[15]</w:t>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b w:val="0"/>
          <w:sz w:val="24"/>
          <w:vertAlign w:val="superscript"/>
        </w:rPr>
        <w:t>[16]</w:t>
      </w:r>
      <w:r>
        <w:rPr>
          <w:rFonts w:ascii="Times New Roman" w:hAnsi="Times New Roman" w:eastAsia="宋体"/>
          <w:b w:val="0"/>
          <w:sz w:val="24"/>
        </w:rPr>
        <w:t>。因此，“困难度加多样性”或“按约束分组”都不能单独声称是新的通用方法。</w:t>
      </w:r>
    </w:p>
    <w:p>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b w:val="0"/>
          <w:sz w:val="24"/>
          <w:vertAlign w:val="superscript"/>
        </w:rPr>
        <w:t>[17]</w:t>
      </w:r>
      <w:r>
        <w:rPr>
          <w:rFonts w:ascii="Times New Roman" w:hAnsi="Times New Roman" w:eastAsia="宋体"/>
          <w:b w:val="0"/>
          <w:sz w:val="24"/>
        </w:rPr>
        <w:t>。RAFT 在领域问答中训练模型使用相关文档并忽略干扰内容</w:t>
      </w:r>
      <w:r>
        <w:rPr>
          <w:rFonts w:ascii="Times New Roman" w:hAnsi="Times New Roman" w:eastAsia="宋体"/>
          <w:b w:val="0"/>
          <w:sz w:val="24"/>
          <w:vertAlign w:val="superscript"/>
        </w:rPr>
        <w:t>[18]</w:t>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b w:val="0"/>
          <w:sz w:val="24"/>
          <w:vertAlign w:val="superscript"/>
        </w:rPr>
        <w:t>[22]</w:t>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r>
        <w:rPr>
          <w:rFonts w:ascii="Times New Roman" w:hAnsi="Times New Roman" w:eastAsia="宋体"/>
          <w:b w:val="0"/>
          <w:sz w:val="24"/>
        </w:rPr>
        <w:t>与材料专用基础模型相比，本课题不进行海量文献继续预训练；与物理奖励驱动的合金生成相比，不以证明经验描述符等价于 CALPHAD 为前提；与通用教学样本选择相比，重点比较可核验失误与约束组合覆盖的增量；与普通 RAG 系统相比，研究学生的证据使用训练和约束执行，而非建立另一个知识问答界面。近期 HEA-Bench 明确将经验相规则定位为弱筛选而非相预测</w:t>
      </w:r>
      <w:r>
        <w:rPr>
          <w:rFonts w:ascii="Times New Roman" w:hAnsi="Times New Roman" w:eastAsia="宋体"/>
          <w:b w:val="0"/>
          <w:sz w:val="24"/>
          <w:vertAlign w:val="superscript"/>
        </w:rPr>
        <w:t>[23]</w:t>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研究内容与拟采用的方法</w:t>
      </w:r>
    </w:p>
    <w:p>
      <w:pPr>
        <w:pStyle w:val="Heading2"/>
      </w:pPr>
      <w:r>
        <w:rPr>
          <w:rFonts w:ascii="Times New Roman" w:hAnsi="Times New Roman" w:eastAsia="黑体"/>
          <w:b/>
          <w:sz w:val="28"/>
        </w:rPr>
        <w:t>3.1 任务范围与总体方案</w:t>
      </w:r>
    </w:p>
    <w:p>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2"/>
      </w:pPr>
      <w:r>
        <w:rPr>
          <w:rFonts w:ascii="Times New Roman" w:hAnsi="Times New Roman" w:eastAsia="黑体"/>
          <w:b/>
          <w:sz w:val="28"/>
        </w:rPr>
        <w:t>3.2 证据可追溯的教学数据构造</w:t>
      </w:r>
    </w:p>
    <w:p>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b w:val="0"/>
          <w:sz w:val="24"/>
          <w:vertAlign w:val="superscript"/>
        </w:rPr>
        <w:t>[7]</w:t>
      </w:r>
      <w:r>
        <w:rPr>
          <w:rFonts w:ascii="Times New Roman" w:hAnsi="Times New Roman" w:eastAsia="宋体"/>
          <w:b w:val="0"/>
          <w:sz w:val="24"/>
        </w:rPr>
        <w:t>。这些条件不能省略后再把记录间差异当作噪声。已有约两万篇全文库作为潜在扩展资源，其合金覆盖、字段质量和使用权限尚未审计，不将其全部条目直接计为本课题训练数据。</w:t>
      </w:r>
    </w:p>
    <w:p>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型示范的数量、用途和人工核验比例单列。不得把教学样本扩增数量等同于独立材料实验数量。</w:t>
      </w:r>
    </w:p>
    <w:p>
      <w:pPr>
        <w:pStyle w:val="Heading2"/>
      </w:pPr>
      <w:r>
        <w:rPr>
          <w:rFonts w:ascii="Times New Roman" w:hAnsi="Times New Roman" w:eastAsia="黑体"/>
          <w:b/>
          <w:sz w:val="28"/>
        </w:rPr>
        <w:t>3.3 学生失误感知与约束覆盖联合的选择性蒸馏</w:t>
      </w:r>
    </w:p>
    <w:p>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2"/>
      </w:pPr>
      <w:r>
        <w:rPr>
          <w:rFonts w:ascii="Times New Roman" w:hAnsi="Times New Roman" w:eastAsia="黑体"/>
          <w:b/>
          <w:sz w:val="28"/>
        </w:rPr>
        <w:t>3.4 条件可比的证据选择与约束一致生成</w:t>
      </w:r>
    </w:p>
    <w:p>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r>
        <w:rPr>
          <w:rFonts w:ascii="Times New Roman" w:hAnsi="Times New Roman" w:eastAsia="宋体"/>
          <w:b w:val="0"/>
          <w:sz w:val="24"/>
        </w:rPr>
        <w:t>对一般非线性性能要求，本体与区间检查不能给出完全可行性证明。性能模型仅输出带版本和适用范围的估计，其评分不作为唯一训练真值和科学验证。无解诊断区分“数值硬约束已证明冲突”与“有限搜索预算内未找到候选”，不将后者写成不存在材料解。</w:t>
      </w:r>
    </w:p>
    <w:p>
      <w:pPr>
        <w:pStyle w:val="Heading1"/>
      </w:pPr>
      <w:r>
        <w:rPr>
          <w:rFonts w:ascii="Times New Roman" w:hAnsi="Times New Roman" w:eastAsia="黑体"/>
          <w:b/>
          <w:sz w:val="30"/>
        </w:rPr>
        <w:t>4 拟创新点与研究方案</w:t>
      </w:r>
    </w:p>
    <w:p>
      <w:pPr>
        <w:pStyle w:val="Heading2"/>
      </w:pPr>
      <w:r>
        <w:rPr>
          <w:rFonts w:ascii="Times New Roman" w:hAnsi="Times New Roman" w:eastAsia="黑体"/>
          <w:b/>
          <w:sz w:val="28"/>
        </w:rPr>
        <w:t>4.1 拟创新点及其证据要求</w:t>
      </w:r>
    </w:p>
    <w:p>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预测／建议”类型。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b w:val="0"/>
          <w:sz w:val="24"/>
          <w:vertAlign w:val="superscript"/>
        </w:rPr>
        <w:t>[13][15][16]</w:t>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pStyle w:val="Heading2"/>
      </w:pPr>
      <w:r>
        <w:rPr>
          <w:rFonts w:ascii="Times New Roman" w:hAnsi="Times New Roman" w:eastAsia="黑体"/>
          <w:b/>
          <w:sz w:val="28"/>
        </w:rPr>
        <w:t>4.2 数据与可用资源</w:t>
      </w:r>
    </w:p>
    <w:p>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b w:val="0"/>
          <w:sz w:val="24"/>
          <w:vertAlign w:val="superscript"/>
        </w:rPr>
        <w:t>[7]</w:t>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b w:val="0"/>
          <w:sz w:val="24"/>
          <w:vertAlign w:val="superscript"/>
        </w:rPr>
        <w:t>[24]</w:t>
      </w:r>
      <w:r>
        <w:rPr>
          <w:rFonts w:ascii="Times New Roman" w:hAnsi="Times New Roman" w:eastAsia="宋体"/>
          <w:b w:val="0"/>
          <w:sz w:val="24"/>
        </w:rPr>
        <w:t>，但它不是高熵合金实测数据，正式使用前须核对具体版本、字段和缺失值，不作为当前必需前提。</w:t>
      </w:r>
    </w:p>
    <w:p>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b w:val="0"/>
          <w:sz w:val="24"/>
          <w:vertAlign w:val="superscript"/>
        </w:rPr>
        <w:t>[1][2][21]</w:t>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b w:val="0"/>
          <w:sz w:val="24"/>
          <w:vertAlign w:val="superscript"/>
        </w:rPr>
        <w:t>[4]</w:t>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w:t>
      </w:r>
    </w:p>
    <w:p>
      <w:pPr>
        <w:pStyle w:val="Heading2"/>
      </w:pPr>
      <w:r>
        <w:rPr>
          <w:rFonts w:ascii="Times New Roman" w:hAnsi="Times New Roman" w:eastAsia="黑体"/>
          <w:b/>
          <w:sz w:val="28"/>
        </w:rPr>
        <w:t>4.3 实验设计与公平比较</w:t>
      </w:r>
    </w:p>
    <w:p>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成本适合，则加入梯度选择对照。全量训练只作额外预算上界参考，不宣称与等预算子集比较完全公平。种子预热与诊断开销在各组使用一致设置，选样计算成本计入总账。</w:t>
      </w:r>
    </w:p>
    <w:p>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pStyle w:val="Heading2"/>
      </w:pPr>
      <w:r>
        <w:rPr>
          <w:rFonts w:ascii="Times New Roman" w:hAnsi="Times New Roman" w:eastAsia="黑体"/>
          <w:b/>
          <w:sz w:val="28"/>
        </w:rPr>
        <w:t>4.4 指标、接近标准与应用价值验证</w:t>
      </w:r>
    </w:p>
    <w:p>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型性能陈述可对应具体测量记录，才计为合格。探索型候选即使没有冒充实测性能，也不能仅凭数值合法计入主任务合格；缺乏适用证据支持的建议单列报告。另报逐候选合法率、证据错误率、候选重复率、修改幅度、修正次数及总生成量，避免仅靠大量采样提高成功率。</w:t>
      </w:r>
    </w:p>
    <w:p>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r>
        <w:rPr>
          <w:rFonts w:ascii="Times New Roman" w:hAnsi="Times New Roman" w:eastAsia="宋体"/>
          <w:b w:val="0"/>
          <w:sz w:val="24"/>
        </w:rPr>
        <w:t>应用价值设置两层证据。可直接核验的是每次获得合格候选所需的重试、字段修正、查证步骤和机器运行开销；涉及“人工时间节省”的结论则需要用户任务试用。若能获得材料研究者参与，采用同任务、交叉顺序和隐去方案标签的结果复核，记录用时与修订量；若无法组织合适使用者，只报告离线操作负担与技术指标，不宣称已经证明产业效率提升。性能模型或经验规则的通过率仅作辅助诊断，不能替代独立实验成败或高温性能验证。</w:t>
      </w:r>
    </w:p>
    <w:p>
      <w:pPr>
        <w:pStyle w:val="Heading2"/>
      </w:pPr>
      <w:r>
        <w:rPr>
          <w:rFonts w:ascii="Times New Roman" w:hAnsi="Times New Roman" w:eastAsia="黑体"/>
          <w:b/>
          <w:sz w:val="28"/>
        </w:rPr>
        <w:t>4.5 技术路线与阶段衔接</w:t>
      </w:r>
    </w:p>
    <w:p>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4-1。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4-1　技术路线图</w:t>
      </w:r>
    </w:p>
    <w:p>
      <w:pPr>
        <w:pStyle w:val="Heading1"/>
      </w:pPr>
      <w:r>
        <w:rPr>
          <w:rFonts w:ascii="Times New Roman" w:hAnsi="Times New Roman" w:eastAsia="黑体"/>
          <w:b/>
          <w:sz w:val="30"/>
        </w:rPr>
        <w:t>5 可行性、风险与预期成果</w:t>
      </w:r>
    </w:p>
    <w:p>
      <w:pPr>
        <w:pStyle w:val="Heading2"/>
      </w:pPr>
      <w:r>
        <w:rPr>
          <w:rFonts w:ascii="Times New Roman" w:hAnsi="Times New Roman" w:eastAsia="黑体"/>
          <w:b/>
          <w:sz w:val="28"/>
        </w:rPr>
        <w:t>5.1 资源与实施可行性</w:t>
      </w:r>
    </w:p>
    <w:p>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b w:val="0"/>
          <w:sz w:val="24"/>
          <w:vertAlign w:val="superscript"/>
        </w:rPr>
        <w:t>[19][20]</w:t>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4.2 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pStyle w:val="Heading2"/>
      </w:pPr>
      <w:r>
        <w:rPr>
          <w:rFonts w:ascii="Times New Roman" w:hAnsi="Times New Roman" w:eastAsia="黑体"/>
          <w:b/>
          <w:sz w:val="28"/>
        </w:rPr>
        <w:t>5.2 主要风险及处理边界</w:t>
      </w:r>
    </w:p>
    <w:p>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pStyle w:val="Heading2"/>
      </w:pPr>
      <w:r>
        <w:rPr>
          <w:rFonts w:ascii="Times New Roman" w:hAnsi="Times New Roman" w:eastAsia="黑体"/>
          <w:b/>
          <w:sz w:val="28"/>
        </w:rPr>
        <w:t>5.3 预期成果与完成标准</w:t>
      </w:r>
    </w:p>
    <w:p>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pStyle w:val="Heading2"/>
      </w:pPr>
      <w:r>
        <w:rPr>
          <w:rFonts w:ascii="Times New Roman" w:hAnsi="Times New Roman" w:eastAsia="黑体"/>
          <w:b/>
          <w:sz w:val="28"/>
        </w:rPr>
        <w:t>5.4 数据管理、授权与研究诚信</w:t>
      </w:r>
    </w:p>
    <w:p>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1"/>
      </w:pPr>
      <w:r>
        <w:rPr>
          <w:rFonts w:ascii="Times New Roman" w:hAnsi="Times New Roman" w:eastAsia="黑体"/>
          <w:b/>
          <w:sz w:val="30"/>
        </w:rPr>
        <w:t>6 时间安排</w:t>
      </w:r>
    </w:p>
    <w:p>
      <w:r>
        <w:rPr>
          <w:rFonts w:ascii="Times New Roman" w:hAnsi="Times New Roman" w:eastAsia="宋体"/>
          <w:b w:val="0"/>
          <w:sz w:val="24"/>
        </w:rPr>
        <w:t>时间表以正式启动后八个月为计划周期，不假设具体入学或答辩日期，实际节点由研究者填写调整。</w:t>
      </w:r>
    </w:p>
    <w:p>
      <w:r>
        <w:rPr>
          <w:rFonts w:ascii="Times New Roman" w:hAnsi="Times New Roman" w:eastAsia="宋体"/>
          <w:b w:val="0"/>
          <w:sz w:val="24"/>
        </w:rPr>
        <w:t>第 1 个月：完成研究资料、许可、来源关联与任务审计；固定首版合金范围、条件字段、教师和学生候选，完成小规模运行与预算估计。</w:t>
      </w:r>
    </w:p>
    <w:p>
      <w:r>
        <w:rPr>
          <w:rFonts w:ascii="Times New Roman" w:hAnsi="Times New Roman" w:eastAsia="宋体"/>
          <w:b w:val="0"/>
          <w:sz w:val="24"/>
        </w:rPr>
        <w:t>第 2 个月：构建任务本体、教师示范和准入规则；划分互斥数据集并检查派生样本泄漏，完成本地底座及常规蒸馏基线。</w:t>
      </w:r>
    </w:p>
    <w:p>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r>
        <w:rPr>
          <w:rFonts w:ascii="Times New Roman" w:hAnsi="Times New Roman" w:eastAsia="宋体"/>
          <w:b w:val="0"/>
          <w:sz w:val="24"/>
        </w:rPr>
        <w:t>第 5 个月：完成本地检索、条件过滤、分步生成和有限修正集成，做分组件消融，确认模型学习与数值工具收益的边界。</w:t>
      </w:r>
    </w:p>
    <w:p>
      <w:r>
        <w:rPr>
          <w:rFonts w:ascii="Times New Roman" w:hAnsi="Times New Roman" w:eastAsia="宋体"/>
          <w:b w:val="0"/>
          <w:sz w:val="24"/>
        </w:rPr>
        <w:t>第 6 个月：冻结正式配置，完成教师比较、来源组留出及约束组合泛化实验；资源和授权具备时组织有限用户任务试用。</w:t>
      </w:r>
    </w:p>
    <w:p>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firstLine="0" w:left="480"/>
      </w:pPr>
      <w:r>
        <w:rPr>
          <w:rFonts w:ascii="Times New Roman" w:hAnsi="Times New Roman" w:eastAsia="宋体"/>
          <w:sz w:val="21"/>
        </w:rPr>
        <w:t>[1] Jia S, Zhang C, Fung V. LLMatDesign: Autonomous materials discovery with large language models[EB/OL]. arXiv:2406.13163, 2024. DOI: 10.48550/arXiv.2406.13163.</w:t>
      </w:r>
    </w:p>
    <w:p>
      <w:pPr>
        <w:spacing w:line="312" w:lineRule="auto"/>
        <w:ind w:firstLine="0" w:left="480"/>
      </w:pPr>
      <w:r>
        <w:rPr>
          <w:rFonts w:ascii="Times New Roman" w:hAnsi="Times New Roman" w:eastAsia="宋体"/>
          <w:sz w:val="21"/>
        </w:rPr>
        <w:t>[2] Ghosh S, Holgate C, Brodnik N R, et al. Preference learning from physics-based feedback: Tuning language models to design BCC/B2 superalloys[EB/OL]. arXiv:2511.12036, 2025. DOI: 10.48550/arXiv.2511.12036.</w:t>
      </w:r>
    </w:p>
    <w:p>
      <w:pPr>
        <w:spacing w:line="312" w:lineRule="auto"/>
        <w:ind w:firstLine="0" w:left="480"/>
      </w:pPr>
      <w:r>
        <w:rPr>
          <w:rFonts w:ascii="Times New Roman" w:hAnsi="Times New Roman" w:eastAsia="宋体"/>
          <w:sz w:val="21"/>
        </w:rPr>
        <w:t>[3] Mishra V, Singh S, Ahlawat D, et al. Foundational large language models for materials research[EB/OL]. arXiv:2412.09560, 2024. DOI: 10.48550/arXiv.2412.09560.</w:t>
      </w:r>
    </w:p>
    <w:p>
      <w:pPr>
        <w:spacing w:line="312" w:lineRule="auto"/>
        <w:ind w:firstLine="0" w:left="480"/>
      </w:pPr>
      <w:r>
        <w:rPr>
          <w:rFonts w:ascii="Times New Roman" w:hAnsi="Times New Roman" w:eastAsia="宋体"/>
          <w:sz w:val="21"/>
        </w:rPr>
        <w:t>[4] Ni B, Glaser B, Taheri-Mousavi S M. End-to-end prediction and design of additively manufacturable alloys using a generative AlloyGPT model[J]. npj Computational Materials, 2025. DOI: 10.1038/s41524-025-01768-2.</w:t>
      </w:r>
    </w:p>
    <w:p>
      <w:pPr>
        <w:spacing w:line="312" w:lineRule="auto"/>
        <w:ind w:firstLine="0" w:left="480"/>
      </w:pPr>
      <w:r>
        <w:rPr>
          <w:rFonts w:ascii="Times New Roman" w:hAnsi="Times New Roman" w:eastAsia="宋体"/>
          <w:sz w:val="21"/>
        </w:rPr>
        <w:t>[5] Li S, Fajardo-Rojas F, Gomez-Gualdron D, et al. AlloyLens: A visual analytics tool for high-throughput alloy screening and inverse design[EB/OL]. arXiv:2511.02133, 2025. DOI: 10.48550/arXiv.2511.02133.</w:t>
      </w:r>
    </w:p>
    <w:p>
      <w:pPr>
        <w:spacing w:line="312" w:lineRule="auto"/>
        <w:ind w:firstLine="0" w:left="480"/>
      </w:pPr>
      <w:r>
        <w:rPr>
          <w:rFonts w:ascii="Times New Roman" w:hAnsi="Times New Roman" w:eastAsia="宋体"/>
          <w:sz w:val="21"/>
        </w:rPr>
        <w:t>[6] Yu Y, Hu W, Wu X, Qian Q. From blind guess to informed judgment: Teaching LLMs to evaluate materials by building knowledge-augmented preference signals[EB/OL]. arXiv:2605.29555, 2026. DOI: 10.48550/arXiv.2605.29555.</w:t>
      </w:r>
    </w:p>
    <w:p>
      <w:pPr>
        <w:spacing w:line="312" w:lineRule="auto"/>
        <w:ind w:firstLine="0" w:left="480"/>
      </w:pPr>
      <w:r>
        <w:rPr>
          <w:rFonts w:ascii="Times New Roman" w:hAnsi="Times New Roman" w:eastAsia="宋体"/>
          <w:sz w:val="21"/>
        </w:rPr>
        <w:t>[7] Borg C K H, Frey C, Moh J, et al. Expanded dataset of mechanical properties and observed phases of multi-principal element alloys[J]. Scientific Data, 2020, 7: 430. DOI: 10.1038/s41597-020-00768-9.</w:t>
      </w:r>
    </w:p>
    <w:p>
      <w:pPr>
        <w:spacing w:line="312" w:lineRule="auto"/>
        <w:ind w:firstLine="0" w:left="480"/>
      </w:pPr>
      <w:r>
        <w:rPr>
          <w:rFonts w:ascii="Times New Roman" w:hAnsi="Times New Roman" w:eastAsia="宋体"/>
          <w:sz w:val="21"/>
        </w:rPr>
        <w:t>[8] Hinton G, Vinyals O, Dean J. Distilling the knowledge in a neural network[EB/OL]. arXiv:1503.02531, 2015. DOI: 10.48550/arXiv.1503.02531.</w:t>
      </w:r>
    </w:p>
    <w:p>
      <w:pPr>
        <w:spacing w:line="312" w:lineRule="auto"/>
        <w:ind w:firstLine="0" w:left="480"/>
      </w:pPr>
      <w:r>
        <w:rPr>
          <w:rFonts w:ascii="Times New Roman" w:hAnsi="Times New Roman" w:eastAsia="宋体"/>
          <w:sz w:val="21"/>
        </w:rPr>
        <w:t>[9] Hsieh C Y, Li C L, Yeh C K, et al. Distilling step-by-step! Outperforming larger language models with less training data and smaller model sizes[EB/OL]. arXiv:2305.02301, 2023. DOI: 10.48550/arXiv.2305.02301.</w:t>
      </w:r>
    </w:p>
    <w:p>
      <w:pPr>
        <w:spacing w:line="312" w:lineRule="auto"/>
        <w:ind w:firstLine="0" w:left="480"/>
      </w:pPr>
      <w:r>
        <w:rPr>
          <w:rFonts w:ascii="Times New Roman" w:hAnsi="Times New Roman" w:eastAsia="宋体"/>
          <w:sz w:val="21"/>
        </w:rPr>
        <w:t>[10] Mitra A, Del Corro L, Mahajan S, et al. Orca 2: Teaching small language models how to reason[EB/OL]. arXiv:2311.11045, 2023. DOI: 10.48550/arXiv.2311.11045.</w:t>
      </w:r>
    </w:p>
    <w:p>
      <w:pPr>
        <w:spacing w:line="312" w:lineRule="auto"/>
        <w:ind w:firstLine="0" w:left="480"/>
      </w:pPr>
      <w:r>
        <w:rPr>
          <w:rFonts w:ascii="Times New Roman" w:hAnsi="Times New Roman" w:eastAsia="宋体"/>
          <w:sz w:val="21"/>
        </w:rPr>
        <w:t>[11] Gu Y, Dong L, Wei F, Huang M. MiniLLM: On-policy distillation of large language models[EB/OL]. arXiv:2306.08543, 2023. DOI: 10.48550/arXiv.2306.08543.</w:t>
      </w:r>
    </w:p>
    <w:p>
      <w:pPr>
        <w:spacing w:line="312" w:lineRule="auto"/>
        <w:ind w:firstLine="0" w:left="480"/>
      </w:pPr>
      <w:r>
        <w:rPr>
          <w:rFonts w:ascii="Times New Roman" w:hAnsi="Times New Roman" w:eastAsia="宋体"/>
          <w:sz w:val="21"/>
        </w:rPr>
        <w:t>[12] Wang Y, Kordi Y, Mishra S, et al. Self-Instruct: Aligning language models with self-generated instructions[EB/OL]. arXiv:2212.10560, 2022. DOI: 10.48550/arXiv.2212.10560.</w:t>
      </w:r>
    </w:p>
    <w:p>
      <w:pPr>
        <w:spacing w:line="312" w:lineRule="auto"/>
        <w:ind w:firstLine="0" w:left="480"/>
      </w:pPr>
      <w:r>
        <w:rPr>
          <w:rFonts w:ascii="Times New Roman" w:hAnsi="Times New Roman" w:eastAsia="宋体"/>
          <w:sz w:val="21"/>
        </w:rPr>
        <w:t>[13] Liu W, Zeng W, He K, et al. What makes good data for alignment? A comprehensive study of automatic data selection in instruction tuning[EB/OL]. arXiv:2312.15685, 2023. DOI: 10.48550/arXiv.2312.15685.</w:t>
      </w:r>
    </w:p>
    <w:p>
      <w:pPr>
        <w:spacing w:line="312" w:lineRule="auto"/>
        <w:ind w:firstLine="0" w:left="480"/>
      </w:pPr>
      <w:r>
        <w:rPr>
          <w:rFonts w:ascii="Times New Roman" w:hAnsi="Times New Roman" w:eastAsia="宋体"/>
          <w:sz w:val="21"/>
        </w:rPr>
        <w:t>[14] Xia M, Malladi S, Gururangan S, et al. LESS: Selecting influential data for targeted instruction tuning[EB/OL]. arXiv:2402.04333, 2024. DOI: 10.48550/arXiv.2402.04333.</w:t>
      </w:r>
    </w:p>
    <w:p>
      <w:pPr>
        <w:spacing w:line="312" w:lineRule="auto"/>
        <w:ind w:firstLine="0" w:left="480"/>
      </w:pPr>
      <w:r>
        <w:rPr>
          <w:rFonts w:ascii="Times New Roman" w:hAnsi="Times New Roman" w:eastAsia="宋体"/>
          <w:sz w:val="21"/>
        </w:rPr>
        <w:t>[15]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firstLine="0" w:left="480"/>
      </w:pPr>
      <w:r>
        <w:rPr>
          <w:rFonts w:ascii="Times New Roman" w:hAnsi="Times New Roman" w:eastAsia="宋体"/>
          <w:sz w:val="21"/>
        </w:rPr>
        <w:t>[16] Mirza P, Weber L, Küch F. LASER: Stratified selective sampling for instruction tuning with dedicated scoring strategy[EB/OL]. arXiv:2505.22157, 2025. DOI: 10.48550/arXiv.2505.22157.</w:t>
      </w:r>
    </w:p>
    <w:p>
      <w:pPr>
        <w:spacing w:line="312" w:lineRule="auto"/>
        <w:ind w:firstLine="0" w:left="480"/>
      </w:pPr>
      <w:r>
        <w:rPr>
          <w:rFonts w:ascii="Times New Roman" w:hAnsi="Times New Roman" w:eastAsia="宋体"/>
          <w:sz w:val="21"/>
        </w:rPr>
        <w:t>[17] Lewis P, Perez E, Piktus A, et al. Retrieval-augmented generation for knowledge-intensive NLP tasks[EB/OL]. arXiv:2005.11401, 2020. DOI: 10.48550/arXiv.2005.11401.</w:t>
      </w:r>
    </w:p>
    <w:p>
      <w:pPr>
        <w:spacing w:line="312" w:lineRule="auto"/>
        <w:ind w:firstLine="0" w:left="480"/>
      </w:pPr>
      <w:r>
        <w:rPr>
          <w:rFonts w:ascii="Times New Roman" w:hAnsi="Times New Roman" w:eastAsia="宋体"/>
          <w:sz w:val="21"/>
        </w:rPr>
        <w:t>[18] Zhang T, Patil S G, Jain N, et al. RAFT: Adapting language model to domain specific RAG[EB/OL]. arXiv:2403.10131, 2024. DOI: 10.48550/arXiv.2403.10131.</w:t>
      </w:r>
    </w:p>
    <w:p>
      <w:pPr>
        <w:spacing w:line="312" w:lineRule="auto"/>
        <w:ind w:firstLine="0" w:left="480"/>
      </w:pPr>
      <w:r>
        <w:rPr>
          <w:rFonts w:ascii="Times New Roman" w:hAnsi="Times New Roman" w:eastAsia="宋体"/>
          <w:sz w:val="21"/>
        </w:rPr>
        <w:t>[19] Hu E J, Shen Y, Wallis P, et al. LoRA: Low-rank adaptation of large language models[EB/OL]. arXiv:2106.09685, 2021. DOI: 10.48550/arXiv.2106.09685.</w:t>
      </w:r>
    </w:p>
    <w:p>
      <w:pPr>
        <w:spacing w:line="312" w:lineRule="auto"/>
        <w:ind w:firstLine="0" w:left="480"/>
      </w:pPr>
      <w:r>
        <w:rPr>
          <w:rFonts w:ascii="Times New Roman" w:hAnsi="Times New Roman" w:eastAsia="宋体"/>
          <w:sz w:val="21"/>
        </w:rPr>
        <w:t>[20] Dettmers T, Pagnoni A, Holtzman A, Zettlemoyer L. QLoRA: Efficient finetuning of quantized LLMs[EB/OL]. arXiv:2305.14314, 2023. DOI: 10.48550/arXiv.2305.14314.</w:t>
      </w:r>
    </w:p>
    <w:p>
      <w:pPr>
        <w:spacing w:line="312" w:lineRule="auto"/>
        <w:ind w:firstLine="0" w:left="480"/>
      </w:pPr>
      <w:r>
        <w:rPr>
          <w:rFonts w:ascii="Times New Roman" w:hAnsi="Times New Roman" w:eastAsia="宋体"/>
          <w:sz w:val="21"/>
        </w:rPr>
        <w:t>[21] Yang A, Li A, Yang B, et al. Qwen3 technical report[EB/OL]. arXiv:2505.09388, 2025. DOI: 10.48550/arXiv.2505.09388.</w:t>
      </w:r>
    </w:p>
    <w:p>
      <w:pPr>
        <w:spacing w:line="312" w:lineRule="auto"/>
        <w:ind w:firstLine="0" w:left="480"/>
      </w:pPr>
      <w:r>
        <w:rPr>
          <w:rFonts w:ascii="Times New Roman" w:hAnsi="Times New Roman" w:eastAsia="宋体"/>
          <w:sz w:val="21"/>
        </w:rPr>
        <w:t>[22] Scholak T, Schucher N, Bahdanau D. PICARD: Parsing incrementally for constrained auto-regressive decoding from language models[EB/OL]. arXiv:2109.05093, 2021. DOI: 10.48550/arXiv.2109.05093.</w:t>
      </w:r>
    </w:p>
    <w:p>
      <w:pPr>
        <w:spacing w:line="312" w:lineRule="auto"/>
        <w:ind w:firstLine="0" w:left="480"/>
      </w:pPr>
      <w:r>
        <w:rPr>
          <w:rFonts w:ascii="Times New Roman" w:hAnsi="Times New Roman" w:eastAsia="宋体"/>
          <w:sz w:val="21"/>
        </w:rPr>
        <w:t>[23] Fieser D, Dewanjee U, Hu A. HEA-Bench: An AI-agent-optimized calculator of high-entropy alloy and oxide descriptors and phase-prediction rules[J]. Materials, 2026, 19(14): 3075. DOI: 10.3390/ma19143075.</w:t>
      </w:r>
    </w:p>
    <w:p>
      <w:pPr>
        <w:spacing w:line="312" w:lineRule="auto"/>
        <w:ind w:firstLine="0" w:left="480"/>
      </w:pPr>
      <w:r>
        <w:rPr>
          <w:rFonts w:ascii="Times New Roman" w:hAnsi="Times New Roman" w:eastAsia="宋体"/>
          <w:sz w:val="21"/>
        </w:rPr>
        <w:t>[24] Bugelnig K, Requena G. Dataset - SciVisContest - Materials Discovery Challenge - version 2025[DS/OL]. Zenodo, version v3. DOI: 10.5281/zenodo.15189444. 数据说明：https://sciviscontest2025.github.io/data/.</w:t>
      </w:r>
    </w:p>
    <w:p>
      <w:pPr>
        <w:spacing w:line="312" w:lineRule="auto"/>
        <w:ind w:firstLine="0" w:left="480"/>
      </w:pPr>
      <w:r>
        <w:rPr>
          <w:rFonts w:ascii="Times New Roman" w:hAnsi="Times New Roman" w:eastAsia="宋体"/>
          <w:sz w:val="21"/>
        </w:rPr>
        <w:t>[25] Zhang X, Li J, Shao B, et al. Fine-tuning small language models for reliable VASP INCAR generation[EB/OL]. arXiv:2608.05387, 2026. DOI: 10.48550/arXiv.2608.05387.</w:t>
      </w:r>
    </w:p>
    <w:p>
      <w:pPr>
        <w:spacing w:line="312" w:lineRule="auto"/>
        <w:ind w:firstLine="0" w:left="480"/>
      </w:pPr>
      <w:r>
        <w:rPr>
          <w:rFonts w:ascii="Times New Roman" w:hAnsi="Times New Roman" w:eastAsia="宋体"/>
          <w:sz w:val="21"/>
        </w:rPr>
        <w:t>[26] Deka P. From retrieval to typed decisions: calibrated System One models from biomedical sentence encoders[EB/OL]. arXiv:2610.02486, 2026.</w:t>
      </w:r>
    </w:p>
    <w:sectPr w:rsidR="00FC693F" w:rsidRPr="0006063C" w:rsidSect="00034616">
      <w:footerReference w:type="default" r:id="rId10"/>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