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面向高熵合金设计辅助的本体驱动证据判定与小模型蒸馏方法研究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智能体的行为由多步决策构成，而现有可获取的小模型并未针对这类多步交互做过训练；同时，材料文献中"主题相关但条件不符"的证据极易被误用，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智能体方向也已成形：既有工作把语言模型置于工具链中，通过推理与动作的交替完成材料设计任务，并已验证该形态在相设计等任务上的可行性；同时，把大模型智能体的行为蒸馏进小模型的方法也已被提出，其做法是记录教师智能体的完整执行轨迹并用其训练学生。可延伸的问题因此不是"是否有人做过"，而是一个更具体的缺口：</w:t>
      </w:r>
      <w:r>
        <w:rPr>
          <w:rFonts w:ascii="Times New Roman" w:hAnsi="Times New Roman" w:eastAsia="宋体"/>
          <w:b/>
          <w:sz w:val="24"/>
        </w:rPr>
        <w:t>当智能体的行为由多步工具调用构成时，应以什么信号判断学生哪一步没学会，并使该信号在训练与推理两个阶段保持一致。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小模型驱动的工具调用"为技术形态，构建一个面向高熵合金设计辅助的本地智能体，并通过选择性蒸馏提升该智能体的决策能力。与直接生成配方文本不同，智能体的输出是一串工具调用决策：面对用户要求，它需要判断该查什么证据、该调哪个校验工具、结果不符时如何修正。研究工作先界定智能体的任务边界与工具集，明确可用工具、交互协议与终止条件；再从文献建立补充数据通道，对解析结果施加可核验的约束检测与修正，使含噪的自动提取资料可用于训练；进而构造证据可追溯的教学轨迹，把教师的"推理—调工具—观察结果—修正"完整过程记录为教学单元，并按来源分组划分数据分区；核心环节是以任务检查器给出的可核验失误类型作为薄弱度信号，结合工具调用类型的覆盖程度与轨迹长度成本，在固定预算内完成轨迹选择；推理阶段则研究条件可比的证据选择与工具调用约束，使小模型在有限上下文内做出稳定的调用决策。上述环节共同支撑一个可在本地运行、每步可追溯的高熵合金设计辅助智能体。</w:t>
      </w:r>
    </w:p>
    <w:p>
      <w:pPr>
        <w:pStyle w:val="Heading3"/>
      </w:pPr>
      <w:r>
        <w:rPr>
          <w:rFonts w:ascii="Times New Roman" w:hAnsi="Times New Roman" w:eastAsia="黑体"/>
          <w:b/>
          <w:sz w:val="28"/>
        </w:rPr>
        <w:t>3.1.1 本体驱动的证据适用性类型化判定方法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检索增强生成在材料问答中的失效，有一半以上不发生在检索环节，而发生在"证据拿到之后怎么用"这一层。已有大规模实证研究在小模型上给出明确数据</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即使提供保证含正确答案的检索结果，参数量不超过七十亿的模型在自身无法回答的问题上仍有百分之八十五至一百的提取失败率；并且任何检索都会破坏原本答对的百分之四十二至一百的答案，主要失效模式是完全忽略给出的上下文。这说明小模型的问题不是"找不到证据"，而是"不会判断哪条证据能用"。对于材料领域，这一判断还多了一层难度：证据常常主题相关而条件不符，一条室温拉伸数据可能来自完全不同的热处理状态。而对文献抽取所得数据库的核查显示，近半数条目存在结构性错误，这些错误会沿下游流程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已有工作尝试用小模型做证据接地的判断：四亿级参数的小推理模型被训练来判断"文档与声明是否构成支持关系"，在公开基准上取得与更大专用模型相当的准确率，其做法是用偏好优化把大模型的推理蒸馏进小 backbone</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这类工作说明了小模型可承担接地判断，但其判定对象是"声明是否被文档支持"，不涉及"文档的测试条件是否与问题匹配"这一层。三个困难使这一判断难以直接沿用生成式方法。第一，自由生成无法保证判断的一致性。同一份证据在不同表述下可能得到不同结论，而适用性判断本应是确定性的分类结果。第二，判断依据在材料领域高度结构化。是否适用取决于成分计量基准、制备状态、测试温度、试验类型等若干槽位的比对结果，这是一次受限的选择而非开放的文本生成。第三，缺少可用的标注资源。类型化决策模型在生物医学领域已获验证</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，其训练标签来自长期人工维护的专业索引体系；材料领域没有对等的资源，直接迁移缺乏标签基础。另有综述系统整理了此类"不作生成、只作判定"的范式</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，但其适用前提同样是存在可靠的选项定义与标签来源。</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无依据结论：模型引用了真实存在的记录，但该记录的条件与问题不符，输出表面上可追溯，实质不成立。其次是判断不稳定：同一问题重复提问可能得到不同结论，用户无法建立信任。第三是错误不可归因：由于判断过程是生成而非分类，一旦结论错误，无法定位是哪个条件槽位比对失败。</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构建轻量材料本体，定义判定所需的槽位。本体不作大而全的建模，只覆盖判断适用性所必需的四类槽位：成分（含元素集合与计量基准）、状态（制备工艺、热处理、相结构）、测试条件（测试温度、试验类型、测量方法）、性能（指标类型、单位、数值来源类型）。每类槽位声明其取值域与比较规则，例如测试温度按区间重叠判定、计量基准必须一致、单位需先换算再比较。本体以结构化文件保存，可版本化管理。</w:t>
      </w:r>
    </w:p>
    <w:p>
      <w:pPr>
        <w:ind w:firstLine="480" w:firstLineChars="200"/>
        <w:spacing w:line="312" w:lineRule="auto"/>
      </w:pPr>
      <w:r>
        <w:rPr>
          <w:rFonts w:ascii="Times New Roman" w:hAnsi="Times New Roman" w:eastAsia="宋体"/>
          <w:b w:val="0"/>
          <w:sz w:val="24"/>
        </w:rPr>
        <w:t>第二步，由本体结构自动生成判定标签，替代人工标注。对给定问题与候选证据，先从问题解析出所需槽位及其取值，再从证据记录中填取对应槽位，逐项比对。比对结果按四类归集：条件相符、条件冲突、条件缺失、条件未知。规则能明确判定的情形直接生成标签，例如两侧温度均有值且区间不重叠判为冲突、基准字段不一致判为冲突、字段为空判为缺失。这一设计的关键在于：标签不是人工标的，而是由本体声明的比较规则推导出来的，因而可批量生成、可复现、可审计。</w:t>
      </w:r>
    </w:p>
    <w:p>
      <w:pPr>
        <w:ind w:firstLine="480" w:firstLineChars="200"/>
        <w:spacing w:line="312" w:lineRule="auto"/>
      </w:pPr>
      <w:r>
        <w:rPr>
          <w:rFonts w:ascii="Times New Roman" w:hAnsi="Times New Roman" w:eastAsia="宋体"/>
          <w:b w:val="0"/>
          <w:sz w:val="24"/>
        </w:rPr>
        <w:t>第三步，把规则无法判定的部分交给蒸馏所得的小模型。规则只能处理字段齐全且取值明确的情形。实际数据中存在大量模糊情形：字段缺失但上下文（表注、正文、同表其他行）暗示了条件；同一条件有多种表述（"铸态"与"as-cast"，"室温"与"25 ℃"）；单位需经换算才能比较；多个条件部分符合而整体存疑。这些情形规则无法给出可靠标签，正是模型要学习的部分。以教师示范这些模糊情形的判断过程，蒸馏进小模型，使其在规则盲区上补位。</w:t>
      </w:r>
    </w:p>
    <w:p>
      <w:pPr>
        <w:ind w:firstLine="480" w:firstLineChars="200"/>
        <w:spacing w:line="312" w:lineRule="auto"/>
      </w:pPr>
      <w:r>
        <w:rPr>
          <w:rFonts w:ascii="Times New Roman" w:hAnsi="Times New Roman" w:eastAsia="宋体"/>
          <w:b w:val="0"/>
          <w:sz w:val="24"/>
        </w:rPr>
        <w:t>第四步，量化规则与模型的覆盖分界。分别统计规则可判定的比例、规则判定的一致性（重复标注一致率）、以及模型在规则无法判定样本上的准确率。已有研究在化学对象校验上给出提示：错误一旦被标记，修复成功率可达八成以上，真正的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本项因此把评价重心放在判定召回率而非后续修正。这一统计是方案成立与否的关键：若规则覆盖率过高，模型的存在价值需要重新论证；若模型在盲区上不显著优于随机，则方案不成立。两种结果都如实报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适用性判断从开放生成改为受限分类，使结论确定且可复核；判定依据来自本体声明的槽位与比较规则，因而错误可归因到具体槽位；标签由规则自动生成，绕开了材料领域缺乏人工标注体系的障碍；规则与模型分工明确，各自的贡献可分别度量。</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本体驱动的证据适用性判定方法，并在判定准确率、规则覆盖率、规则一致性以及模型在盲区上的增益四个维度上，与不区分的通用判断、纯规则判断、纯模型判断三种做法对照，界定规则与模型各自的适用边界。</w:t>
      </w:r>
    </w:p>
    <w:p>
      <w:pPr>
        <w:pStyle w:val="Heading3"/>
      </w:pPr>
      <w:r>
        <w:rPr>
          <w:rFonts w:ascii="Times New Roman" w:hAnsi="Times New Roman" w:eastAsia="黑体"/>
          <w:b/>
          <w:sz w:val="28"/>
        </w:rPr>
        <w:t>3.1.2 条件感知的证据检索与工具调用约束方法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智能体的能力上限很大程度取决于它能否取到可用的信息。在材料文献场景中，检索到的记录常常"主题相关但条件不符"：一条抗拉强度数据可能来自不同热处理状态或不同测试温度。若智能体不加区分地引用，后续的校验工具会通过数值检查（因为数字本身合法），但结论在物理上不成立。这类错误不会在语法或数值层面暴露，是本场景最隐蔽的失效。同时，智能体的每一步工具调用都需要与上下文预算协调：调用过多会超出上下文，调用过少则信息不足。</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环节。第一，条件可比性判断依赖领域知识，通用嵌入模型按语义接近程度排序，恰恰把这类冲突证据排到前列。第二，工具调用的参数填错难以察觉：智能体可能把测试温度字段填成制备温度，工具会返回结果，但结果与该问题无关。第三，终止条件模糊：智能体在证据不足时可能强行给出结论，也可能无休止地继续检索，二者都不可接受。</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首先是无依据结论：引用真实存在但不适用的记录，输出表面可追溯，实质不成立。其次是工具误用：参数错配使校验工具形同虚设，而系统不会报错。第三是效率失控：缺少明确的终止判据，部署时的轮次与时延无法预估。</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训练条件感知的证据重排模型，并把它封装为智能体可调用的检索工具。重排器训练数据由本课题自行构造：取同一成分在不同测试温度、不同样品状态下的记录，配对生成"条件可比"与"条件冲突"的正负样本，其中冲突样本只改动条件字段而保持主题相关，迫使模型学到的是条件一致性而非语义相似度。模型输出三类判定（条件相符、条件冲突、条件未知），对应不同处置。重排器选用百兆级轻量模型，在单卡上即可完成微调，作为工具调用时不增加显著时延。</w:t>
      </w:r>
    </w:p>
    <w:p>
      <w:pPr>
        <w:ind w:firstLine="480" w:firstLineChars="200"/>
        <w:spacing w:line="312" w:lineRule="auto"/>
      </w:pPr>
      <w:r>
        <w:rPr>
          <w:rFonts w:ascii="Times New Roman" w:hAnsi="Times New Roman" w:eastAsia="宋体"/>
          <w:b w:val="0"/>
          <w:sz w:val="24"/>
        </w:rPr>
        <w:t>第二步，为工具调用设计参数约束与结果校验。每个工具声明必填参数与取值范围，智能体输出调用前先经一个轻量校验层检查参数类型与取值域；工具返回结果后，统一附加一个"可用性标记"，标明该结果是否可直接支持结论、仅可作背景、还是不可用。这样后续步骤不必重新判断证据质量。</w:t>
      </w:r>
    </w:p>
    <w:p>
      <w:pPr>
        <w:ind w:firstLine="480" w:firstLineChars="200"/>
        <w:spacing w:line="312" w:lineRule="auto"/>
      </w:pPr>
      <w:r>
        <w:rPr>
          <w:rFonts w:ascii="Times New Roman" w:hAnsi="Times New Roman" w:eastAsia="宋体"/>
          <w:b w:val="0"/>
          <w:sz w:val="24"/>
        </w:rPr>
        <w:t>第三步，设定明确的终止条件与修正上限。当所有硬约束满足且存在至少一条可用证据时，允许终止并输出；当证据缺失或约束冲突时，输出当前结论并标注未满足项，而不是继续无界检索。修正轮次设上限，超出则返回最佳当前方案并说明原因。</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条件判断交给微调后的重排器，比规则过滤更能处理字段残缺、表述不一致的情形；在工具接口层加入参数校验与可用性标记，使错误在发生处暴露而非累积到最终输出；明确的终止与修正上限则让智能体的行为在部署时可预期。</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预期形成一套条件感知的检索与工具约束方法，并在证据可用率、工具参数正确率、平均轮次与总时延四个维度上，与不作条件区分的通用检索、按规则硬过滤、无参数校验的裸工具调用等做法对照。</w:t>
      </w:r>
    </w:p>
    <w:p>
      <w:pPr>
        <w:pStyle w:val="Heading3"/>
      </w:pPr>
      <w:r>
        <w:rPr>
          <w:rFonts w:ascii="Times New Roman" w:hAnsi="Times New Roman" w:eastAsia="黑体"/>
          <w:b/>
          <w:sz w:val="28"/>
        </w:rPr>
        <w:t>3.1.3 面向高熵合金设计辅助的本地判定原型实现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判定流程涉及本体、槽位比对、模型补位与证据组织多个环节，若各处分别实现，基线条件难以统一，实验结论也无法归因。因此本部分实现一个可在本地运行的判定原型，把本体加载、字段抽取、槽位比对、标签生成、模型判定与证据组织串联为可复现流程。该原型是本课题"可落地项目"的交付物，其定位是验证载体，工程贡献与算法贡献分开表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本体结构若在后期变动，会使已生成的标签全部失效，因此槽位定义须尽早冻结。第二，实验可复现依赖版本控制，本体版本、模型版本、字段抽取规则若不一致，对照结果无法回溯。第三，部署形态需支持离线运行，模型调用与向量化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缺少统一载体时，规则与模型的贡献会相互混淆，也无法判断增益来自本体设计的改进还是工程实现的差异；版本记录缺失则结果不可复现；只有模型文件而无运行说明，交付物实际不可用。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第一步，固定本体与接口。本体以结构化文件保存并版本化，槽位定义与比较规则独立于代码；字段抽取、槽位比对、标签生成各为独立模块，模块间以固定格式交换数据，使任一环节可单独替换与测试。</w:t>
      </w:r>
    </w:p>
    <w:p>
      <w:pPr>
        <w:ind w:firstLine="480" w:firstLineChars="200"/>
        <w:spacing w:line="312" w:lineRule="auto"/>
      </w:pPr>
      <w:r>
        <w:rPr>
          <w:rFonts w:ascii="Times New Roman" w:hAnsi="Times New Roman" w:eastAsia="宋体"/>
          <w:b w:val="0"/>
          <w:sz w:val="24"/>
        </w:rPr>
        <w:t>第二步，建立可追溯的记录。每次判定保存输入问题、参与比对的所有槽位取值、每步比对结果、最终标签与判定来源（规则或模型），使任一结论可回溯到具体字段与规则。本体版本、模型版本与抽取规则版本一并记录。</w:t>
      </w:r>
    </w:p>
    <w:p>
      <w:pPr>
        <w:ind w:firstLine="480" w:firstLineChars="200"/>
        <w:spacing w:line="312" w:lineRule="auto"/>
      </w:pPr>
      <w:r>
        <w:rPr>
          <w:rFonts w:ascii="Times New Roman" w:hAnsi="Times New Roman" w:eastAsia="宋体"/>
          <w:b w:val="0"/>
          <w:sz w:val="24"/>
        </w:rPr>
        <w:t>第三步，核查本地部署边界。逐项检查模型、嵌入模型与外部工具是否存在联网传输；对内部数据的上传与外发分别取得授权。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该实现使规则与模型两种判定路径在同一条件下可比；判定过程逐步留痕，使错误可归因到具体槽位；本体与代码分离，使本体调整不需重写流程。</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预期交付一个可在本地运行、判定过程逐步可追溯的原型，配套版本化的本体规范与复现材料，作为学院要求"可落地项目"的交付物。</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为解决上述问题，本文提出"本体驱动的证据适用性判定"方法，构建一个以轻量材料本体为判据、由小模型补位模糊情形的证据判定框架。</w:t>
      </w:r>
      <w:r>
        <w:rPr>
          <w:rFonts w:ascii="Times New Roman" w:hAnsi="Times New Roman" w:eastAsia="宋体"/>
          <w:b w:val="0"/>
          <w:sz w:val="24"/>
        </w:rPr>
        <w:t xml:space="preserve"> 该方法要解决的问题是：材料领域缺乏类型化决策所需的标注体系，而语言模型面对证据时的核心困难不是检索，是判断哪条证据在当前条件下可用。具体做法分三步：其一，构建只覆盖判定所需的轻量本体，定义成分、状态、测试条件、性能四类槽位及其比较规则；其二，由本体声明的比较规则自动生成"条件相符／冲突／缺失／未知"四类标签，替代人工标注体系，标签可批量生成、可复现、可审计；其三，把规则无法判定的模糊情形交由蒸馏所得的小模型补位，并量化规则与模型各自的覆盖边界。三项工作共同支撑一个可在本地运行、判定过程可追溯的设计辅助原型，并以同预算公平对照说明该方法的实际增量。</w:t>
      </w:r>
    </w:p>
    <w:p>
      <w:pPr>
        <w:ind w:firstLine="480" w:firstLineChars="200"/>
        <w:spacing w:line="312" w:lineRule="auto"/>
      </w:pPr>
      <w:r>
        <w:rPr>
          <w:rFonts w:ascii="Times New Roman" w:hAnsi="Times New Roman" w:eastAsia="宋体"/>
          <w:b/>
          <w:sz w:val="24"/>
        </w:rPr>
        <w:t>拟创新点一：本体驱动的证据适用性类型化判定方法。</w:t>
      </w:r>
      <w:r>
        <w:rPr>
          <w:rFonts w:ascii="Times New Roman" w:hAnsi="Times New Roman" w:eastAsia="宋体"/>
          <w:b w:val="0"/>
          <w:sz w:val="24"/>
        </w:rPr>
        <w:t xml:space="preserve"> 本项把适用性判断从开放生成改为受限分类，并以本体结构替代人工标注体系来生成训练标签。具体包括三步：其一，构建只覆盖判定所需的轻量本体，定义成分、状态、测试条件、性能四类槽位及其比较规则（区间重叠、基准一致、单位换算）；其二，由本体声明的比较规则自动生成"条件相符／冲突／缺失／未知"四类标签，标签可批量生成、可复现、可审计；其三，把规则无法判定的模糊情形（字段缺失但上下文有线索、表述歧义、单位需换算）交由蒸馏所得的小模型判断。与既有类型化决策工作的差别在于标签来源：已有工作依赖长期人工维护的专业索引体系，材料领域无对等资源；本项以本体结构自动生成标签，绕开该依赖。与本体增强检索类工作的差别在于用途：后者用本体改进检索排序并按本体锚定生成</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，本项用本体定义判断的选项空间。与本体符合的实体识别工作也不同，后者判定实体归属哪一本体类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，本项判定证据与问题之间的适用关系。另有工作用种子本体指导数据增强来微调小模型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，其任务仍是实体与关系抽取，未涉及判定标签的自动生成与规则/模型边界划分。</w:t>
      </w:r>
    </w:p>
    <w:p>
      <w:pPr>
        <w:ind w:firstLine="480" w:firstLineChars="200"/>
        <w:spacing w:line="312" w:lineRule="auto"/>
      </w:pPr>
      <w:r>
        <w:rPr>
          <w:rFonts w:ascii="Times New Roman" w:hAnsi="Times New Roman" w:eastAsia="宋体"/>
          <w:b w:val="0"/>
          <w:sz w:val="24"/>
        </w:rPr>
        <w:t>本项的验证方式为：分别统计规则可判定比例、规则重复标注一致率、以及模型在规则盲区上的准确率，据此界定规则与模型的适用边界；并与不区分的通用判断、纯规则判断、纯模型判断三种做法对照。若规则覆盖率过高使模型缺乏存在价值，或模型在盲区上不显著优于随机，均如实报告。</w:t>
      </w:r>
    </w:p>
    <w:p>
      <w:pPr>
        <w:ind w:firstLine="480" w:firstLineChars="200"/>
        <w:spacing w:line="312" w:lineRule="auto"/>
      </w:pPr>
      <w:r>
        <w:rPr>
          <w:rFonts w:ascii="Times New Roman" w:hAnsi="Times New Roman" w:eastAsia="宋体"/>
          <w:b/>
          <w:sz w:val="24"/>
        </w:rPr>
        <w:t>拟创新点二：面向判定结果的条件感知证据组织方法（支撑性工作）。</w:t>
      </w:r>
      <w:r>
        <w:rPr>
          <w:rFonts w:ascii="Times New Roman" w:hAnsi="Times New Roman" w:eastAsia="宋体"/>
          <w:b w:val="0"/>
          <w:sz w:val="24"/>
        </w:rPr>
        <w:t xml:space="preserve"> 本项把适用性判定的输出用于后续证据组织：依据判定得到的三类状态（相符、冲突、未知）决定每条证据在回答中的角色：相符者可作为直接支持，冲突者仅作编辑背景，未知者标注为不确定；在固定上下文预算下选择既覆盖用户要求又条件可比的证据组合。该环节与已有按因果完整性门控的工作在目标上相邻</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，但判据来自前述本体的槽位比对结果而非因果链推断。本项的定位是</w:t>
      </w:r>
      <w:r>
        <w:rPr>
          <w:rFonts w:ascii="Times New Roman" w:hAnsi="Times New Roman" w:eastAsia="宋体"/>
          <w:b/>
          <w:sz w:val="24"/>
        </w:rPr>
        <w:t>验证性支撑</w:t>
      </w:r>
      <w:r>
        <w:rPr>
          <w:rFonts w:ascii="Times New Roman" w:hAnsi="Times New Roman" w:eastAsia="宋体"/>
          <w:b w:val="0"/>
          <w:sz w:val="24"/>
        </w:rPr>
        <w:t>：它检验判定结果能否被下游有效使用，其自身不主张独立的方法创新；与不作条件区分的通用检索、按规则硬过滤两种做法对照，报告证据可用率与答案依据完整性。</w:t>
      </w:r>
    </w:p>
    <w:p>
      <w:pPr>
        <w:ind w:firstLine="480" w:firstLineChars="200"/>
        <w:spacing w:line="312" w:lineRule="auto"/>
      </w:pPr>
      <w:r>
        <w:rPr>
          <w:rFonts w:ascii="Times New Roman" w:hAnsi="Times New Roman" w:eastAsia="宋体"/>
          <w:b/>
          <w:sz w:val="24"/>
        </w:rPr>
        <w:t>上述两项是相互衔接的拟研究改进，并非已证实的两个突破。方法创新集中于第一项（本体驱动的标签生成），第二项仅为其应用验证环节，不主张独立方法贡献。</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靠文献补充通道填入。因此本课题的槽位设计须与数据现实对齐：首版本体只启用主线数据中确有的槽位（成分、制备工艺、相结构、测试温度、试验类型），热处理与测量方法作为文献补充通道的目标字段，在补充数据经检测通过后再纳入判定。这一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对；其中测试温度或制备工艺不同者为 7,452 对，构成"条件冲突"候选。这一规模足以支撑规则与模型的分层实验，但需注意两点：其一，配对双方来自同一文献的情形较多，须按来源分组划分以避免泄漏；其二，条件"不同"仅是候选，是否构成真正的条件冲突需由本体规则判定并人工抽检，不能把配对数量直接当作有效样本数。</w:t>
      </w:r>
    </w:p>
    <w:p>
      <w:pPr>
        <w:ind w:firstLine="480" w:firstLineChars="200"/>
        <w:spacing w:line="312" w:lineRule="auto"/>
      </w:pPr>
      <w:r>
        <w:rPr>
          <w:rFonts w:ascii="Times New Roman" w:hAnsi="Times New Roman" w:eastAsia="宋体"/>
          <w:b w:val="0"/>
          <w:sz w:val="24"/>
        </w:rPr>
        <w:t>由于主线数据缺两个槽位且部分字段非空率偏低，本课题建立文献补充数据通道。解析环节采用开源工具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该环节在通用场景下可靠性较好，但在表格合并单元格、上下标与真实扫描件上存在已知短板，故其输出须经槽位抽取与一致性检查后方可入库，不直接计入判定数据。补充库的规模以实际解析与检查通过率决定，在首轮试验后报告实际可用条数，不预设具体数字。</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不区分条件的通用判定、纯规则判定、纯模型判定（不经蒸馏）、用教师模型直接判定（作为性能上界参考）及本课题的完整方案。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消融实验聚焦三项核心设计，每组只改动一处，其余设置不变，使改进归因可追溯。</w:t>
      </w:r>
    </w:p>
    <w:p>
      <w:pPr>
        <w:ind w:firstLine="480" w:firstLineChars="200"/>
        <w:spacing w:line="312" w:lineRule="auto"/>
      </w:pPr>
      <w:r>
        <w:rPr>
          <w:rFonts w:ascii="Times New Roman" w:hAnsi="Times New Roman" w:eastAsia="宋体"/>
          <w:b w:val="0"/>
          <w:sz w:val="24"/>
        </w:rPr>
        <w:t>第一组检验分槽位的必要性：把四类槽位（成分、状态、测试条件、性能）压成单一的"条件是否匹配"二值判断，与完整分槽位判定比较，测出槽位细分本身的贡献。</w:t>
      </w:r>
    </w:p>
    <w:p>
      <w:pPr>
        <w:ind w:firstLine="480" w:firstLineChars="200"/>
        <w:spacing w:line="312" w:lineRule="auto"/>
      </w:pPr>
      <w:r>
        <w:rPr>
          <w:rFonts w:ascii="Times New Roman" w:hAnsi="Times New Roman" w:eastAsia="宋体"/>
          <w:b w:val="0"/>
          <w:sz w:val="24"/>
        </w:rPr>
        <w:t>第二组检验"未知"状态的信息价值：移除该状态，把原本判为未知的一律并入"缺失"，观察下游证据组织与最终答案依据完整性的变化。</w:t>
      </w:r>
    </w:p>
    <w:p>
      <w:pPr>
        <w:ind w:firstLine="480" w:firstLineChars="200"/>
        <w:spacing w:line="312" w:lineRule="auto"/>
      </w:pPr>
      <w:r>
        <w:rPr>
          <w:rFonts w:ascii="Times New Roman" w:hAnsi="Times New Roman" w:eastAsia="宋体"/>
          <w:b w:val="0"/>
          <w:sz w:val="24"/>
        </w:rPr>
        <w:t>第三组检验规则化比较的必要性：关闭本体声明的比较规则（区间重叠、基准换算、单位规范），改为按字段字符串相等判断，测出规则化比较相对朴素匹配的增量。</w:t>
      </w:r>
    </w:p>
    <w:p>
      <w:pPr>
        <w:ind w:firstLine="480" w:firstLineChars="200"/>
        <w:spacing w:line="312" w:lineRule="auto"/>
      </w:pPr>
      <w:r>
        <w:rPr>
          <w:rFonts w:ascii="Times New Roman" w:hAnsi="Times New Roman" w:eastAsia="宋体"/>
          <w:b w:val="0"/>
          <w:sz w:val="24"/>
        </w:rPr>
        <w:t>三组之外另设一组基线消融：仅用规则、不引入模型，直接测出规则方法的天花板。这一组用于界定模型的适用边界，若规则已达可用水平，则模型的必要性需要重新论证，该结果如实报告。</w:t>
      </w:r>
    </w:p>
    <w:p>
      <w:pPr>
        <w:ind w:firstLine="480" w:firstLineChars="200"/>
        <w:spacing w:line="312" w:lineRule="auto"/>
      </w:pPr>
      <w:r>
        <w:rPr>
          <w:rFonts w:ascii="Times New Roman" w:hAnsi="Times New Roman" w:eastAsia="宋体"/>
          <w:b w:val="0"/>
          <w:sz w:val="24"/>
        </w:rPr>
        <w:t>消融结果与主对照分开报告。主对照回答"所提方法是否优于既有基线"，消融回答"增益来自哪个组件"；两者若不一致，以消融结果解释主对照中增益的来源。</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与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技术路线为：轻量本体设计与比较规则定义、文献解析与字段抽取、槽位比对与标签自动生成、规则与模型的覆盖边界划分、模糊情形的教师示范构造、QLoRA 蒸馏小模型补位、条件感知的本地检索、与纯规则及纯模型基线比较。判定与检索共用同一套槽位定义与来源类型，最终输出本体规范、判定模型权重与判定日志。整体流程见图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轻量材料本体规范及其比较规则、一种由本体结构自动生成证据适用性标签的方法、一个经轻量适配的适用性判定模型，以及具备本地检索与判定能力的辅助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tools[C]//Proceedings of the 2025 Conference on Empirical Methods in Natural Language Processing.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models[EB/OL]. arXiv:2408.04661, 2024.（预印本）</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decisions without generation: a survey[EB/OL].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Bootstrapping knowledge acquisition from domain text with a seed ontology and small language models[C]//Springer, 2026.</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面向高熵合金设计辅助的本体驱动证据判定与小模型蒸馏方法研究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