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。这些结果说明路线可行，但也同时暴露了本课题要处理的具体问题。</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综合上述，领域适配、小模型蒸馏、数据选择与受约束生成均已有较成熟的研究。可延伸的问题因此不是"是否有人做过"，而是一个更具体的缺口：</w:t>
      </w:r>
      <w:r>
        <w:rPr>
          <w:rFonts w:ascii="Times New Roman" w:hAnsi="Times New Roman" w:eastAsia="宋体"/>
          <w:b/>
          <w:sz w:val="24"/>
        </w:rPr>
        <w:t>在答案开放但约束刚性的任务上，应以什么信号衡量学生的薄弱环节，并使该信号在训练与推理两个阶段保持一致。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并以一个可运行的原型完成验证。研究工作先界定任务范围与总体方案，明确输入输出、约束类型与数据边界；在此基础上构造证据可追溯的教学数据，把资料整理为成分、状态、测试、性能、来源五类字段，按来源分组划分数据分区，并生成带约束扰动的组合任务；核心环节是以任务检查器给出的可核验失误类型作为薄弱度信号，结合约束组合的覆盖程度，在固定预算内完成样本选择；推理阶段则研究条件可比的证据选择与约束一致的分步生成，其中一个环节是训练条件感知的重排模型。上述环节依次衔接，共同支撑一个可在本地运行、输出带来源依据与约束检查结果的辅助原型。</w:t>
      </w:r>
    </w:p>
    <w:p>
      <w:pPr>
        <w:pStyle w:val="Heading3"/>
      </w:pPr>
      <w:r>
        <w:rPr>
          <w:rFonts w:ascii="Times New Roman" w:hAnsi="Times New Roman" w:eastAsia="黑体"/>
          <w:b/>
          <w:sz w:val="28"/>
        </w:rPr>
        <w:t>3.1.1 基于可核验失误信号与约束覆盖的样本选择方法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教学数据的质量直接决定小模型适配的效果。在固定训练预算下，从候选教学池中选出哪些样本训练，比采用何种微调方式更能影响最终表现。现有方法多以模型自身的反应衡量样本价值，但这套标准依赖"答案唯一"的前提；合金配方存在多个合法解，模型未复述参考配方未必是出错。若沿用既有判据，训练会集中于"合法但与参考不同"的样本，反而损害泛化能力。因此需要一套不依赖模型自我表现的薄弱度判据，这是本部分的出发点。</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具体而言存在三个困难。第一，何为"做错"缺少可执行定义：教师示范只给出一条路径，无法据此判断其他路径是否同样合格。第二，薄弱环节的分布不均衡：学生在某些约束类型（如比例换算）上反复出错，在另一些类型（如锁定项）上则几乎未受训练，若按统一样本量分配，训练预算会浪费在已掌握的类型上。第三，教学样本成本差异显著：一条包含多轮修改与证据引用的示范，其训练成本可达简单任务数倍，若按样本条数而非实际成本计算预算，不同方法之间不具备可比性。</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继续沿用行为类难度信号，最直接的后果是选样方向错误：模型在"给了另一个合法配方"时被判为失败，该样本被反复加强训练，学生因此倾向于机械复述参考路径而丧失灵活性。其次是覆盖失衡：训练集在少数约束类型上过度饱和，而其他类型始终薄弱，表现为原型在演示任务上表现良好、换一类要求即失效。第三是结论不可信：由于预算口径不一致，"所提方法优于基线"的结论可能只是训练量更多的结果，而非选样策略本身有效。</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建立可核验的失误判据。用任务检查器对每条学生输出执行四类检查：元素比例之和是否归一到单位总量、被锁定元素是否保持不变、比例基准与单位是否一致、性能陈述是否绑定到存在且条件相符的记录。检查器只判定可自动判定的项目，语义层面的支持关系标记为"未知"而非强行归类，避免把无法判断的情形计入错误。</w:t>
      </w:r>
    </w:p>
    <w:p>
      <w:pPr>
        <w:ind w:firstLine="480" w:firstLineChars="200"/>
        <w:spacing w:line="312" w:lineRule="auto"/>
      </w:pPr>
      <w:r>
        <w:rPr>
          <w:rFonts w:ascii="Times New Roman" w:hAnsi="Times New Roman" w:eastAsia="宋体"/>
          <w:b w:val="0"/>
          <w:sz w:val="24"/>
        </w:rPr>
        <w:t>第二步，定义薄弱度与覆盖度的联合效用。设样本 d 的可核验失误分数为 e(d)，h_j(d) 表示该样本是否覆盖第 j 类约束组合，n_j(A) 表示已选集合 A 对第 j 类的覆盖次数。边际效用写作</w:t>
      </w:r>
    </w:p>
    <w:p>
      <w:pPr>
        <w:ind w:firstLine="480" w:firstLineChars="200"/>
        <w:spacing w:line="312" w:lineRule="auto"/>
      </w:pPr>
      <w:r>
        <w:rPr>
          <w:rFonts w:ascii="Times New Roman" w:hAnsi="Times New Roman" w:eastAsia="宋体"/>
          <w:b w:val="0"/>
          <w:sz w:val="24"/>
        </w:rPr>
        <w:t>G(d | A) = α·e(d) + β·Σ_j [w_j·h_j(d) / (1 + n_j(A))] − γ·R(d, A)</w:t>
      </w:r>
    </w:p>
    <w:p>
      <w:pPr>
        <w:ind w:firstLine="480" w:firstLineChars="200"/>
        <w:spacing w:line="312" w:lineRule="auto"/>
      </w:pPr>
      <w:r>
        <w:rPr>
          <w:rFonts w:ascii="Times New Roman" w:hAnsi="Times New Roman" w:eastAsia="宋体"/>
          <w:b w:val="0"/>
          <w:sz w:val="24"/>
        </w:rPr>
        <w:t>其中 R 为与已选样本的冗余度，α、β、γ 为非负且和为 1 的参数。该式的含义是：优先选择学生确实做错、能补足未覆盖约束类型、且与已选样本不重复的样本。在此之上按成本归一化，得到</w:t>
      </w:r>
    </w:p>
    <w:p>
      <w:pPr>
        <w:ind w:firstLine="480" w:firstLineChars="200"/>
        <w:spacing w:line="312" w:lineRule="auto"/>
      </w:pPr>
      <w:r>
        <w:rPr>
          <w:rFonts w:ascii="Times New Roman" w:hAnsi="Times New Roman" w:eastAsia="宋体"/>
          <w:b w:val="0"/>
          <w:sz w:val="24"/>
        </w:rPr>
        <w:t>Score(d | A) = G(d | A) / c(d)</w:t>
      </w:r>
    </w:p>
    <w:p>
      <w:pPr>
        <w:ind w:firstLine="480" w:firstLineChars="200"/>
        <w:spacing w:line="312" w:lineRule="auto"/>
      </w:pPr>
      <w:r>
        <w:rPr>
          <w:rFonts w:ascii="Times New Roman" w:hAnsi="Times New Roman" w:eastAsia="宋体"/>
          <w:b w:val="0"/>
          <w:sz w:val="24"/>
        </w:rPr>
        <w:t>其中 c(d) 为教学 token 成本与候选池中位成本的比值，并设正下限以避免极短样本取得异常高分。</w:t>
      </w:r>
    </w:p>
    <w:p>
      <w:pPr>
        <w:ind w:firstLine="480" w:firstLineChars="200"/>
        <w:spacing w:line="312" w:lineRule="auto"/>
      </w:pPr>
      <w:r>
        <w:rPr>
          <w:rFonts w:ascii="Times New Roman" w:hAnsi="Times New Roman" w:eastAsia="宋体"/>
          <w:b w:val="0"/>
          <w:sz w:val="24"/>
        </w:rPr>
        <w:t>第三步，在预算约束下贪心选取并在适当时提前停止。每次从满足质量准入且边际效用为正的样本中取归一化得分最高者，更新覆盖计数；当没有这样的样本时立即停止，不使用零或负效用样本填满预算。若方法提前停止，则把主比较准确称为"相同预算上限"，并补充在其实际训练量附近做预算匹配比较，而不是宣称严格等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薄弱"从模型的自我表现转换为外部可核验的执行错误，因而在答案开放的任务上仍能给出稳定信号；同时，覆盖项保证训练样本分散在不同约束类型上，避免在少数类型上过度饱和；成本归一化则使不同选样策略在同一预算口径下可比。三者共同指向一个可检验的命题：在同等教学预算与同一底座下，以可核验失误为信号的选样是否优于以模型行为为信号的选样。</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形成一种学生失误与约束覆盖驱动的样本选择方法，并在同池、同底座、同预算的条件下，与随机选择、单一难度选择、纯覆盖选择以及成熟的质量—多样性选择方法完成对照，报告选择增益及其计算开销。若结果显示所提方法不优于合理对照，则如实报告负结果，并分析原因来自信号定义、覆盖单位还是数据质量。</w:t>
      </w:r>
    </w:p>
    <w:p>
      <w:pPr>
        <w:pStyle w:val="Heading3"/>
      </w:pPr>
      <w:r>
        <w:rPr>
          <w:rFonts w:ascii="Times New Roman" w:hAnsi="Times New Roman" w:eastAsia="黑体"/>
          <w:b/>
          <w:sz w:val="28"/>
        </w:rPr>
        <w:t>3.1.2 教学与推理一致的条件约束生成方法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一个在训练任务上表现良好的模型，未必能在实际使用中保持同样的可靠性。训练阶段的教学样本通常经过整理，条件字段完整、证据指向明确；而推理阶段面对的是用户即时提出的要求，检索到的证据可能条件不全，数值修正也可能改变原方案的上下文。若训练与推理使用不同的信息结构，模型学到的证据使用方式会在部署时失效。本部分研究的正是如何让两者共用同一套约束状态与证据类型。</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具体困难制约着一致性的实现。第一，证据的条件可比性难以判断：检索到一条性能记录时，其测试温度、样品状态与工艺路线若与用户要求不符，直接引用即为错误，但这类不匹配不会在文本相似度上体现。通用嵌入模型按语义接近程度排序，把"主题相关但条件冲突"的证据排到前面，这正是通用检索器在材料文献上失效的主因。第二，生成过程的中间状态不可检查：若一次性生成完整配方与说明，一旦某处比例修正，此前的引用与解释便不再成立，而错误可能被掩盖在流畅的文本中。第三，无解与未找到难以区分：当约束本身矛盾时系统应明确指出，而当搜索预算不足时只能说明暂未找到，二者若混为一谈，会让用户误以为材料不可行。</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引用错误：模型引用了真实存在但不适用的记录，输出表面上可追溯，实质上不成立。其次是解释失配：数值修正后说明未同步更新，用户据此复核会得到矛盾结论。第三是可信度损失：若把"未找到"表述为"不存在"，或把"候选建议"表述为"已证性能"，则整个辅助能力的可靠性都无法被用户判断，反而不如直接给出无依据的建议来得透明。</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针对上述三点，本部分同样分步处理。</w:t>
      </w:r>
    </w:p>
    <w:p>
      <w:pPr>
        <w:ind w:firstLine="480" w:firstLineChars="200"/>
        <w:spacing w:line="312" w:lineRule="auto"/>
      </w:pPr>
      <w:r>
        <w:rPr>
          <w:rFonts w:ascii="Times New Roman" w:hAnsi="Times New Roman" w:eastAsia="宋体"/>
          <w:b w:val="0"/>
          <w:sz w:val="24"/>
        </w:rPr>
        <w:t>第一步，训练条件感知的证据重排模型，把条件可比性判断从规则搬到模型。检索采用两阶段结构：先用通用嵌入模型在本地资料上召回候选，再用一个微调过的重排器对候选重新排序。重排器的训练数据由本课题自行构造：以资料中同一成分在不同测试温度、不同样品状态下的记录为素材，配对生成"条件可比"与"条件冲突"的正负样本，其中冲突样本只改动条件字段而保持主题相关，迫使模型学到的不是语义相似度而是条件一致性。模型输出三类判定：条件相符、条件冲突、条件未知，对应不同的后续处置：相符时记录中的性能数值可作为直接支持，冲突时降权，未知时标为不确定，既不当作可用，也不因缺失而判定材料不可行。</w:t>
      </w:r>
    </w:p>
    <w:p>
      <w:pPr>
        <w:ind w:firstLine="480" w:firstLineChars="200"/>
        <w:spacing w:line="312" w:lineRule="auto"/>
      </w:pPr>
      <w:r>
        <w:rPr>
          <w:rFonts w:ascii="Times New Roman" w:hAnsi="Times New Roman" w:eastAsia="宋体"/>
          <w:b w:val="0"/>
          <w:sz w:val="24"/>
        </w:rPr>
        <w:t>重排器选用百兆级参数的轻量模型，在单卡上即可完成微调，不引入新的算力瓶颈。与该环节对照的做法包括：不作条件区分的通用重排器、按规则硬过滤条件的检索、以及仅用元数据字段匹配的做法。评价指标为条件冲突证据进入前 k 条的比例、可比证据的召回率与重排时延；这三项共同界定"把条件判断交给模型"相对"交给规则"的实际收益与代价。在固定输入预算下，再从重排结果中选择既覆盖用户要求又较少重复的证据组合。</w:t>
      </w:r>
    </w:p>
    <w:p>
      <w:pPr>
        <w:ind w:firstLine="480" w:firstLineChars="200"/>
        <w:spacing w:line="312" w:lineRule="auto"/>
      </w:pPr>
      <w:r>
        <w:rPr>
          <w:rFonts w:ascii="Times New Roman" w:hAnsi="Times New Roman" w:eastAsia="宋体"/>
          <w:b w:val="0"/>
          <w:sz w:val="24"/>
        </w:rPr>
        <w:t>第二步，采用分步表示生成候选。生成过程拆为三段：先确定元素集合，再确定各元素的整数比例份额，最后补齐引用与说明。这一表示使得中间状态可被检查。在给定前缀与剩余变量的上下界后，检查剩余总量能否被合法分配；若不能，则拒绝该扩展或调用数值工具重新分配。连续比例的离散步长在开发集上冻结，并报告舍入容差。</w:t>
      </w:r>
    </w:p>
    <w:p>
      <w:pPr>
        <w:ind w:firstLine="480" w:firstLineChars="200"/>
        <w:spacing w:line="312" w:lineRule="auto"/>
      </w:pPr>
      <w:r>
        <w:rPr>
          <w:rFonts w:ascii="Times New Roman" w:hAnsi="Times New Roman" w:eastAsia="宋体"/>
          <w:b w:val="0"/>
          <w:sz w:val="24"/>
        </w:rPr>
        <w:t>第三步，限定修正范围并同步更新。当数值工具改动了比例，系统须同步更新修改说明与证据支持标记，不允许整段文本投影后数值合法却保留已经不对应的解释。对一般非线性性能要求，本体与区间检查只能给出部分可行性证据，性能模型的输出作为带版本与适用范围的估计单独记录，其评分与科学验证分开处理。无解诊断须区分"数值硬约束已证明冲突"与"有限搜索预算内未找到候选"两种情形。</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使训练与推理共用同一套条件状态与证据类型，模型在教学中学习"何时可以引用、何时只能作背景"，在推理时依据同一判据执行；把条件判断交给微调后的重排器，比规则过滤更能处理条件字段残缺、表述不一致的情形，因为模型可以从上下文推断"这条记录大概是什么状态"，而不必要求字段完全对齐；分步表示把原本不可见的中间状态暴露出来，使数值修正不再掩盖解释失配；三类证据状态与两种无解情形则让输出的确定性程度可被用户识别。</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形成一套教学与推理共用约束状态的生成方法，并在合法性、候选多样性、证据对应率与总开销四个维度上，与标准检索增强、生成后过滤、统一约束解码以及相同的数值求解器完成对照，从而界定模型学习与数值工具各自的贡献边界。</w:t>
      </w:r>
    </w:p>
    <w:p>
      <w:pPr>
        <w:pStyle w:val="Heading3"/>
      </w:pPr>
      <w:r>
        <w:rPr>
          <w:rFonts w:ascii="Times New Roman" w:hAnsi="Times New Roman" w:eastAsia="黑体"/>
          <w:b/>
          <w:sz w:val="28"/>
        </w:rPr>
        <w:t>3.1.3 面向合金配方辅助的本地原型实现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研究需要一个共同的验证载体。方法层面的对照需要控制底座、预算与数据分区，若各部分分别实现，基线条件难以统一，实验结论也难以归因。因此本部分实现一个可在本地运行的辅助原型，把资料准备、教师示范构造、学生诊断、选样、微调、检索与生成各环节串联为可复现的流程，作为两项方法的统一验证平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主要有三。第一，环节众多且相互依赖，资料格式若在后期变动，会导致前期标注全部返工，因此数据结构须尽早固定。第二，实验可复现性依赖版本控制，底座、教师、检索索引与工具版本若不一致，对照结果无法回溯。第三，部署形态需要支持离线运行，模型调用、向量化与外部工具请求都须逐项核查，不能只检查生成环节。</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缺少统一载体，最直接的问题是实验无法归因：两项方法的增益可能相互混淆，也可能被工程差异掩盖。其次是结论不可复现：缺少版本记录时，他人无法判断结果来自方法还是环境。第三是交付物不完整：只有模型文件而无运行环境说明，实际无法被使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数据与任务的接口。把允许使用的资料统一为"成分、状态、测试、性能、来源"五类字段的记录，来源关联分组在划分训练、开发、测试之前完成，同组记录不可跨区。教师示范由训练分区内的记录构造，派生任务与其基础记录属于同一分区。</w:t>
      </w:r>
    </w:p>
    <w:p>
      <w:pPr>
        <w:ind w:firstLine="480" w:firstLineChars="200"/>
        <w:spacing w:line="312" w:lineRule="auto"/>
      </w:pPr>
      <w:r>
        <w:rPr>
          <w:rFonts w:ascii="Times New Roman" w:hAnsi="Times New Roman" w:eastAsia="宋体"/>
          <w:b w:val="0"/>
          <w:sz w:val="24"/>
        </w:rPr>
        <w:t>第二步，建立可追溯的运行记录。冻结底座版本、教师服务版本、提示模板、检索索引快照与工具版本，每次实验保存输入、检索结果、初始输出与最终输出，使任一结果可回溯到具体配置。教学与推理共用同一套约束状态与来源类型，避免两阶段的信息结构不一致。</w:t>
      </w:r>
    </w:p>
    <w:p>
      <w:pPr>
        <w:ind w:firstLine="480" w:firstLineChars="200"/>
        <w:spacing w:line="312" w:lineRule="auto"/>
      </w:pPr>
      <w:r>
        <w:rPr>
          <w:rFonts w:ascii="Times New Roman" w:hAnsi="Times New Roman" w:eastAsia="宋体"/>
          <w:b w:val="0"/>
          <w:sz w:val="24"/>
        </w:rPr>
        <w:t>第三步，核查本地部署边界。逐项检查模型、嵌入模型、重排模型与工具链是否存在联网传输，对内部配方数据的上传、再训练与外发分别取得授权，不以去除名称替代授权。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这一原型使两项方法研究在同一条件下可比，其工程贡献与算法创新分开表述，不把接口开发或界面实现计为算法贡献。它提供的价值是验证基础设施与可复现的实验记录，而非额外的算法能力。</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本部分的预期结果是交付一个可在本地运行、能够执行限定任务并输出带来源依据与约束检查结果的原型，配套版本化的实验配置与复现材料，使两项方法的对照结果可被独立复核。</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拟创新点一：可核验失误信号与约束组合覆盖联合驱动的选择性任务蒸馏。</w:t>
      </w:r>
      <w:r>
        <w:rPr>
          <w:rFonts w:ascii="Times New Roman" w:hAnsi="Times New Roman" w:eastAsia="宋体"/>
          <w:b w:val="0"/>
          <w:sz w:val="24"/>
        </w:rPr>
        <w:t xml:space="preserve"> 本项把教学数据的构造与样本选择合成一个整体：在构造环节，通过约束扰动生成组合任务，并在扰动后重新核验答案，同时把每个性能陈述标注为观测支持型或探索建议型，使示范本身可追溯；在选择环节，以任务检查器给出的可核验失误（总量、锁定项、单位、条件引用）定义薄弱度，以约束组合的覆盖程度定义样本组成，并以教学成本归一化得分。与 DEITA、D3、LASER 等既有方法的差别不在于再次相加若干评分项，而在于薄弱度的可执行定义与覆盖单位：不以"学生未复述教师答案"判错，允许多个合法配方；不按文本主题而按约束类型及其组合计算覆盖。该项的创新落在两处：一是把薄弱度的判据从模型行为换成外部可核验的执行失误，二是把样本组成的度量单位从文本主题换成约束类型组合。前者使信号在答案开放时仍然成立，后者使覆盖缺口直接对应到任务的失败模式。这两处改动均由消融实验直接检验，不以组件数量或首次性作为创新依据。</w:t>
      </w:r>
    </w:p>
    <w:p>
      <w:pPr>
        <w:ind w:firstLine="480" w:firstLineChars="200"/>
        <w:spacing w:line="312" w:lineRule="auto"/>
      </w:pPr>
      <w:r>
        <w:rPr>
          <w:rFonts w:ascii="Times New Roman" w:hAnsi="Times New Roman" w:eastAsia="宋体"/>
          <w:b w:val="0"/>
          <w:sz w:val="24"/>
        </w:rPr>
        <w:t>本项的验证方式为：在相同教学池、相同底座与相同训练预算下，与随机选择、单一难度选择、纯覆盖选择及成熟的质量—多样性选择方法对照；同时分别移除约束扰动与显式证据绑定，检验数据构造部分的贡献；再分别移除失误项、覆盖项或冗余项，检验收益是否依赖极窄的参数设置。若不能优于合理对照，不将该项作为已验证贡献。</w:t>
      </w:r>
    </w:p>
    <w:p>
      <w:pPr>
        <w:ind w:firstLine="480" w:firstLineChars="200"/>
        <w:spacing w:line="312" w:lineRule="auto"/>
      </w:pPr>
      <w:r>
        <w:rPr>
          <w:rFonts w:ascii="Times New Roman" w:hAnsi="Times New Roman" w:eastAsia="宋体"/>
          <w:b/>
          <w:sz w:val="24"/>
        </w:rPr>
        <w:t>拟创新点二：条件感知的证据重排与教学—推理一致的约束生成方法。</w:t>
      </w:r>
      <w:r>
        <w:rPr>
          <w:rFonts w:ascii="Times New Roman" w:hAnsi="Times New Roman" w:eastAsia="宋体"/>
          <w:b w:val="0"/>
          <w:sz w:val="24"/>
        </w:rPr>
        <w:t xml:space="preserve"> 本项把"可核验"的思路从训练阶段延续到推理阶段，使两阶段使用同一套条件判据。具体包括三部分：在检索环节训练一个条件感知的重排模型，用自行构造的"条件可比/条件冲突"成对样本微调百兆级轻量模型，使其判断依据为条件一致性而非语义相似度，输出条件相符、冲突、未知三种状态，并据此决定证据可作为直接支持还是仅作编辑背景；在生成环节采用"元素集合、整数比例份额、引用与说明"的分步表示，使中间状态可被检查与拒绝；在修正环节强制同步更新解释与证据标记，避免数值合法而解释失配。与标准检索增强、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sz w:val="24"/>
        </w:rPr>
        <w:t>为解决上述问题，本文提出"约束可核验的选择性任务蒸馏"方法，构建面向合金配方辅助生成的本地模型适配框架。</w:t>
      </w:r>
      <w:r>
        <w:rPr>
          <w:rFonts w:ascii="Times New Roman" w:hAnsi="Times New Roman" w:eastAsia="宋体"/>
          <w:b w:val="0"/>
          <w:sz w:val="24"/>
        </w:rPr>
        <w:t xml:space="preserve"> 该方法要解决的问题是：在有限教学预算与受限算力下，使本地小模型稳定掌握带证据依据的候选提出与约束执行能力。具体做法是三步：先把需求、证据与操作组织为可核验的教学任务，经约束扰动后重新核验答案，并区分观测支持型与探索建议型两类示范；再以任务检查器给出的可核验失误类型作为学生薄弱度信号，结合约束组合覆盖度与教学成本，在固定预算内完成样本选择；最后把教学阶段学到的证据类型与约束状态用于本地推理，以条件可比的检索增强配合数值工具完成分步生成与有限修正。三项工作共同支撑一个可在本地运行、输出带来源依据与约束检查结果的辅助原型，并以同预算公平对照说明该方法的实际增量。</w:t>
      </w:r>
    </w:p>
    <w:p>
      <w:pPr>
        <w:ind w:firstLine="480" w:firstLineChars="200"/>
        <w:spacing w:line="312" w:lineRule="auto"/>
      </w:pPr>
      <w:r>
        <w:rPr>
          <w:rFonts w:ascii="Times New Roman" w:hAnsi="Times New Roman" w:eastAsia="宋体"/>
          <w:b/>
          <w:sz w:val="24"/>
        </w:rPr>
        <w:t>上述两项是相互衔接的拟研究改进，并非已证实的两个突破。主要算法贡献集中于第一项，第二项构成其可靠应用条件。</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种归一化成分与 265 个 DOI；其中室温拉伸屈服强度子集为 287 条记录、91 种成分，室温铸态硬度子集为 254 条记录、233 种成分。此处室温按数据值 20 至 30 摄氏度定义，粗工艺标签不等于完全相同的材料状态。这些统计只说明预实验载体存在，不证明足以训练通用性能预测器。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其他公开合金数据源已作初步排查，但均未达到本课题的可用条件，故不纳入当前主线。难熔高熵合金方向存在规模更大的数据库（如 ULTERA，报告约 2,700 种合金、6,500 条性质数据、540 篇文献），但其数据未公开，需经合作申请获取，本课题不具备该条件；其他以性能汇总为主的数据集侧重成分与性能两列，缺少可比的测试条件与来源字段，无法支撑条件可比的选样。MPEA 之所以作为主线，不在于其规模，而在于同时提供成分、状态、测试条件与来源标识四类字段。这是本课题方法的必要输入，而非可替换的选型偏好。其他数据源列为未来扩展方向，其获取与对齐工作不计入本课题的完成前提。</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，但它不是高熵合金实测数据，正式使用前须核对具体版本、字段与缺失值，不作为当前必需前提。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DOI，并非全部资料的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 至 30 摄氏度、粗工艺为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 至 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 至 3 个任务；实际记录数、DOI 数、关联组数与任务数在首次划分后报告，目前不填伪造的实测数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与可比较任务；若不能支撑稳定的留出比较，应扩大获准资料或收紧研究结论，不以增加同记录改写次数代替独立来源。教学池数量与训练 token 分开记录，先在实际可用的小池上完成等预算方法验证；更大规模只有在新增资料审计通过后才扩展。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检索增强、本地常规教师蒸馏、选择性蒸馏及完整方案。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选样实验使用相同教学池、相同底座与相同训练 token 预算，比较随机选择、困难度选择、覆盖选择及成熟的质量—多样性选择；若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消融实验按两项创新点分别设计，每一组只移除一个组件，其余设置保持不变，使改进归因可追溯。</w:t>
      </w:r>
    </w:p>
    <w:p>
      <w:pPr>
        <w:ind w:firstLine="480" w:firstLineChars="200"/>
        <w:spacing w:line="312" w:lineRule="auto"/>
      </w:pPr>
      <w:r>
        <w:rPr>
          <w:rFonts w:ascii="Times New Roman" w:hAnsi="Times New Roman" w:eastAsia="宋体"/>
          <w:b w:val="0"/>
          <w:sz w:val="24"/>
        </w:rPr>
        <w:t>针对创新点一（选样方法），设置四组消融。第一组移除失效信号项，只保留约束覆盖与冗余惩罚，用于检验可核验失误是否比覆盖本身更有信息量。第二组移除覆盖项，只保留失误信号，用于检验约束组合覆盖是否带来额外增益。第三组同时移除信号与覆盖，退化为按成本加权的随机选择，用于检验收益是否来自评分框架而非选样本身。第四组保留完整效用函数但关闭冗余惩罚，用于检验去重是否必要。四组之外另做数据构造侧的消融：分别移除约束扰动与显式证据绑定，与完整构造比较，以区分"选样带来增益"与"数据构造带来增益"这两条可能的解释。</w:t>
      </w:r>
    </w:p>
    <w:p>
      <w:pPr>
        <w:ind w:firstLine="480" w:firstLineChars="200"/>
        <w:spacing w:line="312" w:lineRule="auto"/>
      </w:pPr>
      <w:r>
        <w:rPr>
          <w:rFonts w:ascii="Times New Roman" w:hAnsi="Times New Roman" w:eastAsia="宋体"/>
          <w:b w:val="0"/>
          <w:sz w:val="24"/>
        </w:rPr>
        <w:t>针对创新点二（条件感知重排与约束生成），设置四组消融。第一组用不作条件区分的通用重排器替换微调重排器，检验条件感知是否必要。第二组保留重排器但把三类判定压成二值匹配，检验"未知"这一状态是否贡献信息。第三组关闭分步表示，改为一次性生成后过滤，检验中间状态可检查是否真的减少解释失配。第四组关闭修正后的同步更新，检验解释失配是否会被用户察觉。四组均固定生成模型、上下文预算与数值工具，只改变被检验的组件。</w:t>
      </w:r>
    </w:p>
    <w:p>
      <w:pPr>
        <w:ind w:firstLine="480" w:firstLineChars="200"/>
        <w:spacing w:line="312" w:lineRule="auto"/>
      </w:pPr>
      <w:r>
        <w:rPr>
          <w:rFonts w:ascii="Times New Roman" w:hAnsi="Times New Roman" w:eastAsia="宋体"/>
          <w:b w:val="0"/>
          <w:sz w:val="24"/>
        </w:rPr>
        <w:t>消融结果与主对照分开报告。主对照回答"所提方法是否优于既有方法"，消融回答"增益来自哪个组件"；两者若出现不一致，以消融结果解释主对照中增益的来源，而不是用主对照的总量差异替代组件分析。</w:t>
      </w:r>
    </w:p>
    <w:p>
      <w:pPr>
        <w:ind w:firstLine="480" w:firstLineChars="200"/>
        <w:spacing w:line="312" w:lineRule="auto"/>
      </w:pPr>
      <w:r>
        <w:rPr>
          <w:rFonts w:ascii="Times New Roman" w:hAnsi="Times New Roman" w:eastAsia="宋体"/>
          <w:b w:val="0"/>
          <w:sz w:val="24"/>
        </w:rPr>
        <w:t>为检验语言模型是否只承担无增益外壳，加入"同一需求解析结果加传统约束优化器"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与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技术路线为：资料版本与任务审计、来源分组与数据隔离、教师示范构造及可核验项目过滤、学生诊断与约束覆盖选样、QLoRA 任务蒸馏、条件可比的本地检索、分步候选生成及有限修正、与教师及本地强基线比较。教学与推理共用约束状态与来源类型，最终输出模型适配权重、知识库版本与候选表。整体流程见图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与数值检查的辅助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个月：实现并固定学生失误与约束覆盖选样方案，完成等预算强基线比较，检查数据选择计算成本及随机性；在开发集确定主要评价与"接近"容许差距。</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