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智能体的行为由多步决策构成，而现有可获取的小模型并未针对这类多步交互做过训练；同时，材料文献中"主题相关但条件不符"的证据极易被误用，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小模型驱动的工具调用"为技术形态，构建一个面向高熵合金设计辅助的本地智能体，并通过选择性蒸馏提升该智能体的决策能力。与直接生成配方文本不同，智能体的输出是一串工具调用决策：面对用户要求，它需要判断该查什么证据、该调哪个校验工具、结果不符时如何修正。研究工作先界定智能体的任务边界与工具集，明确可用工具、交互协议与终止条件；再从文献建立补充数据通道，对解析结果施加可核验的约束检测与修正，使含噪的自动提取资料可用于训练；进而构造证据可追溯的教学轨迹，把教师的"推理—调工具—观察结果—修正"完整过程记录为教学单元，并按来源分组划分数据分区；核心环节是以任务检查器给出的可核验失误类型作为薄弱度信号，结合工具调用类型的覆盖程度与轨迹长度成本，在固定预算内完成轨迹选择；推理阶段则研究条件可比的证据选择与工具调用约束，使小模型在有限上下文内做出稳定的调用决策。上述环节共同支撑一个可在本地运行、每步可追溯的高熵合金设计辅助智能体。</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试验类型与单位四类条件字段。条件元组随记录一同进入索引，使检索结果自带可比性信息。首版本体只启用主线数据中确有的字段，缺失字段标注为未知而不默认填充。</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小模型的条件判断能力蒸馏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前述条件判定中有相当一部分无法由规则完成。规则只能处理字段齐全且取值明确的情形，而实际文献中的条件表述充满变体：同一状态可能写作"铸态"或"as-cast"，同一温度可能写作"室温""25 摄氏度"或"298 K"，单位可能需经换算才可比较，多个条件可能部分吻合而整体存疑。这些情形规则无法给出可靠判定，正是小模型需要补位的地方。而小模型本身缺乏这一能力，前述实证数据已经说明其上下文利用存在根本瓶颈</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，必须通过训练获得。</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三个困难制约着这一训练。第一，标签来源问题。类型化决策模型的训练依赖可靠标签，生物医学领域有长期人工维护的索引体系可供依托</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，材料领域没有对等资源，直接照搬缺乏标注基础；已有综述系统整理了此类"不作生成、只作判定"的范式</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其共同前提是存在可靠的选项定义与标签来源。第二，教师示范的构造问题。若只让教师给出最终判断，学生学到的是答案而非判断过程；而条件判断的价值恰在于逐项比对的过程。第三，能力边界的度量问题。若不能分别测出规则与模型各自能覆盖多少，就无法判断模型是否真的带来了增益。</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标签来源不可靠，训练出的模型只是拟合了噪声，无法泛化到新表述；若教师只给答案，学生遇到训练时未见的条件组合便无从下手；若不度量边界，可能出现"规则已能覆盖九成、模型增益微小"的情形却未被察觉，白费训练成本。</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由条件元组的比对规则自动生成训练标签。对给定问题与候选证据，规则按条件字段逐项比对并给出相符、冲突、未知三类判定。规则能明确判定的情形直接生成标签，标签可批量生成、可复现、可审计，从而绕开材料领域缺乏人工标注体系的障碍。同时保留一小份人工核验集，用于检验规则标签本身的可靠性，报告规则与人工判断的一致率。</w:t>
      </w:r>
    </w:p>
    <w:p>
      <w:pPr>
        <w:ind w:firstLine="480" w:firstLineChars="200"/>
        <w:spacing w:line="312" w:lineRule="auto"/>
      </w:pPr>
      <w:r>
        <w:rPr>
          <w:rFonts w:ascii="Times New Roman" w:hAnsi="Times New Roman" w:eastAsia="宋体"/>
          <w:b w:val="0"/>
          <w:sz w:val="24"/>
        </w:rPr>
        <w:t>第二步，以过程示范而非仅结论的方式构造教师数据。教师在示范中逐项说明：问题需要哪些条件、证据中对应字段是什么、两侧是否可比、不确定时依据什么判断。学生学的是这一比对过程，因而在遇到新表述时可以复用判断方法。</w:t>
      </w:r>
    </w:p>
    <w:p>
      <w:pPr>
        <w:ind w:firstLine="480" w:firstLineChars="200"/>
        <w:spacing w:line="312" w:lineRule="auto"/>
      </w:pPr>
      <w:r>
        <w:rPr>
          <w:rFonts w:ascii="Times New Roman" w:hAnsi="Times New Roman" w:eastAsia="宋体"/>
          <w:b w:val="0"/>
          <w:sz w:val="24"/>
        </w:rPr>
        <w:t>第三步，分离度量规则与模型的覆盖边界。分别统计规则可判定的比例、规则在人工核验集上的一致率、以及模型在规则无法判定样本上的准确率。三组数字共同界定二者的分工，并据此决定后续投入方向。</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以规则生成标签绕开了材料领域缺乏标注体系的障碍，使类型化训练在此领域变得可行；过程示范使学生获得可迁移的判断方法而非记忆答案；边界度量则让"模型是否值得引入"成为一个可回答的问题。</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以规则生成标签、以过程示范蒸馏小模型的条件判断方法，并报告规则覆盖率、规则与人工判断一致率、模型在规则盲区上的准确率三项指标，与纯规则判断、纯模型判断（不经过程示范）两种做法对照。</w:t>
      </w:r>
    </w:p>
    <w:p>
      <w:pPr>
        <w:pStyle w:val="Heading3"/>
      </w:pPr>
      <w:r>
        <w:rPr>
          <w:rFonts w:ascii="Times New Roman" w:hAnsi="Times New Roman" w:eastAsia="黑体"/>
          <w:b/>
          <w:sz w:val="28"/>
        </w:rPr>
        <w:t>3.1.3 面向材料文献问答的本地 RAG 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 RAG 知识库与问答原型，把文献解析、条件字段绑定与入库、条件感知检索、条件判定、答案生成与依据标注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工作关注语义覆盖与关系抽取的完整性，其知识组织单位是实体与关系，无法表达"同一成分在不同温度下的两条记录不可互换"这一约束。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拟创新点二：基于过程示范的小模型条件判断蒸馏方法（支撑性工作）。</w:t>
      </w:r>
      <w:r>
        <w:rPr>
          <w:rFonts w:ascii="Times New Roman" w:hAnsi="Times New Roman" w:eastAsia="宋体"/>
          <w:b w:val="0"/>
          <w:sz w:val="24"/>
        </w:rPr>
        <w:t xml:space="preserve"> 条件判定中规则无法处理的部分（表述变体、单位换算、部分条件吻合）需由小模型承担，而材料领域缺乏类型化训练所需的标注体系。本项以条件元组比对规则自动生成训练标签，绕开该障碍；教师示范采用逐项比对的过程而非仅给结论，使学生学到可迁移的判断方法；并分别度量规则覆盖率、规则与人工判断的一致率、模型在规则盲区上的准确率，以界定二者分工。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靠文献补充通道填入。因此本课题的槽位设计须与数据现实对齐：首版本体只启用主线数据中确有的槽位（成分、制备工艺、相结构、测试温度、试验类型），热处理与测量方法作为文献补充通道的目标字段，在补充数据经检测通过后再纳入判定。这一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对；其中测试温度或制备工艺不同者为 7,452 对，构成"条件冲突"候选。这一规模足以支撑规则与模型的分层实验，但需注意两点：其一，配对双方来自同一文献的情形较多，须按来源分组划分以避免泄漏；其二，条件"不同"仅是候选，是否构成真正的条件冲突需由本体规则判定并人工抽检，不能把配对数量直接当作有效样本数。</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作为已结构化的基础库，文献解析结果作为补充库，两者以统一的记录结构与条件元组入库。由于主线数据缺两个槽位且部分字段非空率偏低，本课题建立文献补充数据通道。解析环节采用开源工具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须经槽位抽取与一致性检查后方可入库，不直接计入判定数据。补充库的规模以实际解析与检查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基础对照包括：常规 RAG（不作条件区分）、仅按语义重排的 RAG、按规则硬过滤条件的 RAG、用大模型直接问答（作为性能上界参考）及本课题的完整方案。各组使用同一文献库、同一检索召回数与同一底座，只改变条件处理策略。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答案正确的判定标准为：所述性能数值与所引记录一致、所引记录的条件与问题要求相符、且答案明确标注了该条件。另报逐条依据准确率、条件标注完整率与拒答率（条件不符时如实标注而非强行作答的比例），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分问题类型正确率与错误归因评估。检索与生成共用同一套条件元组与来源类型，最终输出索引快照、蒸馏模型权重与问答日志。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轻量材料本体规范及其比较规则、一种由本体结构自动生成证据适用性标签的方法、一个经轻量适配的适用性判定模型，以及具备本地检索与判定能力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Bootstrapping knowledge acquisition from domain text with a seed ontology and small language models[C]//Springer, 2026.</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