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黑体"/>
          <w:b/>
          <w:color w:val="1B3A52"/>
          <w:sz w:val="40"/>
        </w:rPr>
        <w:t>硕士学位论文开题报告</w:t>
      </w:r>
    </w:p>
    <w:p>
      <w:pPr>
        <w:spacing w:after="80"/>
        <w:ind w:firstLine="420"/>
      </w:pPr>
      <w:r>
        <w:rPr>
          <w:rFonts w:ascii="Times New Roman" w:hAnsi="Times New Roman" w:eastAsia="宋体"/>
          <w:b/>
          <w:color w:val="1A1A1A"/>
          <w:sz w:val="21"/>
        </w:rPr>
        <w:t>查新警示（2026-10-18 更新）</w:t>
      </w:r>
      <w:r>
        <w:rPr>
          <w:rFonts w:ascii="Times New Roman" w:hAnsi="Times New Roman" w:eastAsia="宋体"/>
          <w:b w:val="0"/>
          <w:color w:val="1A1A1A"/>
          <w:sz w:val="21"/>
        </w:rPr>
        <w:t>：本方向的核心方法已被 OxiGen 覆盖。OxiGen（John, Jelfs, Ganose, Giunchiglia，arXiv:2610.08296，2026 年 10 月）同样把每个位点表示为「元素–氧化态对」，把电荷中性写成有限状态自动机（累计电荷 cᵢ = Σzⱼ，初态 0、接受态 0），并用前向–后向动态规划做精确推理，在扩散采样中 by construction 强制电荷中性。这与本报告 §4.2—4.3 的「可达电荷集合 + 可补性判断」在数学上等价，而 OxiGen 已完成实现与实验。</w:t>
      </w:r>
    </w:p>
    <w:p>
      <w:pPr>
        <w:spacing w:after="80"/>
        <w:ind w:firstLine="420"/>
      </w:pPr>
      <w:r>
        <w:rPr>
          <w:rFonts w:ascii="Times New Roman" w:hAnsi="Times New Roman" w:eastAsia="宋体"/>
          <w:b w:val="0"/>
          <w:color w:val="1A1A1A"/>
          <w:sz w:val="21"/>
        </w:rPr>
        <w:t>此外，OxiGen 的 related work 显示这条线已经成熟：Crystal-GFN 在 GFlowNet 中把电荷中性作为硬约束，CrysVCD 用元素–氧化态对序列做化学式 transformer，DINGO 用有限自动机 + 动态规划做约束解码，Dang &amp; Ermon（2026）独立开发了有限自动机上的精确约束采样。</w:t>
      </w:r>
    </w:p>
    <w:p>
      <w:pPr>
        <w:spacing w:after="80"/>
        <w:ind w:firstLine="420"/>
      </w:pPr>
      <w:r>
        <w:rPr>
          <w:rFonts w:ascii="Times New Roman" w:hAnsi="Times New Roman" w:eastAsia="宋体"/>
          <w:b/>
          <w:color w:val="1A1A1A"/>
          <w:sz w:val="21"/>
        </w:rPr>
        <w:t>结论</w:t>
      </w:r>
      <w:r>
        <w:rPr>
          <w:rFonts w:ascii="Times New Roman" w:hAnsi="Times New Roman" w:eastAsia="宋体"/>
          <w:b w:val="0"/>
          <w:color w:val="1A1A1A"/>
          <w:sz w:val="21"/>
        </w:rPr>
        <w:t>：本报告保留作为方法推演与文献积累的记录，但不建议作为开题方向。若仍要在这条线上做，唯一可能的差异化是「自回归 LLM 的化学式约束解码」——但那只是换了模型类型，不足以支撑一篇论文。建议重新选题。</w:t>
      </w:r>
    </w:p>
    <w:p>
      <w:pPr>
        <w:spacing w:before="320" w:after="120"/>
      </w:pPr>
      <w:r>
        <w:rPr>
          <w:rFonts w:ascii="Times New Roman" w:hAnsi="Times New Roman" w:eastAsia="黑体"/>
          <w:b/>
          <w:color w:val="1B3A52"/>
          <w:sz w:val="30"/>
        </w:rPr>
        <w:t>物理约束保证的材料成分生成：可验证解码与采样效率优化</w:t>
      </w:r>
    </w:p>
    <w:p>
      <w:pPr>
        <w:spacing w:after="80"/>
        <w:ind w:firstLine="420"/>
      </w:pPr>
      <w:r>
        <w:rPr>
          <w:rFonts w:ascii="Times New Roman" w:hAnsi="Times New Roman" w:eastAsia="宋体"/>
          <w:b w:val="0"/>
          <w:color w:val="1A1A1A"/>
          <w:sz w:val="21"/>
        </w:rPr>
        <w:t>关键词：材料生成；大语言模型；约束解码；电荷中性；采样效率</w:t>
      </w:r>
    </w:p>
    <w:p>
      <w:pPr>
        <w:jc w:val="center"/>
      </w:pPr>
      <w:r>
        <w:rPr>
          <w:rFonts w:ascii="Times New Roman" w:hAnsi="Times New Roman" w:eastAsia="宋体"/>
          <w:b w:val="0"/>
          <w:color w:val="1A1A1A"/>
          <w:sz w:val="21"/>
        </w:rPr>
        <w:t>学科专业：计算机科学与技术</w:t>
      </w:r>
    </w:p>
    <w:p>
      <w:pPr>
        <w:jc w:val="center"/>
      </w:pPr>
      <w:r>
        <w:rPr>
          <w:rFonts w:ascii="Times New Roman" w:hAnsi="Times New Roman" w:eastAsia="宋体"/>
          <w:b w:val="0"/>
          <w:color w:val="1A1A1A"/>
          <w:sz w:val="21"/>
        </w:rPr>
        <w:t>研究方向：大模型与材料智能设计</w:t>
      </w:r>
    </w:p>
    <w:p>
      <w:pPr>
        <w:jc w:val="center"/>
      </w:pPr>
      <w:r>
        <w:rPr>
          <w:rFonts w:ascii="Times New Roman" w:hAnsi="Times New Roman" w:eastAsia="宋体"/>
          <w:b w:val="0"/>
          <w:color w:val="1A1A1A"/>
          <w:sz w:val="21"/>
        </w:rPr>
        <w:t>报告日期：2026 年 10 月 17 日</w:t>
      </w:r>
    </w:p>
    <w:p>
      <w:pPr>
        <w:jc w:val="center"/>
      </w:pPr>
      <w:r>
        <w:rPr>
          <w:rFonts w:ascii="Times New Roman" w:hAnsi="Times New Roman" w:eastAsia="宋体"/>
          <w:b w:val="0"/>
          <w:color w:val="1A1A1A"/>
          <w:sz w:val="21"/>
        </w:rPr>
        <w:t>工作语言：中文</w:t>
      </w:r>
    </w:p>
    <w:p>
      <w:pPr>
        <w:spacing w:before="320" w:after="120"/>
      </w:pPr>
      <w:r>
        <w:rPr>
          <w:rFonts w:ascii="Times New Roman" w:hAnsi="Times New Roman" w:eastAsia="黑体"/>
          <w:b/>
          <w:color w:val="1B3A52"/>
          <w:sz w:val="30"/>
        </w:rPr>
        <w:t>摘要</w:t>
      </w:r>
    </w:p>
    <w:p>
      <w:pPr>
        <w:spacing w:after="80"/>
        <w:ind w:firstLine="420"/>
      </w:pPr>
      <w:r>
        <w:rPr>
          <w:rFonts w:ascii="Times New Roman" w:hAnsi="Times New Roman" w:eastAsia="宋体"/>
          <w:b w:val="0"/>
          <w:color w:val="1A1A1A"/>
          <w:sz w:val="21"/>
        </w:rPr>
        <w:t>大语言模型已经能够生成化学式形式的材料成分，但生成的候选经常违反基本的物理化学约束：电荷不中性、价态组合不成立、离子半径比超出稳定范围。国内综述已明确指出，材料成分生成需要满足电中性、电负性匹配等隐含规则，不加约束容易产生大量无效结构 [1]。现有做法是在生成之后过滤，被丢弃的样本浪费了采样预算；或者把约束写成软奖励，无法保证最终输出可行。2026 年 5 月的工作用格式与配比约束把生成限制在双钙钛矿（Elpasolite）原型内 [3]，但那保证的是化学式写得对，不是电荷算得平。</w:t>
      </w:r>
    </w:p>
    <w:p>
      <w:pPr>
        <w:spacing w:after="80"/>
        <w:ind w:firstLine="420"/>
      </w:pPr>
      <w:r>
        <w:rPr>
          <w:rFonts w:ascii="Times New Roman" w:hAnsi="Times New Roman" w:eastAsia="宋体"/>
          <w:b w:val="0"/>
          <w:color w:val="1A1A1A"/>
          <w:sz w:val="21"/>
        </w:rPr>
        <w:t>本课题研究生成过程中的硬约束问题。核心观察是：材料约束分为局部约束（元素符号合法、原子数为整数）与全局约束（电荷中性要求所有原子的价态加权和为零）。前者可以用自动机编码，后者不行——它是跨整个序列累加的离散约束。本课题提出用「可达电荷集合」作为解码状态：每一步维护当前前缀所有可能的电荷取值集合，并判断它能否被补全为零。与简单的区间估计不同，集合方法不会把「区间覆盖零」误判为「存在合法价态分配」。</w:t>
      </w:r>
    </w:p>
    <w:p>
      <w:pPr>
        <w:spacing w:after="80"/>
        <w:ind w:firstLine="420"/>
      </w:pPr>
      <w:r>
        <w:rPr>
          <w:rFonts w:ascii="Times New Roman" w:hAnsi="Times New Roman" w:eastAsia="宋体"/>
          <w:b w:val="0"/>
          <w:color w:val="1A1A1A"/>
          <w:sz w:val="21"/>
        </w:rPr>
        <w:t>在此基础上，本课题分析剪枝对采样分布的影响，给出精确剪枝与近似剪枝的适用条件，并在 Elpasolite 与卤化物钙钛矿两类体系上量化约束满足率与采样效率的权衡。</w:t>
      </w:r>
    </w:p>
    <w:p>
      <w:pPr>
        <w:spacing w:after="80"/>
        <w:ind w:firstLine="420"/>
      </w:pPr>
      <w:r>
        <w:rPr>
          <w:rFonts w:ascii="Times New Roman" w:hAnsi="Times New Roman" w:eastAsia="宋体"/>
          <w:b w:val="0"/>
          <w:color w:val="1A1A1A"/>
          <w:sz w:val="21"/>
        </w:rPr>
        <w:t>预期贡献有三点：面向全局约束的解码状态设计；精确剪枝与近似剪枝的分布分析；约束强度对覆盖率影响的定量结果。其中「保证」一词仅用于化学计量原型固定、剩余位点数已知的情形；开放长度生成时方法提供约束引导，不宣称保证。</w:t>
      </w:r>
    </w:p>
    <w:p>
      <w:pPr>
        <w:spacing w:before="320" w:after="120"/>
      </w:pPr>
      <w:r>
        <w:rPr>
          <w:rFonts w:ascii="Times New Roman" w:hAnsi="Times New Roman" w:eastAsia="黑体"/>
          <w:b/>
          <w:color w:val="1B3A52"/>
          <w:sz w:val="30"/>
        </w:rPr>
        <w:t>1 研究背景与意义</w:t>
      </w:r>
    </w:p>
    <w:p>
      <w:pPr>
        <w:spacing w:before="200" w:after="80"/>
      </w:pPr>
      <w:r>
        <w:rPr>
          <w:rFonts w:ascii="Times New Roman" w:hAnsi="Times New Roman" w:eastAsia="黑体"/>
          <w:b/>
          <w:color w:val="1B3A52"/>
          <w:sz w:val="23"/>
        </w:rPr>
        <w:t>1.1 生成式材料设计的有效性瓶颈</w:t>
      </w:r>
    </w:p>
    <w:p>
      <w:pPr>
        <w:spacing w:after="80"/>
        <w:ind w:firstLine="420"/>
      </w:pPr>
      <w:r>
        <w:rPr>
          <w:rFonts w:ascii="Times New Roman" w:hAnsi="Times New Roman" w:eastAsia="宋体"/>
          <w:b w:val="0"/>
          <w:color w:val="1A1A1A"/>
          <w:sz w:val="21"/>
        </w:rPr>
        <w:t>我国材料基因工程已建立高通量计算与实验平台，为数据驱动的材料设计提供了基础 [2]。材料逆向设计的最后一个环节是提出具体候选，而成分生成是这一步最常见的输出形式；本课题聚焦于该环节的物理合法性。生成式材料设计的基本流程是：给定目标性能，由模型提出候选成分或结构，再用计算或实验验证。这个流程的效率取决于一个前提——提出的候选是化学上可能的。</w:t>
      </w:r>
    </w:p>
    <w:p>
      <w:pPr>
        <w:spacing w:after="80"/>
        <w:ind w:firstLine="420"/>
      </w:pPr>
      <w:r>
        <w:rPr>
          <w:rFonts w:ascii="Times New Roman" w:hAnsi="Times New Roman" w:eastAsia="宋体"/>
          <w:b w:val="0"/>
          <w:color w:val="1A1A1A"/>
          <w:sz w:val="21"/>
        </w:rPr>
        <w:t>现实是，不加约束的语言模型会生成大量不可能存在的成分。它们可能化学式格式正确、元素都在周期表内，但电荷不平衡，或者价态组合在热力学上不成立。这类候选在验证阶段很可能失败，等于浪费了一次查询预算。这不是个别现象：国内关于性质导向材料生成的综述在讨论 MatGAN 时明确指出，合理的材料成分需满足电中性、电负性匹配等隐含物理规则，若不加以约束容易生成大量无效结构 [1]。</w:t>
      </w:r>
    </w:p>
    <w:p>
      <w:pPr>
        <w:spacing w:after="80"/>
        <w:ind w:firstLine="420"/>
      </w:pPr>
      <w:r>
        <w:rPr>
          <w:rFonts w:ascii="Times New Roman" w:hAnsi="Times New Roman" w:eastAsia="宋体"/>
          <w:b w:val="0"/>
          <w:color w:val="1A1A1A"/>
          <w:sz w:val="21"/>
        </w:rPr>
        <w:t>这个问题在 2026 年的工作中被部分承认。[3] 用「符合 ABC₂D₆ 化学计量原型」的提示把生成限制在 Elpasolite 空间内，并在每轮检查组成一致性。但这只是格式约束：它保证生成的是 Elpasolite 型化学式，不保证这个化学式的电荷是平衡的。对卤化物钙钛矿这类体系，电荷平衡恰恰是最容易出错的地方——A 位、B 位与 X 位的价态必须精确配平，否则结构不存在。关于大模型在材料设计中应用的系统综述，可参见 [7]。</w:t>
      </w:r>
    </w:p>
    <w:p>
      <w:pPr>
        <w:spacing w:before="200" w:after="80"/>
      </w:pPr>
      <w:r>
        <w:rPr>
          <w:rFonts w:ascii="Times New Roman" w:hAnsi="Times New Roman" w:eastAsia="黑体"/>
          <w:b/>
          <w:color w:val="1B3A52"/>
          <w:sz w:val="23"/>
        </w:rPr>
        <w:t>1.2 两类处理方式的代价</w:t>
      </w:r>
    </w:p>
    <w:p>
      <w:pPr>
        <w:spacing w:after="80"/>
        <w:ind w:firstLine="420"/>
      </w:pPr>
      <w:r>
        <w:rPr>
          <w:rFonts w:ascii="Times New Roman" w:hAnsi="Times New Roman" w:eastAsia="宋体"/>
          <w:b w:val="0"/>
          <w:color w:val="1A1A1A"/>
          <w:sz w:val="21"/>
        </w:rPr>
        <w:t>现有做法可以归为两类，各有明确代价。</w:t>
      </w:r>
    </w:p>
    <w:p>
      <w:pPr>
        <w:spacing w:after="80"/>
        <w:ind w:firstLine="420"/>
      </w:pPr>
      <w:r>
        <w:rPr>
          <w:rFonts w:ascii="Times New Roman" w:hAnsi="Times New Roman" w:eastAsia="宋体"/>
          <w:b/>
          <w:color w:val="1A1A1A"/>
          <w:sz w:val="21"/>
        </w:rPr>
        <w:t>生成后过滤。</w:t>
      </w:r>
      <w:r>
        <w:rPr>
          <w:rFonts w:ascii="Times New Roman" w:hAnsi="Times New Roman" w:eastAsia="宋体"/>
          <w:b w:val="0"/>
          <w:color w:val="1A1A1A"/>
          <w:sz w:val="21"/>
        </w:rPr>
        <w:t xml:space="preserve"> 先生成一批候选，再用规则或计算筛掉不合法的。优点是实现简单，缺点是浪费：如果合法率只有 10%，那么 90% 的采样与查询预算被丢弃。在查询昂贵的场景下，这个浪费是致命的。</w:t>
      </w:r>
    </w:p>
    <w:p>
      <w:pPr>
        <w:spacing w:after="80"/>
        <w:ind w:firstLine="420"/>
      </w:pPr>
      <w:r>
        <w:rPr>
          <w:rFonts w:ascii="Times New Roman" w:hAnsi="Times New Roman" w:eastAsia="宋体"/>
          <w:b/>
          <w:color w:val="1A1A1A"/>
          <w:sz w:val="21"/>
        </w:rPr>
        <w:t>软约束奖励。</w:t>
      </w:r>
      <w:r>
        <w:rPr>
          <w:rFonts w:ascii="Times New Roman" w:hAnsi="Times New Roman" w:eastAsia="宋体"/>
          <w:b w:val="0"/>
          <w:color w:val="1A1A1A"/>
          <w:sz w:val="21"/>
        </w:rPr>
        <w:t xml:space="preserve"> 把「违反约束」作为负奖励加入训练目标（例如在强化学习或偏好学习中惩罚不合法样本）。优点是模型会逐渐学会避开，缺点是没有保证：即使训练充分，模型仍可能以一定概率输出不合法样本，而且奖励权重需要调参。</w:t>
      </w:r>
    </w:p>
    <w:p>
      <w:pPr>
        <w:spacing w:after="80"/>
        <w:ind w:firstLine="420"/>
      </w:pPr>
      <w:r>
        <w:rPr>
          <w:rFonts w:ascii="Times New Roman" w:hAnsi="Times New Roman" w:eastAsia="宋体"/>
          <w:b w:val="0"/>
          <w:color w:val="1A1A1A"/>
          <w:sz w:val="21"/>
        </w:rPr>
        <w:t>两类方法都回避了同一个问题：</w:t>
      </w:r>
      <w:r>
        <w:rPr>
          <w:rFonts w:ascii="Times New Roman" w:hAnsi="Times New Roman" w:eastAsia="宋体"/>
          <w:b/>
          <w:color w:val="1A1A1A"/>
          <w:sz w:val="21"/>
        </w:rPr>
        <w:t>能不能在解码的每一步就保证输出合法？</w:t>
      </w:r>
    </w:p>
    <w:p>
      <w:pPr>
        <w:spacing w:before="200" w:after="80"/>
      </w:pPr>
      <w:r>
        <w:rPr>
          <w:rFonts w:ascii="Times New Roman" w:hAnsi="Times New Roman" w:eastAsia="黑体"/>
          <w:b/>
          <w:color w:val="1B3A52"/>
          <w:sz w:val="23"/>
        </w:rPr>
        <w:t>1.3 为什么材料约束比自然语言处理中的约束更难</w:t>
      </w:r>
    </w:p>
    <w:p>
      <w:pPr>
        <w:spacing w:after="80"/>
        <w:ind w:firstLine="420"/>
      </w:pPr>
      <w:r>
        <w:rPr>
          <w:rFonts w:ascii="Times New Roman" w:hAnsi="Times New Roman" w:eastAsia="宋体"/>
          <w:b w:val="0"/>
          <w:color w:val="1A1A1A"/>
          <w:sz w:val="21"/>
        </w:rPr>
        <w:t>在自然语言处理中，约束解码已经相当成熟：给定一个上下文无关文法或 JSON schema，可以在每一步屏蔽掉会导致语法错误的 token，从而保证输出符合文法 [9, 10]。这类方法已经进入工程实践，被用于结构化输出与程序生成。</w:t>
      </w:r>
    </w:p>
    <w:p>
      <w:pPr>
        <w:spacing w:after="80"/>
        <w:ind w:firstLine="420"/>
      </w:pPr>
      <w:r>
        <w:rPr>
          <w:rFonts w:ascii="Times New Roman" w:hAnsi="Times New Roman" w:eastAsia="宋体"/>
          <w:b w:val="0"/>
          <w:color w:val="1A1A1A"/>
          <w:sz w:val="21"/>
        </w:rPr>
        <w:t>材料约束的困难在于它不是局部语法。电荷中性要求「所有原子的价态乘以原子数之和为零」，这是一个跨整个序列累加的离散约束。在序列生成过程中，任何一个中间状态都可能是「暂时不平衡但后面能补回来」的，也可能是「已经不可能平衡」的。要正确剪枝，解码器必须知道「剩余多少电荷需要补」，而这个状态不在文法里，只能显式维护。</w:t>
      </w:r>
    </w:p>
    <w:p>
      <w:pPr>
        <w:spacing w:after="80"/>
        <w:ind w:firstLine="420"/>
      </w:pPr>
      <w:r>
        <w:rPr>
          <w:rFonts w:ascii="Times New Roman" w:hAnsi="Times New Roman" w:eastAsia="宋体"/>
          <w:b w:val="0"/>
          <w:color w:val="1A1A1A"/>
          <w:sz w:val="21"/>
        </w:rPr>
        <w:t>更麻烦的是，这个约束是离散的而不是连续的。一个看起来合理的做法是维护「可能达到的电荷区间」，只要区间包含零就认为还有希望。但区间只是必要条件：价态取值是离散的，区间覆盖零并不代表存在一组价态组合恰好等于零。本课题因此在方法上改用「可达电荷集合」，这是本报告相对早期方案的关键修正。</w:t>
      </w:r>
    </w:p>
    <w:p>
      <w:pPr>
        <w:spacing w:before="200" w:after="80"/>
      </w:pPr>
      <w:r>
        <w:rPr>
          <w:rFonts w:ascii="Times New Roman" w:hAnsi="Times New Roman" w:eastAsia="黑体"/>
          <w:b/>
          <w:color w:val="1B3A52"/>
          <w:sz w:val="23"/>
        </w:rPr>
        <w:t>1.4 研究意义</w:t>
      </w:r>
    </w:p>
    <w:p>
      <w:pPr>
        <w:spacing w:after="80"/>
        <w:ind w:firstLine="420"/>
      </w:pPr>
      <w:r>
        <w:rPr>
          <w:rFonts w:ascii="Times New Roman" w:hAnsi="Times New Roman" w:eastAsia="宋体"/>
          <w:b/>
          <w:color w:val="1A1A1A"/>
          <w:sz w:val="21"/>
        </w:rPr>
        <w:t>理论意义。</w:t>
      </w:r>
      <w:r>
        <w:rPr>
          <w:rFonts w:ascii="Times New Roman" w:hAnsi="Times New Roman" w:eastAsia="宋体"/>
          <w:b w:val="0"/>
          <w:color w:val="1A1A1A"/>
          <w:sz w:val="21"/>
        </w:rPr>
        <w:t xml:space="preserve"> 约束解码的核心问题是：在保证合法性的同时，采样分布是否仍然是「目标分布在合法子集上的条件分布」？如果剪枝过于激进，答案是否定的。本课题要区分精确剪枝与近似剪枝，并说明各自适用的条件。</w:t>
      </w:r>
    </w:p>
    <w:p>
      <w:pPr>
        <w:spacing w:after="80"/>
        <w:ind w:firstLine="420"/>
      </w:pPr>
      <w:r>
        <w:rPr>
          <w:rFonts w:ascii="Times New Roman" w:hAnsi="Times New Roman" w:eastAsia="宋体"/>
          <w:b/>
          <w:color w:val="1A1A1A"/>
          <w:sz w:val="21"/>
        </w:rPr>
        <w:t>应用意义。</w:t>
      </w:r>
      <w:r>
        <w:rPr>
          <w:rFonts w:ascii="Times New Roman" w:hAnsi="Times New Roman" w:eastAsia="宋体"/>
          <w:b w:val="0"/>
          <w:color w:val="1A1A1A"/>
          <w:sz w:val="21"/>
        </w:rPr>
        <w:t xml:space="preserve"> 如果约束解码能做到「生成即合法」，生成模型的有效采样率会显著提升，同样的查询预算能覆盖更多目标区域。这对后续的筛选、排序、验证环节都有直接收益。</w:t>
      </w:r>
    </w:p>
    <w:p>
      <w:pPr>
        <w:spacing w:before="320" w:after="120"/>
      </w:pPr>
      <w:r>
        <w:rPr>
          <w:rFonts w:ascii="Times New Roman" w:hAnsi="Times New Roman" w:eastAsia="黑体"/>
          <w:b/>
          <w:color w:val="1B3A52"/>
          <w:sz w:val="30"/>
        </w:rPr>
        <w:t>2 国内外研究现状</w:t>
      </w:r>
    </w:p>
    <w:p>
      <w:pPr>
        <w:spacing w:before="200" w:after="80"/>
      </w:pPr>
      <w:r>
        <w:rPr>
          <w:rFonts w:ascii="Times New Roman" w:hAnsi="Times New Roman" w:eastAsia="黑体"/>
          <w:b/>
          <w:color w:val="1B3A52"/>
          <w:sz w:val="23"/>
        </w:rPr>
        <w:t>2.1 国内研究现状</w:t>
      </w:r>
    </w:p>
    <w:p>
      <w:pPr>
        <w:spacing w:after="80"/>
        <w:ind w:firstLine="420"/>
      </w:pPr>
      <w:r>
        <w:rPr>
          <w:rFonts w:ascii="Times New Roman" w:hAnsi="Times New Roman" w:eastAsia="宋体"/>
          <w:b w:val="0"/>
          <w:color w:val="1A1A1A"/>
          <w:sz w:val="21"/>
        </w:rPr>
        <w:t>国内在材料基因工程框架下已建立高通量计算、高通量实验与材料大数据三大平台，并以「研发周期与成本双减半」为目标 [2]。基于机器学习的按需设计在高强高导铜合金、高温合金、高熵合金等体系上有具体成果，例如通过「性能—成分」反向模型开发出强度 800 MPa 级、导电率 50% IACS 的引线框架铜合金 [2]。</w:t>
      </w:r>
    </w:p>
    <w:p>
      <w:pPr>
        <w:spacing w:after="80"/>
        <w:ind w:firstLine="420"/>
      </w:pPr>
      <w:r>
        <w:rPr>
          <w:rFonts w:ascii="Times New Roman" w:hAnsi="Times New Roman" w:eastAsia="宋体"/>
          <w:b w:val="0"/>
          <w:color w:val="1A1A1A"/>
          <w:sz w:val="21"/>
        </w:rPr>
        <w:t>在生成模型方向，刘章赫、王金兰等 2025 年系统综述了目标性质导向的材料生成，覆盖 CDVAE、MatGAN、MatterGen 三类基础模型以及 Con-CDVAE、SCIGEN、适配器微调、隐空间优化四类性质引导机制，并指出约束（电中性、电负性匹配）是生成合法性的关键前提 [1]。该综述为本课题提供了两点直接支撑：一是「约束缺失会产生大量无效结构」这一问题的真实性；二是现有性质引导机制主要作用于「目标性质」，对「物理合法性」的处理仍以事后检查为主。</w:t>
      </w:r>
    </w:p>
    <w:p>
      <w:pPr>
        <w:spacing w:after="80"/>
        <w:ind w:firstLine="420"/>
      </w:pPr>
      <w:r>
        <w:rPr>
          <w:rFonts w:ascii="Times New Roman" w:hAnsi="Times New Roman" w:eastAsia="宋体"/>
          <w:b w:val="0"/>
          <w:color w:val="1A1A1A"/>
          <w:sz w:val="21"/>
        </w:rPr>
        <w:t>总体来看，国内在大模型生成材料这一交叉方向上以综述与框架性工作为主，针对「全局约束如何在解码时保证」的专门研究尚不多见。这既是机会，也意味着缺少可对标的国内前作。</w:t>
      </w:r>
    </w:p>
    <w:p>
      <w:pPr>
        <w:spacing w:before="200" w:after="80"/>
      </w:pPr>
      <w:r>
        <w:rPr>
          <w:rFonts w:ascii="Times New Roman" w:hAnsi="Times New Roman" w:eastAsia="黑体"/>
          <w:b/>
          <w:color w:val="1B3A52"/>
          <w:sz w:val="23"/>
        </w:rPr>
        <w:t>2.2 大模型生成材料</w:t>
      </w:r>
    </w:p>
    <w:p>
      <w:pPr>
        <w:spacing w:after="80"/>
        <w:ind w:firstLine="420"/>
      </w:pPr>
      <w:r>
        <w:rPr>
          <w:rFonts w:ascii="Times New Roman" w:hAnsi="Times New Roman" w:eastAsia="宋体"/>
          <w:b w:val="0"/>
          <w:color w:val="1A1A1A"/>
          <w:sz w:val="21"/>
        </w:rPr>
        <w:t>语言模型生成材料的主流做法是把结构或成分编码为文本再微调或提示。Gruver 等人用文本表示无机晶体并微调语言模型生成稳定结构，在 ICLR 2024 发表 [4]。MatterGen 用条件扩散生成三维结构，发表于 Nature 2025 [5]。2026 年的工作进一步表明，通用大模型不微调、只用迭代提示与反馈，也能在双钙钛矿空间达到约 96% 的目标区覆盖 [3]。</w:t>
      </w:r>
    </w:p>
    <w:p>
      <w:pPr>
        <w:spacing w:after="80"/>
        <w:ind w:firstLine="420"/>
      </w:pPr>
      <w:r>
        <w:rPr>
          <w:rFonts w:ascii="Times New Roman" w:hAnsi="Times New Roman" w:eastAsia="宋体"/>
          <w:b w:val="0"/>
          <w:color w:val="1A1A1A"/>
          <w:sz w:val="21"/>
        </w:rPr>
        <w:t>这些工作的共同点是：约束以「提示」或「后处理」的形式出现，而不是解码时保证。此外，可验证奖励训练被用于材料的成分推理 [8]，通用大模型用于化学性质预测也有系统研究 [7]。</w:t>
      </w:r>
    </w:p>
    <w:p>
      <w:pPr>
        <w:spacing w:before="200" w:after="80"/>
      </w:pPr>
      <w:r>
        <w:rPr>
          <w:rFonts w:ascii="Times New Roman" w:hAnsi="Times New Roman" w:eastAsia="黑体"/>
          <w:b/>
          <w:color w:val="1B3A52"/>
          <w:sz w:val="23"/>
        </w:rPr>
        <w:t>2.3 约束解码</w:t>
      </w:r>
    </w:p>
    <w:p>
      <w:pPr>
        <w:spacing w:after="80"/>
        <w:ind w:firstLine="420"/>
      </w:pPr>
      <w:r>
        <w:rPr>
          <w:rFonts w:ascii="Times New Roman" w:hAnsi="Times New Roman" w:eastAsia="宋体"/>
          <w:b w:val="0"/>
          <w:color w:val="1A1A1A"/>
          <w:sz w:val="21"/>
        </w:rPr>
        <w:t>约束解码在自然语言处理中已有系统研究。核心思想是在每一步对词表做掩码，只保留不会破坏约束的 token。实现上可以用有限状态自动机、上下文无关文法或正则表达式 [9, 10]。这类方法已经进入工程实践，被用于保证 JSON 输出、SQL 语法与代码结构。</w:t>
      </w:r>
    </w:p>
    <w:p>
      <w:pPr>
        <w:spacing w:after="80"/>
        <w:ind w:firstLine="420"/>
      </w:pPr>
      <w:r>
        <w:rPr>
          <w:rFonts w:ascii="Times New Roman" w:hAnsi="Times New Roman" w:eastAsia="宋体"/>
          <w:b w:val="0"/>
          <w:color w:val="1A1A1A"/>
          <w:sz w:val="21"/>
        </w:rPr>
        <w:t>但现有实现处理的是局部约束：一个 token 是否合法，只取决于当前状态，不取决于全局累加量。少数支持全局约束的实现依赖预编译的自动机或有限状态转移，难以直接表达「加权和为零」这类跨序列的线性约束。据本轮检索，这一点在材料化学式生成上还没有被系统处理。</w:t>
      </w:r>
    </w:p>
    <w:p>
      <w:pPr>
        <w:spacing w:after="80"/>
        <w:ind w:firstLine="420"/>
      </w:pPr>
      <w:r>
        <w:rPr>
          <w:rFonts w:ascii="Times New Roman" w:hAnsi="Times New Roman" w:eastAsia="宋体"/>
          <w:b w:val="0"/>
          <w:color w:val="1A1A1A"/>
          <w:sz w:val="21"/>
        </w:rPr>
        <w:t>在材料侧，已有工作尝试用严格约束的生成框架提升晶体生成的有效性 [12]；大模型增强贝叶斯优化与晶体生成的上下文学习也分别有专门研究 [11, 10]。</w:t>
      </w:r>
    </w:p>
    <w:p>
      <w:pPr>
        <w:spacing w:before="200" w:after="80"/>
      </w:pPr>
      <w:r>
        <w:rPr>
          <w:rFonts w:ascii="Times New Roman" w:hAnsi="Times New Roman" w:eastAsia="黑体"/>
          <w:b/>
          <w:color w:val="1B3A52"/>
          <w:sz w:val="23"/>
        </w:rPr>
        <w:t>2.4 材料领域的约束建模</w:t>
      </w:r>
    </w:p>
    <w:p>
      <w:pPr>
        <w:spacing w:after="80"/>
        <w:ind w:firstLine="420"/>
      </w:pPr>
      <w:r>
        <w:rPr>
          <w:rFonts w:ascii="Times New Roman" w:hAnsi="Times New Roman" w:eastAsia="宋体"/>
          <w:b w:val="0"/>
          <w:color w:val="1A1A1A"/>
          <w:sz w:val="21"/>
        </w:rPr>
        <w:t>后训练方法（偏好优化与可验证奖励强化学习）也被引入材料任务 [13, 14, 8]。另一条相关线索是风险控制，保形策略控制给出了有限样本下的风险保证 [15]，但它针对的是策略部署风险，不涉及成分生成的有效性。</w:t>
      </w:r>
    </w:p>
    <w:p>
      <w:pPr>
        <w:spacing w:after="80"/>
        <w:ind w:firstLine="420"/>
      </w:pPr>
      <w:r>
        <w:rPr>
          <w:rFonts w:ascii="Times New Roman" w:hAnsi="Times New Roman" w:eastAsia="宋体"/>
          <w:b w:val="0"/>
          <w:color w:val="1A1A1A"/>
          <w:sz w:val="21"/>
        </w:rPr>
        <w:t>材料科学对「什么样的成分是可能的」有成熟的知识体系：电荷中性、Goldschmidt 容忍因子（描述钙钛矿结构中 A、B、X 三种离子半径能否匹配的经验判据）、Hume-Rothery 规则（描述固溶体形成条件的经验规则）、配位数与离子半径匹配。这些规则在筛选与后处理中被广泛使用。</w:t>
      </w:r>
    </w:p>
    <w:p>
      <w:pPr>
        <w:spacing w:after="80"/>
        <w:ind w:firstLine="420"/>
      </w:pPr>
      <w:r>
        <w:rPr>
          <w:rFonts w:ascii="Times New Roman" w:hAnsi="Times New Roman" w:eastAsia="宋体"/>
          <w:b w:val="0"/>
          <w:color w:val="1A1A1A"/>
          <w:sz w:val="21"/>
        </w:rPr>
        <w:t>问题在于，这些规则大多以「检查器」的形式存在，而不是「生成器」的形式。检查器可以判断一个候选是否合法，但不能指导生成过程。把检查器转成生成约束，需要额外的算法工作。</w:t>
      </w:r>
    </w:p>
    <w:p>
      <w:pPr>
        <w:spacing w:before="200" w:after="80"/>
      </w:pPr>
      <w:r>
        <w:rPr>
          <w:rFonts w:ascii="Times New Roman" w:hAnsi="Times New Roman" w:eastAsia="黑体"/>
          <w:b/>
          <w:color w:val="1B3A52"/>
          <w:sz w:val="23"/>
        </w:rPr>
        <w:t>2.5 现有研究的空白</w:t>
      </w:r>
    </w:p>
    <w:p>
      <w:pPr>
        <w:spacing w:after="80"/>
        <w:ind w:firstLine="420"/>
      </w:pPr>
      <w:r>
        <w:rPr>
          <w:rFonts w:ascii="Times New Roman" w:hAnsi="Times New Roman" w:eastAsia="宋体"/>
          <w:b/>
          <w:color w:val="1A1A1A"/>
          <w:sz w:val="21"/>
        </w:rPr>
        <w:t>空白一：全局约束的解码没有被系统处理。</w:t>
      </w:r>
      <w:r>
        <w:rPr>
          <w:rFonts w:ascii="Times New Roman" w:hAnsi="Times New Roman" w:eastAsia="宋体"/>
          <w:b w:val="0"/>
          <w:color w:val="1A1A1A"/>
          <w:sz w:val="21"/>
        </w:rPr>
        <w:t xml:space="preserve"> 现有约束解码工具面向局部语法；电荷中性这类跨序列的离散约束没有现成方案。需要限定的是，自然语言处理中的加权自动机与半环方法在原理上可以表达线性约束，本课题的空白指的是「在材料化学式生成这一具体任务上，没有可用的实现与评测」。</w:t>
      </w:r>
    </w:p>
    <w:p>
      <w:pPr>
        <w:spacing w:after="80"/>
        <w:ind w:firstLine="420"/>
      </w:pPr>
      <w:r>
        <w:rPr>
          <w:rFonts w:ascii="Times New Roman" w:hAnsi="Times New Roman" w:eastAsia="宋体"/>
          <w:b/>
          <w:color w:val="1A1A1A"/>
          <w:sz w:val="21"/>
        </w:rPr>
        <w:t>空白二：精确剪枝与近似剪枝的分布后果没有区分。</w:t>
      </w:r>
      <w:r>
        <w:rPr>
          <w:rFonts w:ascii="Times New Roman" w:hAnsi="Times New Roman" w:eastAsia="宋体"/>
          <w:b w:val="0"/>
          <w:color w:val="1A1A1A"/>
          <w:sz w:val="21"/>
        </w:rPr>
        <w:t xml:space="preserve"> 剪枝完备时采样分布仍是条件分布，剪枝不完备时需要拒绝采样，过度剪枝则引入偏置。这三种情形的边界在材料语境下没有被讨论。</w:t>
      </w:r>
    </w:p>
    <w:p>
      <w:pPr>
        <w:spacing w:after="80"/>
        <w:ind w:firstLine="420"/>
      </w:pPr>
      <w:r>
        <w:rPr>
          <w:rFonts w:ascii="Times New Roman" w:hAnsi="Times New Roman" w:eastAsia="宋体"/>
          <w:b/>
          <w:color w:val="1A1A1A"/>
          <w:sz w:val="21"/>
        </w:rPr>
        <w:t>空白三：约束的收益与代价没有被量化。</w:t>
      </w:r>
      <w:r>
        <w:rPr>
          <w:rFonts w:ascii="Times New Roman" w:hAnsi="Times New Roman" w:eastAsia="宋体"/>
          <w:b w:val="0"/>
          <w:color w:val="1A1A1A"/>
          <w:sz w:val="21"/>
        </w:rPr>
        <w:t xml:space="preserve"> 约束越强，合法率越高，但可行域越小、探索空间越窄。这个权衡在文献中没有定量结果。</w:t>
      </w:r>
    </w:p>
    <w:p>
      <w:pPr>
        <w:spacing w:before="320" w:after="120"/>
      </w:pPr>
      <w:r>
        <w:rPr>
          <w:rFonts w:ascii="Times New Roman" w:hAnsi="Times New Roman" w:eastAsia="黑体"/>
          <w:b/>
          <w:color w:val="1B3A52"/>
          <w:sz w:val="30"/>
        </w:rPr>
        <w:t>3 研究内容与目标</w:t>
      </w:r>
    </w:p>
    <w:p>
      <w:pPr>
        <w:spacing w:before="200" w:after="80"/>
      </w:pPr>
      <w:r>
        <w:rPr>
          <w:rFonts w:ascii="Times New Roman" w:hAnsi="Times New Roman" w:eastAsia="黑体"/>
          <w:b/>
          <w:color w:val="1B3A52"/>
          <w:sz w:val="23"/>
        </w:rPr>
        <w:t>3.1 研究目标</w:t>
      </w:r>
    </w:p>
    <w:p>
      <w:pPr>
        <w:spacing w:after="80"/>
        <w:ind w:firstLine="420"/>
      </w:pPr>
      <w:r>
        <w:rPr>
          <w:rFonts w:ascii="Times New Roman" w:hAnsi="Times New Roman" w:eastAsia="宋体"/>
          <w:b w:val="0"/>
          <w:color w:val="1A1A1A"/>
          <w:sz w:val="21"/>
        </w:rPr>
        <w:t>设计一种解码算法，使语言模型在生成材料成分时逐步满足给定的物理约束：在化学计量原型固定、剩余位点数已知时，输出保证合法；在开放长度生成时，输出尽可能合法并给出可测量的合法率。同时量化约束强度对覆盖率与采样效率的影响。</w:t>
      </w:r>
    </w:p>
    <w:p>
      <w:pPr>
        <w:spacing w:before="200" w:after="80"/>
      </w:pPr>
      <w:r>
        <w:rPr>
          <w:rFonts w:ascii="Times New Roman" w:hAnsi="Times New Roman" w:eastAsia="黑体"/>
          <w:b/>
          <w:color w:val="1B3A52"/>
          <w:sz w:val="23"/>
        </w:rPr>
        <w:t>3.2 研究内容</w:t>
      </w:r>
    </w:p>
    <w:p>
      <w:pPr>
        <w:spacing w:after="80"/>
        <w:ind w:firstLine="420"/>
      </w:pPr>
      <w:r>
        <w:rPr>
          <w:rFonts w:ascii="Times New Roman" w:hAnsi="Times New Roman" w:eastAsia="宋体"/>
          <w:b/>
          <w:color w:val="1A1A1A"/>
          <w:sz w:val="21"/>
        </w:rPr>
        <w:t>内容一：材料约束的形式化与可判定编码。</w:t>
      </w:r>
      <w:r>
        <w:rPr>
          <w:rFonts w:ascii="Times New Roman" w:hAnsi="Times New Roman" w:eastAsia="宋体"/>
          <w:b w:val="0"/>
          <w:color w:val="1A1A1A"/>
          <w:sz w:val="21"/>
        </w:rPr>
        <w:t xml:space="preserve"> 把电荷中性、价态合法性、配比整数性、离子半径比等约束区分为局部约束与全局约束，分别给出可判定的编码方式。</w:t>
      </w:r>
    </w:p>
    <w:p>
      <w:pPr>
        <w:spacing w:after="80"/>
        <w:ind w:firstLine="420"/>
      </w:pPr>
      <w:r>
        <w:rPr>
          <w:rFonts w:ascii="Times New Roman" w:hAnsi="Times New Roman" w:eastAsia="宋体"/>
          <w:b/>
          <w:color w:val="1A1A1A"/>
          <w:sz w:val="21"/>
        </w:rPr>
        <w:t>内容二：全局约束下的解码算法。</w:t>
      </w:r>
      <w:r>
        <w:rPr>
          <w:rFonts w:ascii="Times New Roman" w:hAnsi="Times New Roman" w:eastAsia="宋体"/>
          <w:b w:val="0"/>
          <w:color w:val="1A1A1A"/>
          <w:sz w:val="21"/>
        </w:rPr>
        <w:t xml:space="preserve"> 用「可达电荷集合」作为解码状态，设计集合的递归维护与可补性判断，区分固定长度与开放长度两种情形。</w:t>
      </w:r>
    </w:p>
    <w:p>
      <w:pPr>
        <w:spacing w:after="80"/>
        <w:ind w:firstLine="420"/>
      </w:pPr>
      <w:r>
        <w:rPr>
          <w:rFonts w:ascii="Times New Roman" w:hAnsi="Times New Roman" w:eastAsia="宋体"/>
          <w:b/>
          <w:color w:val="1A1A1A"/>
          <w:sz w:val="21"/>
        </w:rPr>
        <w:t>内容三：剪枝的分布分析与修正。</w:t>
      </w:r>
      <w:r>
        <w:rPr>
          <w:rFonts w:ascii="Times New Roman" w:hAnsi="Times New Roman" w:eastAsia="宋体"/>
          <w:b w:val="0"/>
          <w:color w:val="1A1A1A"/>
          <w:sz w:val="21"/>
        </w:rPr>
        <w:t xml:space="preserve"> 分析精确剪枝、不完备剪枝与过度剪枝三种情形下解码分布与条件分布的关系，给出适用条件与修正方案。</w:t>
      </w:r>
    </w:p>
    <w:p>
      <w:pPr>
        <w:spacing w:after="80"/>
        <w:ind w:firstLine="420"/>
      </w:pPr>
      <w:r>
        <w:rPr>
          <w:rFonts w:ascii="Times New Roman" w:hAnsi="Times New Roman" w:eastAsia="宋体"/>
          <w:b/>
          <w:color w:val="1A1A1A"/>
          <w:sz w:val="21"/>
        </w:rPr>
        <w:t>内容四：采样效率优化与双体系验证。</w:t>
      </w:r>
      <w:r>
        <w:rPr>
          <w:rFonts w:ascii="Times New Roman" w:hAnsi="Times New Roman" w:eastAsia="宋体"/>
          <w:b w:val="0"/>
          <w:color w:val="1A1A1A"/>
          <w:sz w:val="21"/>
        </w:rPr>
        <w:t xml:space="preserve"> 研究集合运算的预计算与缓存，降低解码开销；在 Elpasolite 与卤化物钙钛矿两类体系上评测合法率、覆盖率与效率。</w:t>
      </w:r>
    </w:p>
    <w:p>
      <w:pPr>
        <w:spacing w:before="200" w:after="80"/>
      </w:pPr>
      <w:r>
        <w:rPr>
          <w:rFonts w:ascii="Times New Roman" w:hAnsi="Times New Roman" w:eastAsia="黑体"/>
          <w:b/>
          <w:color w:val="1B3A52"/>
          <w:sz w:val="23"/>
        </w:rPr>
        <w:t>3.3 拟解决的关键问题</w:t>
      </w:r>
    </w:p>
    <w:p>
      <w:pPr>
        <w:spacing w:after="80"/>
        <w:ind w:firstLine="420"/>
      </w:pPr>
      <w:r>
        <w:rPr>
          <w:rFonts w:ascii="Times New Roman" w:hAnsi="Times New Roman" w:eastAsia="宋体"/>
          <w:b/>
          <w:color w:val="1A1A1A"/>
          <w:sz w:val="21"/>
        </w:rPr>
        <w:t>关键问题一：价态不是元素的内禀属性。</w:t>
      </w:r>
      <w:r>
        <w:rPr>
          <w:rFonts w:ascii="Times New Roman" w:hAnsi="Times New Roman" w:eastAsia="宋体"/>
          <w:b w:val="0"/>
          <w:color w:val="1A1A1A"/>
          <w:sz w:val="21"/>
        </w:rPr>
        <w:t xml:space="preserve"> 同一个元素在不同化合物中可以有不同价态（例如铁可以是 +2 或 +3）。本课题采用「价态集合 + 单一价态假设」处理：对给定元素集合，枚举可行的价态分配，检查是否存在一种分配使电荷平衡。单一价态假设是指同一元素在化学式中取同一个价态，这在多数无机化合物中成立，但对混合价化合物（如 Fe₃O₄）会失效。失效情形会在论文的局限性一节明确列出，不作为本方法适用范围的宣称。</w:t>
      </w:r>
    </w:p>
    <w:p>
      <w:pPr>
        <w:spacing w:after="80"/>
        <w:ind w:firstLine="420"/>
      </w:pPr>
      <w:r>
        <w:rPr>
          <w:rFonts w:ascii="Times New Roman" w:hAnsi="Times New Roman" w:eastAsia="宋体"/>
          <w:b/>
          <w:color w:val="1A1A1A"/>
          <w:sz w:val="21"/>
        </w:rPr>
        <w:t>关键问题二：可补性判断的复杂度。</w:t>
      </w:r>
      <w:r>
        <w:rPr>
          <w:rFonts w:ascii="Times New Roman" w:hAnsi="Times New Roman" w:eastAsia="宋体"/>
          <w:b w:val="0"/>
          <w:color w:val="1A1A1A"/>
          <w:sz w:val="21"/>
        </w:rPr>
        <w:t xml:space="preserve"> 每一步都要判断「当前前缀是否还能补成合法成分」。若剩余位点数已知，可以用预计算的可达集合做常数时间判断；若长度开放，只能做必要条件剪枝，并在终止时校验。两种情形的算法与保证强度不同，需要分别设计。</w:t>
      </w:r>
    </w:p>
    <w:p>
      <w:pPr>
        <w:spacing w:after="80"/>
        <w:ind w:firstLine="420"/>
      </w:pPr>
      <w:r>
        <w:rPr>
          <w:rFonts w:ascii="Times New Roman" w:hAnsi="Times New Roman" w:eastAsia="宋体"/>
          <w:b/>
          <w:color w:val="1A1A1A"/>
          <w:sz w:val="21"/>
        </w:rPr>
        <w:t>关键问题三：约束与多样性的冲突。</w:t>
      </w:r>
      <w:r>
        <w:rPr>
          <w:rFonts w:ascii="Times New Roman" w:hAnsi="Times New Roman" w:eastAsia="宋体"/>
          <w:b w:val="0"/>
          <w:color w:val="1A1A1A"/>
          <w:sz w:val="21"/>
        </w:rPr>
        <w:t xml:space="preserve"> 约束越强，可行域越小，模型的选择越少，可能退化为只生成少数几种安全成分。需要实验验证是否出现这种退化，并报告多样性指标。</w:t>
      </w:r>
    </w:p>
    <w:p>
      <w:pPr>
        <w:spacing w:before="320" w:after="120"/>
      </w:pPr>
      <w:r>
        <w:rPr>
          <w:rFonts w:ascii="Times New Roman" w:hAnsi="Times New Roman" w:eastAsia="黑体"/>
          <w:b/>
          <w:color w:val="1B3A52"/>
          <w:sz w:val="30"/>
        </w:rPr>
        <w:t>4 研究方法与技术路线</w:t>
      </w:r>
    </w:p>
    <w:p>
      <w:pPr>
        <w:spacing w:before="200" w:after="80"/>
      </w:pPr>
      <w:r>
        <w:rPr>
          <w:rFonts w:ascii="Times New Roman" w:hAnsi="Times New Roman" w:eastAsia="黑体"/>
          <w:b/>
          <w:color w:val="1B3A52"/>
          <w:sz w:val="23"/>
        </w:rPr>
        <w:t>4.1 问题形式化</w:t>
      </w:r>
    </w:p>
    <w:p>
      <w:pPr>
        <w:spacing w:after="80"/>
        <w:ind w:firstLine="420"/>
      </w:pPr>
      <w:r>
        <w:rPr>
          <w:rFonts w:ascii="Times New Roman" w:hAnsi="Times New Roman" w:eastAsia="宋体"/>
          <w:b w:val="0"/>
          <w:color w:val="1A1A1A"/>
          <w:sz w:val="21"/>
        </w:rPr>
        <w:t>设成分由元素序列与原子数表示：x = ((e₁, n₁), …, (e_k, n_k))，其中 e_i 为元素，n_i 为正整数。</w:t>
      </w:r>
    </w:p>
    <w:p>
      <w:pPr>
        <w:spacing w:after="80"/>
        <w:ind w:firstLine="420"/>
      </w:pPr>
      <w:r>
        <w:rPr>
          <w:rFonts w:ascii="Times New Roman" w:hAnsi="Times New Roman" w:eastAsia="宋体"/>
          <w:b w:val="0"/>
          <w:color w:val="1A1A1A"/>
          <w:sz w:val="21"/>
        </w:rPr>
        <w:t>对每个元素 e，记 V(e) ⊆ Z 为可行价态集合（例如 V(Fe) = {+2, +3}）。</w:t>
      </w:r>
    </w:p>
    <w:p>
      <w:pPr>
        <w:spacing w:after="80"/>
        <w:ind w:firstLine="420"/>
      </w:pPr>
      <w:r>
        <w:rPr>
          <w:rFonts w:ascii="Times New Roman" w:hAnsi="Times New Roman" w:eastAsia="宋体"/>
          <w:b w:val="0"/>
          <w:color w:val="1A1A1A"/>
          <w:sz w:val="21"/>
        </w:rPr>
        <w:t>定义约束集合 C：</w:t>
      </w:r>
    </w:p>
    <w:p>
      <w:pPr>
        <w:pStyle w:val="ListBullet"/>
        <w:spacing w:line="336" w:lineRule="auto" w:after="40"/>
      </w:pPr>
      <w:r>
        <w:rPr>
          <w:rFonts w:ascii="Times New Roman" w:hAnsi="Times New Roman" w:eastAsia="宋体"/>
          <w:b w:val="0"/>
          <w:color w:val="1A1A1A"/>
          <w:sz w:val="21"/>
        </w:rPr>
        <w:t>局部约束 c_loc：每个 e_i 属于允许的元素表；n_i 为正整数；化学式符合指定的计量原型。</w:t>
      </w:r>
    </w:p>
    <w:p>
      <w:pPr>
        <w:pStyle w:val="ListBullet"/>
        <w:spacing w:line="336" w:lineRule="auto" w:after="40"/>
      </w:pPr>
      <w:r>
        <w:rPr>
          <w:rFonts w:ascii="Times New Roman" w:hAnsi="Times New Roman" w:eastAsia="宋体"/>
          <w:b w:val="0"/>
          <w:color w:val="1A1A1A"/>
          <w:sz w:val="21"/>
        </w:rPr>
        <w:t>全局约束 c_glob：存在价态分配 v: {e₁, …, e_k} → Z，满足 v(e_i) ∈ V(e_i) 且 Σ n_i v(e_i) = 0。</w:t>
      </w:r>
    </w:p>
    <w:p>
      <w:pPr>
        <w:spacing w:after="80"/>
        <w:ind w:firstLine="420"/>
      </w:pPr>
      <w:r>
        <w:rPr>
          <w:rFonts w:ascii="Times New Roman" w:hAnsi="Times New Roman" w:eastAsia="宋体"/>
          <w:b w:val="0"/>
          <w:color w:val="1A1A1A"/>
          <w:sz w:val="21"/>
        </w:rPr>
        <w:t>「单一价态假设」是指 v 对每个元素只取一个值；同一元素出现多次时共享该值。这是本方法的前提，混合价情形在 §3.3 讨论。</w:t>
      </w:r>
    </w:p>
    <w:p>
      <w:pPr>
        <w:spacing w:after="80"/>
        <w:ind w:firstLine="420"/>
      </w:pPr>
      <w:r>
        <w:rPr>
          <w:rFonts w:ascii="Times New Roman" w:hAnsi="Times New Roman" w:eastAsia="宋体"/>
          <w:b w:val="0"/>
          <w:color w:val="1A1A1A"/>
          <w:sz w:val="21"/>
        </w:rPr>
        <w:t>生成模型给出分布 p_θ(x | context)。目标是构造解码过程，使输出满足 C，且输出分布尽可能接近条件分布 p_θ(x | context, C)。</w:t>
      </w:r>
    </w:p>
    <w:p>
      <w:pPr>
        <w:spacing w:before="200" w:after="80"/>
      </w:pPr>
      <w:r>
        <w:rPr>
          <w:rFonts w:ascii="Times New Roman" w:hAnsi="Times New Roman" w:eastAsia="黑体"/>
          <w:b/>
          <w:color w:val="1B3A52"/>
          <w:sz w:val="23"/>
        </w:rPr>
        <w:t>4.2 约束的编码</w:t>
      </w:r>
    </w:p>
    <w:p>
      <w:pPr>
        <w:spacing w:after="80"/>
        <w:ind w:firstLine="420"/>
      </w:pPr>
      <w:r>
        <w:rPr>
          <w:rFonts w:ascii="Times New Roman" w:hAnsi="Times New Roman" w:eastAsia="宋体"/>
          <w:b/>
          <w:color w:val="1A1A1A"/>
          <w:sz w:val="21"/>
        </w:rPr>
        <w:t>局部约束</w:t>
      </w:r>
      <w:r>
        <w:rPr>
          <w:rFonts w:ascii="Times New Roman" w:hAnsi="Times New Roman" w:eastAsia="宋体"/>
          <w:b w:val="0"/>
          <w:color w:val="1A1A1A"/>
          <w:sz w:val="21"/>
        </w:rPr>
        <w:t>用有限状态自动机编码：状态为「当前正在写哪个位点」「当前元素的原子数已写到第几位」，转移由元素表与数字规则决定。这与现有约束解码工具的做法一致 [9]。</w:t>
      </w:r>
    </w:p>
    <w:p>
      <w:pPr>
        <w:spacing w:after="80"/>
        <w:ind w:firstLine="420"/>
      </w:pPr>
      <w:r>
        <w:rPr>
          <w:rFonts w:ascii="Times New Roman" w:hAnsi="Times New Roman" w:eastAsia="宋体"/>
          <w:b/>
          <w:color w:val="1A1A1A"/>
          <w:sz w:val="21"/>
        </w:rPr>
        <w:t>全局约束</w:t>
      </w:r>
      <w:r>
        <w:rPr>
          <w:rFonts w:ascii="Times New Roman" w:hAnsi="Times New Roman" w:eastAsia="宋体"/>
          <w:b w:val="0"/>
          <w:color w:val="1A1A1A"/>
          <w:sz w:val="21"/>
        </w:rPr>
        <w:t>用「可达电荷集合」编码。对已生成的前缀 P_t = ((e₁, n₁), …, (e_t, n_t))，定义</w:t>
      </w:r>
    </w:p>
    <w:p>
      <w:pPr>
        <w:spacing w:after="80"/>
        <w:ind w:firstLine="420"/>
      </w:pPr>
      <w:r>
        <w:rPr>
          <w:rFonts w:ascii="Times New Roman" w:hAnsi="Times New Roman" w:eastAsia="宋体"/>
          <w:b w:val="0"/>
          <w:color w:val="1A1A1A"/>
          <w:sz w:val="21"/>
        </w:rPr>
        <w:t>S_t = { Σ_{i≤t} n_i v(e_i) : v(e_i) ∈ V(e_i) } ⊆ Z</w:t>
      </w:r>
    </w:p>
    <w:p>
      <w:pPr>
        <w:spacing w:after="80"/>
        <w:ind w:firstLine="420"/>
      </w:pPr>
      <w:r>
        <w:rPr>
          <w:rFonts w:ascii="Times New Roman" w:hAnsi="Times New Roman" w:eastAsia="宋体"/>
          <w:b w:val="0"/>
          <w:color w:val="1A1A1A"/>
          <w:sz w:val="21"/>
        </w:rPr>
        <w:t>即所有可能价态分配下的电荷取值集合。它满足递归</w:t>
      </w:r>
    </w:p>
    <w:p>
      <w:pPr>
        <w:spacing w:after="80"/>
        <w:ind w:firstLine="420"/>
      </w:pPr>
      <w:r>
        <w:rPr>
          <w:rFonts w:ascii="Times New Roman" w:hAnsi="Times New Roman" w:eastAsia="宋体"/>
          <w:b w:val="0"/>
          <w:color w:val="1A1A1A"/>
          <w:sz w:val="21"/>
        </w:rPr>
        <w:t>S_0 = {0}，S_t = { s + n_t·v : s ∈ S_{t−1}, v ∈ V(e_t) }。</w:t>
      </w:r>
    </w:p>
    <w:p>
      <w:pPr>
        <w:spacing w:after="80"/>
        <w:ind w:firstLine="420"/>
      </w:pPr>
      <w:r>
        <w:rPr>
          <w:rFonts w:ascii="Times New Roman" w:hAnsi="Times New Roman" w:eastAsia="宋体"/>
          <w:b w:val="0"/>
          <w:color w:val="1A1A1A"/>
          <w:sz w:val="21"/>
        </w:rPr>
        <w:t>与区间估计的关键区别：区间假设电荷可以连续取值，而 S_t 只包含离散的、由实际价态组合产生的值。一个区间覆盖零但集合不含零的前缀，在区间方法下会被误判为可行，在集合方法下会被正确剪掉。</w:t>
      </w:r>
    </w:p>
    <w:p>
      <w:pPr>
        <w:spacing w:after="80"/>
        <w:ind w:firstLine="420"/>
      </w:pPr>
      <w:r>
        <w:rPr>
          <w:rFonts w:ascii="Times New Roman" w:hAnsi="Times New Roman" w:eastAsia="宋体"/>
          <w:b w:val="0"/>
          <w:color w:val="1A1A1A"/>
          <w:sz w:val="21"/>
        </w:rPr>
        <w:t>S_t 的大小是有限的：价态取值通常在 −4 到 +7 之间，原子数有限，因此 |S_t| 远小于原子数的组合数。实际实现中可以用位图或哈希集合维护。</w:t>
      </w:r>
    </w:p>
    <w:p>
      <w:pPr>
        <w:spacing w:before="200" w:after="80"/>
      </w:pPr>
      <w:r>
        <w:rPr>
          <w:rFonts w:ascii="Times New Roman" w:hAnsi="Times New Roman" w:eastAsia="黑体"/>
          <w:b/>
          <w:color w:val="1B3A52"/>
          <w:sz w:val="23"/>
        </w:rPr>
        <w:t>4.3 解码算法</w:t>
      </w:r>
    </w:p>
    <w:p>
      <w:pPr>
        <w:spacing w:after="80"/>
        <w:ind w:firstLine="420"/>
      </w:pPr>
      <w:r>
        <w:rPr>
          <w:rFonts w:ascii="Times New Roman" w:hAnsi="Times New Roman" w:eastAsia="宋体"/>
          <w:b w:val="0"/>
          <w:color w:val="1A1A1A"/>
          <w:sz w:val="21"/>
        </w:rPr>
        <w:t>在每一步 t，对词表中的每个候选 token a：</w:t>
      </w:r>
    </w:p>
    <w:p>
      <w:pPr>
        <w:spacing w:after="80"/>
        <w:ind w:firstLine="420"/>
      </w:pPr>
      <w:r>
        <w:rPr>
          <w:rFonts w:ascii="Times New Roman" w:hAnsi="Times New Roman" w:eastAsia="宋体"/>
          <w:b w:val="0"/>
          <w:color w:val="1A1A1A"/>
          <w:sz w:val="21"/>
        </w:rPr>
        <w:t>1. 用局部自动机判断 a 是否语法合法；</w:t>
      </w:r>
    </w:p>
    <w:p>
      <w:pPr>
        <w:spacing w:after="80"/>
        <w:ind w:firstLine="420"/>
      </w:pPr>
      <w:r>
        <w:rPr>
          <w:rFonts w:ascii="Times New Roman" w:hAnsi="Times New Roman" w:eastAsia="宋体"/>
          <w:b w:val="0"/>
          <w:color w:val="1A1A1A"/>
          <w:sz w:val="21"/>
        </w:rPr>
        <w:t>2. 计算加入 a 之后的可达集合 S_{t+1}；</w:t>
      </w:r>
    </w:p>
    <w:p>
      <w:pPr>
        <w:spacing w:after="80"/>
        <w:ind w:firstLine="420"/>
      </w:pPr>
      <w:r>
        <w:rPr>
          <w:rFonts w:ascii="Times New Roman" w:hAnsi="Times New Roman" w:eastAsia="宋体"/>
          <w:b w:val="0"/>
          <w:color w:val="1A1A1A"/>
          <w:sz w:val="21"/>
        </w:rPr>
        <w:t>3. 判断 S_{t+1} 能否补全为零（见下）；</w:t>
      </w:r>
    </w:p>
    <w:p>
      <w:pPr>
        <w:spacing w:after="80"/>
        <w:ind w:firstLine="420"/>
      </w:pPr>
      <w:r>
        <w:rPr>
          <w:rFonts w:ascii="Times New Roman" w:hAnsi="Times New Roman" w:eastAsia="宋体"/>
          <w:b w:val="0"/>
          <w:color w:val="1A1A1A"/>
          <w:sz w:val="21"/>
        </w:rPr>
        <w:t>4. 若不能补全，屏蔽 a；</w:t>
      </w:r>
    </w:p>
    <w:p>
      <w:pPr>
        <w:spacing w:after="80"/>
        <w:ind w:firstLine="420"/>
      </w:pPr>
      <w:r>
        <w:rPr>
          <w:rFonts w:ascii="Times New Roman" w:hAnsi="Times New Roman" w:eastAsia="宋体"/>
          <w:b w:val="0"/>
          <w:color w:val="1A1A1A"/>
          <w:sz w:val="21"/>
        </w:rPr>
        <w:t>5. 在剩余 token 上按 p_θ 归一化后采样。</w:t>
      </w:r>
    </w:p>
    <w:p>
      <w:pPr>
        <w:spacing w:after="80"/>
        <w:ind w:firstLine="420"/>
      </w:pPr>
      <w:r>
        <w:rPr>
          <w:rFonts w:ascii="Times New Roman" w:hAnsi="Times New Roman" w:eastAsia="宋体"/>
          <w:b/>
          <w:color w:val="1A1A1A"/>
          <w:sz w:val="21"/>
        </w:rPr>
        <w:t>可补性判断分两种情形。</w:t>
      </w:r>
    </w:p>
    <w:p>
      <w:pPr>
        <w:spacing w:after="80"/>
        <w:ind w:firstLine="420"/>
      </w:pPr>
      <w:r>
        <w:rPr>
          <w:rFonts w:ascii="Times New Roman" w:hAnsi="Times New Roman" w:eastAsia="宋体"/>
          <w:b w:val="0"/>
          <w:color w:val="1A1A1A"/>
          <w:sz w:val="21"/>
        </w:rPr>
        <w:t>*固定化学计量原型*（如 Elpasolite 的 4 个位点、钙钛矿的 3 个位点）：剩余位点数 m = k − t 已知。预计算</w:t>
      </w:r>
    </w:p>
    <w:p>
      <w:pPr>
        <w:spacing w:after="80"/>
        <w:ind w:firstLine="420"/>
      </w:pPr>
      <w:r>
        <w:rPr>
          <w:rFonts w:ascii="Times New Roman" w:hAnsi="Times New Roman" w:eastAsia="宋体"/>
          <w:b w:val="0"/>
          <w:color w:val="1A1A1A"/>
          <w:sz w:val="21"/>
        </w:rPr>
        <w:t>R_m = { Σ_{j=1}^{m} m_j u_j : m_j ∈ N, u_j ∈ V_allow }</w:t>
      </w:r>
    </w:p>
    <w:p>
      <w:pPr>
        <w:spacing w:after="80"/>
        <w:ind w:firstLine="420"/>
      </w:pPr>
      <w:r>
        <w:rPr>
          <w:rFonts w:ascii="Times New Roman" w:hAnsi="Times New Roman" w:eastAsia="宋体"/>
          <w:b w:val="0"/>
          <w:color w:val="1A1A1A"/>
          <w:sz w:val="21"/>
        </w:rPr>
        <w:t>即 m 个原子在任意允许元素与任意原子数下能达到的电荷集合，其中 V_allow 是全部允许价态的并集。剪枝条件为</w:t>
      </w:r>
    </w:p>
    <w:p>
      <w:pPr>
        <w:spacing w:after="80"/>
        <w:ind w:firstLine="420"/>
      </w:pPr>
      <w:r>
        <w:rPr>
          <w:rFonts w:ascii="Times New Roman" w:hAnsi="Times New Roman" w:eastAsia="宋体"/>
          <w:b w:val="0"/>
          <w:color w:val="1A1A1A"/>
          <w:sz w:val="21"/>
        </w:rPr>
        <w:t>0 ∉ (S_{t+1} + R_m) ⇒ 屏蔽 a。</w:t>
      </w:r>
    </w:p>
    <w:p>
      <w:pPr>
        <w:spacing w:after="80"/>
        <w:ind w:firstLine="420"/>
      </w:pPr>
      <w:r>
        <w:rPr>
          <w:rFonts w:ascii="Times New Roman" w:hAnsi="Times New Roman" w:eastAsia="宋体"/>
          <w:b w:val="0"/>
          <w:color w:val="1A1A1A"/>
          <w:sz w:val="21"/>
        </w:rPr>
        <w:t>由于剩余元素可以在允许集合中任选，这个条件是充要的。因此在该情形下，剪枝是完备的：被屏蔽的 token 确实无法补成合法序列，最终输出保证合法。</w:t>
      </w:r>
    </w:p>
    <w:p>
      <w:pPr>
        <w:spacing w:after="80"/>
        <w:ind w:firstLine="420"/>
      </w:pPr>
      <w:r>
        <w:rPr>
          <w:rFonts w:ascii="Times New Roman" w:hAnsi="Times New Roman" w:eastAsia="宋体"/>
          <w:b w:val="0"/>
          <w:color w:val="1A1A1A"/>
          <w:sz w:val="21"/>
        </w:rPr>
        <w:t>*开放长度生成*：剩余位点数未知，只能取剩余长度的上界 K_max − t。此时 R 取 K_max − t 的上界集合，剪枝条件变成必要条件：它不会误杀（因为上界包含了真实剩余长度），但也可能放过一些最终无法补全的前缀。这类前缀会在终止时被校验并拒绝。在该情形下，方法称为「约束引导」，不宣称「保证」。</w:t>
      </w:r>
    </w:p>
    <w:p>
      <w:pPr>
        <w:spacing w:before="200" w:after="80"/>
      </w:pPr>
      <w:r>
        <w:rPr>
          <w:rFonts w:ascii="Times New Roman" w:hAnsi="Times New Roman" w:eastAsia="黑体"/>
          <w:b/>
          <w:color w:val="1B3A52"/>
          <w:sz w:val="23"/>
        </w:rPr>
        <w:t>4.4 剪枝的分布分析</w:t>
      </w:r>
    </w:p>
    <w:p>
      <w:pPr>
        <w:spacing w:after="80"/>
        <w:ind w:firstLine="420"/>
      </w:pPr>
      <w:r>
        <w:rPr>
          <w:rFonts w:ascii="Times New Roman" w:hAnsi="Times New Roman" w:eastAsia="宋体"/>
          <w:b w:val="0"/>
          <w:color w:val="1A1A1A"/>
          <w:sz w:val="21"/>
        </w:rPr>
        <w:t>设 P_dec 为解码后的分布，P_cond 为条件分布 p_θ(x | C)。分三种情形：</w:t>
      </w:r>
    </w:p>
    <w:p>
      <w:pPr>
        <w:spacing w:after="80"/>
        <w:ind w:firstLine="420"/>
      </w:pPr>
      <w:r>
        <w:rPr>
          <w:rFonts w:ascii="Times New Roman" w:hAnsi="Times New Roman" w:eastAsia="宋体"/>
          <w:b/>
          <w:color w:val="1A1A1A"/>
          <w:sz w:val="21"/>
        </w:rPr>
        <w:t>情形一：精确剪枝。</w:t>
      </w:r>
      <w:r>
        <w:rPr>
          <w:rFonts w:ascii="Times New Roman" w:hAnsi="Times New Roman" w:eastAsia="宋体"/>
          <w:b w:val="0"/>
          <w:color w:val="1A1A1A"/>
          <w:sz w:val="21"/>
        </w:rPr>
        <w:t xml:space="preserve"> 每一步屏蔽的 token 都对应「概率质量为零的非法路径」。由于只删除了非法序列，合法序列的相对概率不变，因此</w:t>
      </w:r>
    </w:p>
    <w:p>
      <w:pPr>
        <w:spacing w:after="80"/>
        <w:ind w:firstLine="420"/>
      </w:pPr>
      <w:r>
        <w:rPr>
          <w:rFonts w:ascii="Times New Roman" w:hAnsi="Times New Roman" w:eastAsia="宋体"/>
          <w:b w:val="0"/>
          <w:color w:val="1A1A1A"/>
          <w:sz w:val="21"/>
        </w:rPr>
        <w:t>P_dec = P_cond。</w:t>
      </w:r>
    </w:p>
    <w:p>
      <w:pPr>
        <w:spacing w:after="80"/>
        <w:ind w:firstLine="420"/>
      </w:pPr>
      <w:r>
        <w:rPr>
          <w:rFonts w:ascii="Times New Roman" w:hAnsi="Times New Roman" w:eastAsia="宋体"/>
          <w:b w:val="0"/>
          <w:color w:val="1A1A1A"/>
          <w:sz w:val="21"/>
        </w:rPr>
        <w:t>这是本课题在固定原型情形下的主要结论，证明思路是对序列长度做归纳：每步归一化只改变非法路径的质量，合法路径的比例不变。</w:t>
      </w:r>
    </w:p>
    <w:p>
      <w:pPr>
        <w:spacing w:after="80"/>
        <w:ind w:firstLine="420"/>
      </w:pPr>
      <w:r>
        <w:rPr>
          <w:rFonts w:ascii="Times New Roman" w:hAnsi="Times New Roman" w:eastAsia="宋体"/>
          <w:b/>
          <w:color w:val="1A1A1A"/>
          <w:sz w:val="21"/>
        </w:rPr>
        <w:t>情形二：不完备剪枝 + 终止拒绝。</w:t>
      </w:r>
      <w:r>
        <w:rPr>
          <w:rFonts w:ascii="Times New Roman" w:hAnsi="Times New Roman" w:eastAsia="宋体"/>
          <w:b w:val="0"/>
          <w:color w:val="1A1A1A"/>
          <w:sz w:val="21"/>
        </w:rPr>
        <w:t xml:space="preserve"> 剪枝只排除必要条件不满足的前缀，保留了一些最终不合法的序列，在终止时拒绝。此时</w:t>
      </w:r>
    </w:p>
    <w:p>
      <w:pPr>
        <w:spacing w:after="80"/>
        <w:ind w:firstLine="420"/>
      </w:pPr>
      <w:r>
        <w:rPr>
          <w:rFonts w:ascii="Times New Roman" w:hAnsi="Times New Roman" w:eastAsia="宋体"/>
          <w:b w:val="0"/>
          <w:color w:val="1A1A1A"/>
          <w:sz w:val="21"/>
        </w:rPr>
        <w:t>P_dec = P_cond，但采样次数增加。</w:t>
      </w:r>
    </w:p>
    <w:p>
      <w:pPr>
        <w:spacing w:after="80"/>
        <w:ind w:firstLine="420"/>
      </w:pPr>
      <w:r>
        <w:rPr>
          <w:rFonts w:ascii="Times New Roman" w:hAnsi="Times New Roman" w:eastAsia="宋体"/>
          <w:b w:val="0"/>
          <w:color w:val="1A1A1A"/>
          <w:sz w:val="21"/>
        </w:rPr>
        <w:t>设接受率为 ρ，则达到同样样本量所需的生成次数约为 1/ρ。这部分代价需要在效率指标中体现，不能只报告「合法率提升」。</w:t>
      </w:r>
    </w:p>
    <w:p>
      <w:pPr>
        <w:spacing w:after="80"/>
        <w:ind w:firstLine="420"/>
      </w:pPr>
      <w:r>
        <w:rPr>
          <w:rFonts w:ascii="Times New Roman" w:hAnsi="Times New Roman" w:eastAsia="宋体"/>
          <w:b/>
          <w:color w:val="1A1A1A"/>
          <w:sz w:val="21"/>
        </w:rPr>
        <w:t>情形三：过度剪枝。</w:t>
      </w:r>
      <w:r>
        <w:rPr>
          <w:rFonts w:ascii="Times New Roman" w:hAnsi="Times New Roman" w:eastAsia="宋体"/>
          <w:b w:val="0"/>
          <w:color w:val="1A1A1A"/>
          <w:sz w:val="21"/>
        </w:rPr>
        <w:t xml:space="preserve"> 若剪枝条件比真实可补性更强（例如为了效率把 R_m 近似得偏小），会误杀可行前缀，引入偏置。设误杀概率为 ε，则一个非严格的上界是</w:t>
      </w:r>
    </w:p>
    <w:p>
      <w:pPr>
        <w:spacing w:after="80"/>
        <w:ind w:firstLine="420"/>
      </w:pPr>
      <w:r>
        <w:rPr>
          <w:rFonts w:ascii="Times New Roman" w:hAnsi="Times New Roman" w:eastAsia="宋体"/>
          <w:b w:val="0"/>
          <w:color w:val="1A1A1A"/>
          <w:sz w:val="21"/>
        </w:rPr>
        <w:t>TV(P_dec, P_cond) ≤ 1 − (1 − ε)^L</w:t>
      </w:r>
    </w:p>
    <w:p>
      <w:pPr>
        <w:spacing w:after="80"/>
        <w:ind w:firstLine="420"/>
      </w:pPr>
      <w:r>
        <w:rPr>
          <w:rFonts w:ascii="Times New Roman" w:hAnsi="Times New Roman" w:eastAsia="宋体"/>
          <w:b w:val="0"/>
          <w:color w:val="1A1A1A"/>
          <w:sz w:val="21"/>
        </w:rPr>
        <w:t>其中 L 为序列长度。这个界可能很松，本课题只把它作为定性结论，不做严格证明，也不作为主要贡献。真正要做的是实验量化：在相同效率约束下，近似剪枝带来多少偏置。</w:t>
      </w:r>
    </w:p>
    <w:p>
      <w:pPr>
        <w:spacing w:before="200" w:after="80"/>
      </w:pPr>
      <w:r>
        <w:rPr>
          <w:rFonts w:ascii="Times New Roman" w:hAnsi="Times New Roman" w:eastAsia="黑体"/>
          <w:b/>
          <w:color w:val="1B3A52"/>
          <w:sz w:val="23"/>
        </w:rPr>
        <w:t>4.5 效率优化</w:t>
      </w:r>
    </w:p>
    <w:p>
      <w:pPr>
        <w:spacing w:after="80"/>
        <w:ind w:firstLine="420"/>
      </w:pPr>
      <w:r>
        <w:rPr>
          <w:rFonts w:ascii="Times New Roman" w:hAnsi="Times New Roman" w:eastAsia="宋体"/>
          <w:b w:val="0"/>
          <w:color w:val="1A1A1A"/>
          <w:sz w:val="21"/>
        </w:rPr>
        <w:t>精确剪枝的代价主要在集合运算。可行的优化包括：</w:t>
      </w:r>
    </w:p>
    <w:p>
      <w:pPr>
        <w:pStyle w:val="ListBullet"/>
        <w:spacing w:line="336" w:lineRule="auto" w:after="40"/>
      </w:pPr>
      <w:r>
        <w:rPr>
          <w:rFonts w:ascii="Times New Roman" w:hAnsi="Times New Roman" w:eastAsia="宋体"/>
          <w:b w:val="0"/>
          <w:color w:val="1A1A1A"/>
          <w:sz w:val="21"/>
        </w:rPr>
        <w:t>预计算 R_m 与 S_t 的转移表，把每步判断降为查表；</w:t>
      </w:r>
    </w:p>
    <w:p>
      <w:pPr>
        <w:pStyle w:val="ListBullet"/>
        <w:spacing w:line="336" w:lineRule="auto" w:after="40"/>
      </w:pPr>
      <w:r>
        <w:rPr>
          <w:rFonts w:ascii="Times New Roman" w:hAnsi="Times New Roman" w:eastAsia="宋体"/>
          <w:b w:val="0"/>
          <w:color w:val="1A1A1A"/>
          <w:sz w:val="21"/>
        </w:rPr>
        <w:t>对常见元素组合缓存可行性结果；</w:t>
      </w:r>
    </w:p>
    <w:p>
      <w:pPr>
        <w:pStyle w:val="ListBullet"/>
        <w:spacing w:line="336" w:lineRule="auto" w:after="40"/>
      </w:pPr>
      <w:r>
        <w:rPr>
          <w:rFonts w:ascii="Times New Roman" w:hAnsi="Times New Roman" w:eastAsia="宋体"/>
          <w:b w:val="0"/>
          <w:color w:val="1A1A1A"/>
          <w:sz w:val="21"/>
        </w:rPr>
        <w:t>用位图表示集合，使并集与平移为位运算；</w:t>
      </w:r>
    </w:p>
    <w:p>
      <w:pPr>
        <w:pStyle w:val="ListBullet"/>
        <w:spacing w:line="336" w:lineRule="auto" w:after="40"/>
      </w:pPr>
      <w:r>
        <w:rPr>
          <w:rFonts w:ascii="Times New Roman" w:hAnsi="Times New Roman" w:eastAsia="宋体"/>
          <w:b w:val="0"/>
          <w:color w:val="1A1A1A"/>
          <w:sz w:val="21"/>
        </w:rPr>
        <w:t>在序列早期用宽松剪枝（只排除明显不可能），后期收紧。</w:t>
      </w:r>
    </w:p>
    <w:p>
      <w:pPr>
        <w:spacing w:before="200" w:after="80"/>
      </w:pPr>
      <w:r>
        <w:rPr>
          <w:rFonts w:ascii="Times New Roman" w:hAnsi="Times New Roman" w:eastAsia="黑体"/>
          <w:b/>
          <w:color w:val="1B3A52"/>
          <w:sz w:val="23"/>
        </w:rPr>
        <w:t>4.6 技术路线</w:t>
      </w:r>
    </w:p>
    <w:p>
      <w:pPr>
        <w:spacing w:after="80"/>
        <w:ind w:firstLine="420"/>
      </w:pPr>
      <w:r>
        <w:rPr>
          <w:rFonts w:ascii="Consolas" w:hAnsi="Consolas" w:eastAsia="宋体"/>
          <w:b w:val="0"/>
          <w:color w:val="1A1A1A"/>
          <w:sz w:val="20"/>
        </w:rPr>
        <w:t>`</w:t>
      </w:r>
    </w:p>
    <w:p>
      <w:pPr>
        <w:spacing w:after="80"/>
        <w:ind w:firstLine="420"/>
      </w:pPr>
      <w:r>
        <w:rPr>
          <w:rFonts w:ascii="Times New Roman" w:hAnsi="Times New Roman" w:eastAsia="宋体"/>
          <w:b w:val="0"/>
          <w:color w:val="1A1A1A"/>
          <w:sz w:val="21"/>
        </w:rPr>
        <w:t>约束梳理（材料侧规则整理、价态表构建）</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形式化（局部约束 / 全局约束分类）</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局部：有限状态自动机；全局：可达电荷集合</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解码器实现（固定原型 / 开放长度两套）</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精确性验证（合成数据上生成即合法）</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分布分析（三种剪枝情形的偏置实验）</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双体系评测（合法率、覆盖率、效率）</w:t>
      </w:r>
    </w:p>
    <w:p>
      <w:pPr>
        <w:spacing w:after="80"/>
        <w:ind w:firstLine="420"/>
      </w:pPr>
      <w:r>
        <w:rPr>
          <w:rFonts w:ascii="Consolas" w:hAnsi="Consolas" w:eastAsia="宋体"/>
          <w:b w:val="0"/>
          <w:color w:val="1A1A1A"/>
          <w:sz w:val="20"/>
        </w:rPr>
        <w:t>`</w:t>
      </w:r>
    </w:p>
    <w:p>
      <w:pPr>
        <w:spacing w:before="320" w:after="120"/>
      </w:pPr>
      <w:r>
        <w:rPr>
          <w:rFonts w:ascii="Times New Roman" w:hAnsi="Times New Roman" w:eastAsia="黑体"/>
          <w:b/>
          <w:color w:val="1B3A52"/>
          <w:sz w:val="30"/>
        </w:rPr>
        <w:t>5 实验设计</w:t>
      </w:r>
    </w:p>
    <w:p>
      <w:pPr>
        <w:spacing w:before="200" w:after="80"/>
      </w:pPr>
      <w:r>
        <w:rPr>
          <w:rFonts w:ascii="Times New Roman" w:hAnsi="Times New Roman" w:eastAsia="黑体"/>
          <w:b/>
          <w:color w:val="1B3A52"/>
          <w:sz w:val="23"/>
        </w:rPr>
        <w:t>5.1 体系与数据划分</w:t>
      </w:r>
    </w:p>
    <w:p>
      <w:pPr>
        <w:spacing w:after="80"/>
        <w:ind w:firstLine="420"/>
      </w:pPr>
      <w:r>
        <w:rPr>
          <w:rFonts w:ascii="Times New Roman" w:hAnsi="Times New Roman" w:eastAsia="宋体"/>
          <w:b/>
          <w:color w:val="1A1A1A"/>
          <w:sz w:val="21"/>
        </w:rPr>
        <w:t>表 1</w:t>
      </w:r>
      <w:r>
        <w:rPr>
          <w:rFonts w:ascii="Times New Roman" w:hAnsi="Times New Roman" w:eastAsia="宋体"/>
          <w:b w:val="0"/>
          <w:color w:val="1A1A1A"/>
          <w:sz w:val="21"/>
        </w:rPr>
        <w:t xml:space="preserve">　两个体系的约束类型与真值来源</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spacing w:before="40" w:after="40" w:line="276" w:lineRule="auto"/>
            </w:pPr>
            <w:r/>
            <w:r>
              <w:rPr>
                <w:rFonts w:ascii="Times New Roman" w:hAnsi="Times New Roman" w:eastAsia="宋体"/>
                <w:b/>
                <w:color w:val="1A1A1A"/>
                <w:sz w:val="18"/>
              </w:rPr>
              <w:t>体系</w:t>
            </w:r>
          </w:p>
        </w:tc>
        <w:tc>
          <w:tcPr>
            <w:tcW w:type="dxa" w:w="2183"/>
          </w:tcPr>
          <w:p>
            <w:pPr>
              <w:spacing w:before="40" w:after="40" w:line="276" w:lineRule="auto"/>
            </w:pPr>
            <w:r/>
            <w:r>
              <w:rPr>
                <w:rFonts w:ascii="Times New Roman" w:hAnsi="Times New Roman" w:eastAsia="宋体"/>
                <w:b/>
                <w:color w:val="1A1A1A"/>
                <w:sz w:val="18"/>
              </w:rPr>
              <w:t>约束类型</w:t>
            </w:r>
          </w:p>
        </w:tc>
        <w:tc>
          <w:tcPr>
            <w:tcW w:type="dxa" w:w="2183"/>
          </w:tcPr>
          <w:p>
            <w:pPr>
              <w:spacing w:before="40" w:after="40" w:line="276" w:lineRule="auto"/>
            </w:pPr>
            <w:r/>
            <w:r>
              <w:rPr>
                <w:rFonts w:ascii="Times New Roman" w:hAnsi="Times New Roman" w:eastAsia="宋体"/>
                <w:b/>
                <w:color w:val="1A1A1A"/>
                <w:sz w:val="18"/>
              </w:rPr>
              <w:t>真值来源</w:t>
            </w:r>
          </w:p>
        </w:tc>
        <w:tc>
          <w:tcPr>
            <w:tcW w:type="dxa" w:w="2183"/>
          </w:tcPr>
          <w:p>
            <w:pPr>
              <w:spacing w:before="40" w:after="40" w:line="276" w:lineRule="auto"/>
            </w:pPr>
            <w:r/>
            <w:r>
              <w:rPr>
                <w:rFonts w:ascii="Times New Roman" w:hAnsi="Times New Roman" w:eastAsia="宋体"/>
                <w:b/>
                <w:color w:val="1A1A1A"/>
                <w:sz w:val="18"/>
              </w:rPr>
              <w:t>用途</w:t>
            </w:r>
          </w:p>
        </w:tc>
      </w:tr>
      <w:tr>
        <w:tc>
          <w:tcPr>
            <w:tcW w:type="dxa" w:w="2183"/>
          </w:tcPr>
          <w:p>
            <w:pPr>
              <w:spacing w:before="40" w:after="40" w:line="276" w:lineRule="auto"/>
            </w:pPr>
            <w:r/>
            <w:r>
              <w:rPr>
                <w:rFonts w:ascii="Times New Roman" w:hAnsi="Times New Roman" w:eastAsia="宋体"/>
                <w:b w:val="0"/>
                <w:color w:val="1A1A1A"/>
                <w:sz w:val="18"/>
              </w:rPr>
              <w:t>Elpasolite（ABC₂D₆）</w:t>
            </w:r>
          </w:p>
        </w:tc>
        <w:tc>
          <w:tcPr>
            <w:tcW w:type="dxa" w:w="2183"/>
          </w:tcPr>
          <w:p>
            <w:pPr>
              <w:spacing w:before="40" w:after="40" w:line="276" w:lineRule="auto"/>
            </w:pPr>
            <w:r/>
            <w:r>
              <w:rPr>
                <w:rFonts w:ascii="Times New Roman" w:hAnsi="Times New Roman" w:eastAsia="宋体"/>
                <w:b w:val="0"/>
                <w:color w:val="1A1A1A"/>
                <w:sz w:val="18"/>
              </w:rPr>
              <w:t>配比固定、A/B/C/D 位价态配平</w:t>
            </w:r>
          </w:p>
        </w:tc>
        <w:tc>
          <w:tcPr>
            <w:tcW w:type="dxa" w:w="2183"/>
          </w:tcPr>
          <w:p>
            <w:pPr>
              <w:spacing w:before="40" w:after="40" w:line="276" w:lineRule="auto"/>
            </w:pPr>
            <w:r/>
            <w:r>
              <w:rPr>
                <w:rFonts w:ascii="Times New Roman" w:hAnsi="Times New Roman" w:eastAsia="宋体"/>
                <w:b w:val="0"/>
                <w:color w:val="1A1A1A"/>
                <w:sz w:val="18"/>
              </w:rPr>
              <w:t>Faber 数据集 [6]</w:t>
            </w:r>
          </w:p>
        </w:tc>
        <w:tc>
          <w:tcPr>
            <w:tcW w:type="dxa" w:w="2183"/>
          </w:tcPr>
          <w:p>
            <w:pPr>
              <w:spacing w:before="40" w:after="40" w:line="276" w:lineRule="auto"/>
            </w:pPr>
            <w:r/>
            <w:r>
              <w:rPr>
                <w:rFonts w:ascii="Times New Roman" w:hAnsi="Times New Roman" w:eastAsia="宋体"/>
                <w:b w:val="0"/>
                <w:color w:val="1A1A1A"/>
                <w:sz w:val="18"/>
              </w:rPr>
              <w:t>主基准，可精确算覆盖率</w:t>
            </w:r>
          </w:p>
        </w:tc>
      </w:tr>
      <w:tr>
        <w:tc>
          <w:tcPr>
            <w:tcW w:type="dxa" w:w="2183"/>
          </w:tcPr>
          <w:p>
            <w:pPr>
              <w:spacing w:before="40" w:after="40" w:line="276" w:lineRule="auto"/>
            </w:pPr>
            <w:r/>
            <w:r>
              <w:rPr>
                <w:rFonts w:ascii="Times New Roman" w:hAnsi="Times New Roman" w:eastAsia="宋体"/>
                <w:b w:val="0"/>
                <w:color w:val="1A1A1A"/>
                <w:sz w:val="18"/>
              </w:rPr>
              <w:t>卤化物钙钛矿（ABX₃）</w:t>
            </w:r>
          </w:p>
        </w:tc>
        <w:tc>
          <w:tcPr>
            <w:tcW w:type="dxa" w:w="2183"/>
          </w:tcPr>
          <w:p>
            <w:pPr>
              <w:spacing w:before="40" w:after="40" w:line="276" w:lineRule="auto"/>
            </w:pPr>
            <w:r/>
            <w:r>
              <w:rPr>
                <w:rFonts w:ascii="Times New Roman" w:hAnsi="Times New Roman" w:eastAsia="宋体"/>
                <w:b w:val="0"/>
                <w:color w:val="1A1A1A"/>
                <w:sz w:val="18"/>
              </w:rPr>
              <w:t>A⁺B²⁺X₃⁻ 或 A⁺B³⁺X₃⁻ 等</w:t>
            </w:r>
          </w:p>
        </w:tc>
        <w:tc>
          <w:tcPr>
            <w:tcW w:type="dxa" w:w="2183"/>
          </w:tcPr>
          <w:p>
            <w:pPr>
              <w:spacing w:before="40" w:after="40" w:line="276" w:lineRule="auto"/>
            </w:pPr>
            <w:r/>
            <w:r>
              <w:rPr>
                <w:rFonts w:ascii="Times New Roman" w:hAnsi="Times New Roman" w:eastAsia="宋体"/>
                <w:b w:val="0"/>
                <w:color w:val="1A1A1A"/>
                <w:sz w:val="18"/>
              </w:rPr>
              <w:t>Materials Project</w:t>
            </w:r>
          </w:p>
        </w:tc>
        <w:tc>
          <w:tcPr>
            <w:tcW w:type="dxa" w:w="2183"/>
          </w:tcPr>
          <w:p>
            <w:pPr>
              <w:spacing w:before="40" w:after="40" w:line="276" w:lineRule="auto"/>
            </w:pPr>
            <w:r/>
            <w:r>
              <w:rPr>
                <w:rFonts w:ascii="Times New Roman" w:hAnsi="Times New Roman" w:eastAsia="宋体"/>
                <w:b w:val="0"/>
                <w:color w:val="1A1A1A"/>
                <w:sz w:val="18"/>
              </w:rPr>
              <w:t>检验跨体系泛化</w:t>
            </w:r>
          </w:p>
        </w:tc>
      </w:tr>
    </w:tbl>
    <w:p/>
    <w:p>
      <w:pPr>
        <w:spacing w:after="80"/>
        <w:ind w:firstLine="420"/>
      </w:pPr>
      <w:r>
        <w:rPr>
          <w:rFonts w:ascii="Times New Roman" w:hAnsi="Times New Roman" w:eastAsia="宋体"/>
          <w:b w:val="0"/>
          <w:color w:val="1A1A1A"/>
          <w:sz w:val="21"/>
        </w:rPr>
        <w:t>选择这两个体系的理由是：它们的电荷配平规则明确，且都有公开的结构与性质数据，便于独立复核。</w:t>
      </w:r>
    </w:p>
    <w:p>
      <w:pPr>
        <w:spacing w:after="80"/>
        <w:ind w:firstLine="420"/>
      </w:pPr>
      <w:r>
        <w:rPr>
          <w:rFonts w:ascii="Times New Roman" w:hAnsi="Times New Roman" w:eastAsia="宋体"/>
          <w:b/>
          <w:color w:val="1A1A1A"/>
          <w:sz w:val="21"/>
        </w:rPr>
        <w:t>划分规则。</w:t>
      </w:r>
      <w:r>
        <w:rPr>
          <w:rFonts w:ascii="Times New Roman" w:hAnsi="Times New Roman" w:eastAsia="宋体"/>
          <w:b w:val="0"/>
          <w:color w:val="1A1A1A"/>
          <w:sz w:val="21"/>
        </w:rPr>
        <w:t xml:space="preserve"> 与报告一相同的原则：按元素族与成分聚类分组，确保测试集的元素组合不出现在训练或提示示例中。若模型在测试集上表现出异常的「记忆式」成功率，需先排除预训练污染再作结论。</w:t>
      </w:r>
    </w:p>
    <w:p>
      <w:pPr>
        <w:spacing w:before="200" w:after="80"/>
      </w:pPr>
      <w:r>
        <w:rPr>
          <w:rFonts w:ascii="Times New Roman" w:hAnsi="Times New Roman" w:eastAsia="黑体"/>
          <w:b/>
          <w:color w:val="1B3A52"/>
          <w:sz w:val="23"/>
        </w:rPr>
        <w:t>5.2 对比方法</w:t>
      </w:r>
    </w:p>
    <w:p>
      <w:pPr>
        <w:spacing w:after="80"/>
        <w:ind w:firstLine="420"/>
      </w:pPr>
      <w:r>
        <w:rPr>
          <w:rFonts w:ascii="Times New Roman" w:hAnsi="Times New Roman" w:eastAsia="宋体"/>
          <w:b/>
          <w:color w:val="1A1A1A"/>
          <w:sz w:val="21"/>
        </w:rPr>
        <w:t>表 2</w:t>
      </w:r>
      <w:r>
        <w:rPr>
          <w:rFonts w:ascii="Times New Roman" w:hAnsi="Times New Roman" w:eastAsia="宋体"/>
          <w:b w:val="0"/>
          <w:color w:val="1A1A1A"/>
          <w:sz w:val="21"/>
        </w:rPr>
        <w:t xml:space="preserve">　对比方法</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编号</w:t>
            </w:r>
          </w:p>
        </w:tc>
        <w:tc>
          <w:tcPr>
            <w:tcW w:type="dxa" w:w="2911"/>
          </w:tcPr>
          <w:p>
            <w:pPr>
              <w:spacing w:before="40" w:after="40" w:line="276" w:lineRule="auto"/>
            </w:pPr>
            <w:r/>
            <w:r>
              <w:rPr>
                <w:rFonts w:ascii="Times New Roman" w:hAnsi="Times New Roman" w:eastAsia="宋体"/>
                <w:b/>
                <w:color w:val="1A1A1A"/>
                <w:sz w:val="18"/>
              </w:rPr>
              <w:t>方法</w:t>
            </w:r>
          </w:p>
        </w:tc>
        <w:tc>
          <w:tcPr>
            <w:tcW w:type="dxa" w:w="2911"/>
          </w:tcPr>
          <w:p>
            <w:pPr>
              <w:spacing w:before="40" w:after="40" w:line="276" w:lineRule="auto"/>
            </w:pPr>
            <w:r/>
            <w:r>
              <w:rPr>
                <w:rFonts w:ascii="Times New Roman" w:hAnsi="Times New Roman" w:eastAsia="宋体"/>
                <w:b/>
                <w:color w:val="1A1A1A"/>
                <w:sz w:val="18"/>
              </w:rPr>
              <w:t>说明</w:t>
            </w:r>
          </w:p>
        </w:tc>
      </w:tr>
      <w:tr>
        <w:tc>
          <w:tcPr>
            <w:tcW w:type="dxa" w:w="2911"/>
          </w:tcPr>
          <w:p>
            <w:pPr>
              <w:spacing w:before="40" w:after="40" w:line="276" w:lineRule="auto"/>
            </w:pPr>
            <w:r/>
            <w:r>
              <w:rPr>
                <w:rFonts w:ascii="Times New Roman" w:hAnsi="Times New Roman" w:eastAsia="宋体"/>
                <w:b w:val="0"/>
                <w:color w:val="1A1A1A"/>
                <w:sz w:val="18"/>
              </w:rPr>
              <w:t>M0</w:t>
            </w:r>
          </w:p>
        </w:tc>
        <w:tc>
          <w:tcPr>
            <w:tcW w:type="dxa" w:w="2911"/>
          </w:tcPr>
          <w:p>
            <w:pPr>
              <w:spacing w:before="40" w:after="40" w:line="276" w:lineRule="auto"/>
            </w:pPr>
            <w:r/>
            <w:r>
              <w:rPr>
                <w:rFonts w:ascii="Times New Roman" w:hAnsi="Times New Roman" w:eastAsia="宋体"/>
                <w:b w:val="0"/>
                <w:color w:val="1A1A1A"/>
                <w:sz w:val="18"/>
              </w:rPr>
              <w:t>精确枚举（oracle）</w:t>
            </w:r>
          </w:p>
        </w:tc>
        <w:tc>
          <w:tcPr>
            <w:tcW w:type="dxa" w:w="2911"/>
          </w:tcPr>
          <w:p>
            <w:pPr>
              <w:spacing w:before="40" w:after="40" w:line="276" w:lineRule="auto"/>
            </w:pPr>
            <w:r/>
            <w:r>
              <w:rPr>
                <w:rFonts w:ascii="Times New Roman" w:hAnsi="Times New Roman" w:eastAsia="宋体"/>
                <w:b w:val="0"/>
                <w:color w:val="1A1A1A"/>
                <w:sz w:val="18"/>
              </w:rPr>
              <w:t>对 Elpasolite 可行域做穷举，给出覆盖率上界</w:t>
            </w:r>
          </w:p>
        </w:tc>
      </w:tr>
      <w:tr>
        <w:tc>
          <w:tcPr>
            <w:tcW w:type="dxa" w:w="2911"/>
          </w:tcPr>
          <w:p>
            <w:pPr>
              <w:spacing w:before="40" w:after="40" w:line="276" w:lineRule="auto"/>
            </w:pPr>
            <w:r/>
            <w:r>
              <w:rPr>
                <w:rFonts w:ascii="Times New Roman" w:hAnsi="Times New Roman" w:eastAsia="宋体"/>
                <w:b w:val="0"/>
                <w:color w:val="1A1A1A"/>
                <w:sz w:val="18"/>
              </w:rPr>
              <w:t>M1</w:t>
            </w:r>
          </w:p>
        </w:tc>
        <w:tc>
          <w:tcPr>
            <w:tcW w:type="dxa" w:w="2911"/>
          </w:tcPr>
          <w:p>
            <w:pPr>
              <w:spacing w:before="40" w:after="40" w:line="276" w:lineRule="auto"/>
            </w:pPr>
            <w:r/>
            <w:r>
              <w:rPr>
                <w:rFonts w:ascii="Times New Roman" w:hAnsi="Times New Roman" w:eastAsia="宋体"/>
                <w:b w:val="0"/>
                <w:color w:val="1A1A1A"/>
                <w:sz w:val="18"/>
              </w:rPr>
              <w:t>无约束生成</w:t>
            </w:r>
          </w:p>
        </w:tc>
        <w:tc>
          <w:tcPr>
            <w:tcW w:type="dxa" w:w="2911"/>
          </w:tcPr>
          <w:p>
            <w:pPr>
              <w:spacing w:before="40" w:after="40" w:line="276" w:lineRule="auto"/>
            </w:pPr>
            <w:r/>
            <w:r>
              <w:rPr>
                <w:rFonts w:ascii="Times New Roman" w:hAnsi="Times New Roman" w:eastAsia="宋体"/>
                <w:b w:val="0"/>
                <w:color w:val="1A1A1A"/>
                <w:sz w:val="18"/>
              </w:rPr>
              <w:t>直接提示模型生成</w:t>
            </w:r>
          </w:p>
        </w:tc>
      </w:tr>
      <w:tr>
        <w:tc>
          <w:tcPr>
            <w:tcW w:type="dxa" w:w="2911"/>
          </w:tcPr>
          <w:p>
            <w:pPr>
              <w:spacing w:before="40" w:after="40" w:line="276" w:lineRule="auto"/>
            </w:pPr>
            <w:r/>
            <w:r>
              <w:rPr>
                <w:rFonts w:ascii="Times New Roman" w:hAnsi="Times New Roman" w:eastAsia="宋体"/>
                <w:b w:val="0"/>
                <w:color w:val="1A1A1A"/>
                <w:sz w:val="18"/>
              </w:rPr>
              <w:t>M2</w:t>
            </w:r>
          </w:p>
        </w:tc>
        <w:tc>
          <w:tcPr>
            <w:tcW w:type="dxa" w:w="2911"/>
          </w:tcPr>
          <w:p>
            <w:pPr>
              <w:spacing w:before="40" w:after="40" w:line="276" w:lineRule="auto"/>
            </w:pPr>
            <w:r/>
            <w:r>
              <w:rPr>
                <w:rFonts w:ascii="Times New Roman" w:hAnsi="Times New Roman" w:eastAsia="宋体"/>
                <w:b w:val="0"/>
                <w:color w:val="1A1A1A"/>
                <w:sz w:val="18"/>
              </w:rPr>
              <w:t>生成后过滤</w:t>
            </w:r>
          </w:p>
        </w:tc>
        <w:tc>
          <w:tcPr>
            <w:tcW w:type="dxa" w:w="2911"/>
          </w:tcPr>
          <w:p>
            <w:pPr>
              <w:spacing w:before="40" w:after="40" w:line="276" w:lineRule="auto"/>
            </w:pPr>
            <w:r/>
            <w:r>
              <w:rPr>
                <w:rFonts w:ascii="Times New Roman" w:hAnsi="Times New Roman" w:eastAsia="宋体"/>
                <w:b w:val="0"/>
                <w:color w:val="1A1A1A"/>
                <w:sz w:val="18"/>
              </w:rPr>
              <w:t>生成后按约束筛选</w:t>
            </w:r>
          </w:p>
        </w:tc>
      </w:tr>
      <w:tr>
        <w:tc>
          <w:tcPr>
            <w:tcW w:type="dxa" w:w="2911"/>
          </w:tcPr>
          <w:p>
            <w:pPr>
              <w:spacing w:before="40" w:after="40" w:line="276" w:lineRule="auto"/>
            </w:pPr>
            <w:r/>
            <w:r>
              <w:rPr>
                <w:rFonts w:ascii="Times New Roman" w:hAnsi="Times New Roman" w:eastAsia="宋体"/>
                <w:b w:val="0"/>
                <w:color w:val="1A1A1A"/>
                <w:sz w:val="18"/>
              </w:rPr>
              <w:t>M3</w:t>
            </w:r>
          </w:p>
        </w:tc>
        <w:tc>
          <w:tcPr>
            <w:tcW w:type="dxa" w:w="2911"/>
          </w:tcPr>
          <w:p>
            <w:pPr>
              <w:spacing w:before="40" w:after="40" w:line="276" w:lineRule="auto"/>
            </w:pPr>
            <w:r/>
            <w:r>
              <w:rPr>
                <w:rFonts w:ascii="Times New Roman" w:hAnsi="Times New Roman" w:eastAsia="宋体"/>
                <w:b w:val="0"/>
                <w:color w:val="1A1A1A"/>
                <w:sz w:val="18"/>
              </w:rPr>
              <w:t>软约束奖励</w:t>
            </w:r>
          </w:p>
        </w:tc>
        <w:tc>
          <w:tcPr>
            <w:tcW w:type="dxa" w:w="2911"/>
          </w:tcPr>
          <w:p>
            <w:pPr>
              <w:spacing w:before="40" w:after="40" w:line="276" w:lineRule="auto"/>
            </w:pPr>
            <w:r/>
            <w:r>
              <w:rPr>
                <w:rFonts w:ascii="Times New Roman" w:hAnsi="Times New Roman" w:eastAsia="宋体"/>
                <w:b w:val="0"/>
                <w:color w:val="1A1A1A"/>
                <w:sz w:val="18"/>
              </w:rPr>
              <w:t>在训练目标中加入违反惩罚</w:t>
            </w:r>
          </w:p>
        </w:tc>
      </w:tr>
      <w:tr>
        <w:tc>
          <w:tcPr>
            <w:tcW w:type="dxa" w:w="2911"/>
          </w:tcPr>
          <w:p>
            <w:pPr>
              <w:spacing w:before="40" w:after="40" w:line="276" w:lineRule="auto"/>
            </w:pPr>
            <w:r/>
            <w:r>
              <w:rPr>
                <w:rFonts w:ascii="Times New Roman" w:hAnsi="Times New Roman" w:eastAsia="宋体"/>
                <w:b w:val="0"/>
                <w:color w:val="1A1A1A"/>
                <w:sz w:val="18"/>
              </w:rPr>
              <w:t>M4</w:t>
            </w:r>
          </w:p>
        </w:tc>
        <w:tc>
          <w:tcPr>
            <w:tcW w:type="dxa" w:w="2911"/>
          </w:tcPr>
          <w:p>
            <w:pPr>
              <w:spacing w:before="40" w:after="40" w:line="276" w:lineRule="auto"/>
            </w:pPr>
            <w:r/>
            <w:r>
              <w:rPr>
                <w:rFonts w:ascii="Times New Roman" w:hAnsi="Times New Roman" w:eastAsia="宋体"/>
                <w:b w:val="0"/>
                <w:color w:val="1A1A1A"/>
                <w:sz w:val="18"/>
              </w:rPr>
              <w:t>局部约束解码</w:t>
            </w:r>
          </w:p>
        </w:tc>
        <w:tc>
          <w:tcPr>
            <w:tcW w:type="dxa" w:w="2911"/>
          </w:tcPr>
          <w:p>
            <w:pPr>
              <w:spacing w:before="40" w:after="40" w:line="276" w:lineRule="auto"/>
            </w:pPr>
            <w:r/>
            <w:r>
              <w:rPr>
                <w:rFonts w:ascii="Times New Roman" w:hAnsi="Times New Roman" w:eastAsia="宋体"/>
                <w:b w:val="0"/>
                <w:color w:val="1A1A1A"/>
                <w:sz w:val="18"/>
              </w:rPr>
              <w:t>只保证格式与配比</w:t>
            </w:r>
          </w:p>
        </w:tc>
      </w:tr>
      <w:tr>
        <w:tc>
          <w:tcPr>
            <w:tcW w:type="dxa" w:w="2911"/>
          </w:tcPr>
          <w:p>
            <w:pPr>
              <w:spacing w:before="40" w:after="40" w:line="276" w:lineRule="auto"/>
            </w:pPr>
            <w:r/>
            <w:r>
              <w:rPr>
                <w:rFonts w:ascii="Times New Roman" w:hAnsi="Times New Roman" w:eastAsia="宋体"/>
                <w:b w:val="0"/>
                <w:color w:val="1A1A1A"/>
                <w:sz w:val="18"/>
              </w:rPr>
              <w:t>M5</w:t>
            </w:r>
          </w:p>
        </w:tc>
        <w:tc>
          <w:tcPr>
            <w:tcW w:type="dxa" w:w="2911"/>
          </w:tcPr>
          <w:p>
            <w:pPr>
              <w:spacing w:before="40" w:after="40" w:line="276" w:lineRule="auto"/>
            </w:pPr>
            <w:r/>
            <w:r>
              <w:rPr>
                <w:rFonts w:ascii="Times New Roman" w:hAnsi="Times New Roman" w:eastAsia="宋体"/>
                <w:b w:val="0"/>
                <w:color w:val="1A1A1A"/>
                <w:sz w:val="18"/>
              </w:rPr>
              <w:t>区间剪枝</w:t>
            </w:r>
          </w:p>
        </w:tc>
        <w:tc>
          <w:tcPr>
            <w:tcW w:type="dxa" w:w="2911"/>
          </w:tcPr>
          <w:p>
            <w:pPr>
              <w:spacing w:before="40" w:after="40" w:line="276" w:lineRule="auto"/>
            </w:pPr>
            <w:r/>
            <w:r>
              <w:rPr>
                <w:rFonts w:ascii="Times New Roman" w:hAnsi="Times New Roman" w:eastAsia="宋体"/>
                <w:b w:val="0"/>
                <w:color w:val="1A1A1A"/>
                <w:sz w:val="18"/>
              </w:rPr>
              <w:t>用连续区间做全局剪枝（本课题的对照）</w:t>
            </w:r>
          </w:p>
        </w:tc>
      </w:tr>
      <w:tr>
        <w:tc>
          <w:tcPr>
            <w:tcW w:type="dxa" w:w="2911"/>
          </w:tcPr>
          <w:p>
            <w:pPr>
              <w:spacing w:before="40" w:after="40" w:line="276" w:lineRule="auto"/>
            </w:pPr>
            <w:r/>
            <w:r>
              <w:rPr>
                <w:rFonts w:ascii="Times New Roman" w:hAnsi="Times New Roman" w:eastAsia="宋体"/>
                <w:b w:val="0"/>
                <w:color w:val="1A1A1A"/>
                <w:sz w:val="18"/>
              </w:rPr>
              <w:t>M6</w:t>
            </w:r>
          </w:p>
        </w:tc>
        <w:tc>
          <w:tcPr>
            <w:tcW w:type="dxa" w:w="2911"/>
          </w:tcPr>
          <w:p>
            <w:pPr>
              <w:spacing w:before="40" w:after="40" w:line="276" w:lineRule="auto"/>
            </w:pPr>
            <w:r/>
            <w:r>
              <w:rPr>
                <w:rFonts w:ascii="Times New Roman" w:hAnsi="Times New Roman" w:eastAsia="宋体"/>
                <w:b w:val="0"/>
                <w:color w:val="1A1A1A"/>
                <w:sz w:val="18"/>
              </w:rPr>
              <w:t>生成后修复</w:t>
            </w:r>
          </w:p>
        </w:tc>
        <w:tc>
          <w:tcPr>
            <w:tcW w:type="dxa" w:w="2911"/>
          </w:tcPr>
          <w:p>
            <w:pPr>
              <w:spacing w:before="40" w:after="40" w:line="276" w:lineRule="auto"/>
            </w:pPr>
            <w:r/>
            <w:r>
              <w:rPr>
                <w:rFonts w:ascii="Times New Roman" w:hAnsi="Times New Roman" w:eastAsia="宋体"/>
                <w:b w:val="0"/>
                <w:color w:val="1A1A1A"/>
                <w:sz w:val="18"/>
              </w:rPr>
              <w:t>生成后修改成分使合法</w:t>
            </w:r>
          </w:p>
        </w:tc>
      </w:tr>
      <w:tr>
        <w:tc>
          <w:tcPr>
            <w:tcW w:type="dxa" w:w="2911"/>
          </w:tcPr>
          <w:p>
            <w:pPr>
              <w:spacing w:before="40" w:after="40" w:line="276" w:lineRule="auto"/>
            </w:pPr>
            <w:r/>
            <w:r>
              <w:rPr>
                <w:rFonts w:ascii="Times New Roman" w:hAnsi="Times New Roman" w:eastAsia="宋体"/>
                <w:b w:val="0"/>
                <w:color w:val="1A1A1A"/>
                <w:sz w:val="18"/>
              </w:rPr>
              <w:t>M7</w:t>
            </w:r>
          </w:p>
        </w:tc>
        <w:tc>
          <w:tcPr>
            <w:tcW w:type="dxa" w:w="2911"/>
          </w:tcPr>
          <w:p>
            <w:pPr>
              <w:spacing w:before="40" w:after="40" w:line="276" w:lineRule="auto"/>
            </w:pPr>
            <w:r/>
            <w:r>
              <w:rPr>
                <w:rFonts w:ascii="Times New Roman" w:hAnsi="Times New Roman" w:eastAsia="宋体"/>
                <w:b w:val="0"/>
                <w:color w:val="1A1A1A"/>
                <w:sz w:val="18"/>
              </w:rPr>
              <w:t>本课题方法</w:t>
            </w:r>
          </w:p>
        </w:tc>
        <w:tc>
          <w:tcPr>
            <w:tcW w:type="dxa" w:w="2911"/>
          </w:tcPr>
          <w:p>
            <w:pPr>
              <w:spacing w:before="40" w:after="40" w:line="276" w:lineRule="auto"/>
            </w:pPr>
            <w:r/>
            <w:r>
              <w:rPr>
                <w:rFonts w:ascii="Times New Roman" w:hAnsi="Times New Roman" w:eastAsia="宋体"/>
                <w:b w:val="0"/>
                <w:color w:val="1A1A1A"/>
                <w:sz w:val="18"/>
              </w:rPr>
              <w:t>局部 + 全局可达集合解码</w:t>
            </w:r>
          </w:p>
        </w:tc>
      </w:tr>
    </w:tbl>
    <w:p/>
    <w:p>
      <w:pPr>
        <w:spacing w:after="80"/>
        <w:ind w:firstLine="420"/>
      </w:pPr>
      <w:r>
        <w:rPr>
          <w:rFonts w:ascii="Times New Roman" w:hAnsi="Times New Roman" w:eastAsia="宋体"/>
          <w:b w:val="0"/>
          <w:color w:val="1A1A1A"/>
          <w:sz w:val="21"/>
        </w:rPr>
        <w:t>M0 给出上界，避免「我们的覆盖率不错」这种没有参照的说法。M5 是专门为本课题设计的关键对照：它用来证明「区间不够、集合才够」这一核心论点。</w:t>
      </w:r>
    </w:p>
    <w:p>
      <w:pPr>
        <w:spacing w:before="200" w:after="80"/>
      </w:pPr>
      <w:r>
        <w:rPr>
          <w:rFonts w:ascii="Times New Roman" w:hAnsi="Times New Roman" w:eastAsia="黑体"/>
          <w:b/>
          <w:color w:val="1B3A52"/>
          <w:sz w:val="23"/>
        </w:rPr>
        <w:t>5.3 评价指标</w:t>
      </w:r>
    </w:p>
    <w:p>
      <w:pPr>
        <w:spacing w:after="80"/>
        <w:ind w:firstLine="420"/>
      </w:pPr>
      <w:r>
        <w:rPr>
          <w:rFonts w:ascii="Times New Roman" w:hAnsi="Times New Roman" w:eastAsia="宋体"/>
          <w:b/>
          <w:color w:val="1A1A1A"/>
          <w:sz w:val="21"/>
        </w:rPr>
        <w:t>合法性：</w:t>
      </w:r>
      <w:r>
        <w:rPr>
          <w:rFonts w:ascii="Times New Roman" w:hAnsi="Times New Roman" w:eastAsia="宋体"/>
          <w:b w:val="0"/>
          <w:color w:val="1A1A1A"/>
          <w:sz w:val="21"/>
        </w:rPr>
        <w:t xml:space="preserve"> 生成样本中满足全部约束的比例。</w:t>
      </w:r>
    </w:p>
    <w:p>
      <w:pPr>
        <w:spacing w:after="80"/>
        <w:ind w:firstLine="420"/>
      </w:pPr>
      <w:r>
        <w:rPr>
          <w:rFonts w:ascii="Times New Roman" w:hAnsi="Times New Roman" w:eastAsia="宋体"/>
          <w:b/>
          <w:color w:val="1A1A1A"/>
          <w:sz w:val="21"/>
        </w:rPr>
        <w:t>覆盖率：</w:t>
      </w:r>
      <w:r>
        <w:rPr>
          <w:rFonts w:ascii="Times New Roman" w:hAnsi="Times New Roman" w:eastAsia="宋体"/>
          <w:b w:val="0"/>
          <w:color w:val="1A1A1A"/>
          <w:sz w:val="21"/>
        </w:rPr>
        <w:t xml:space="preserve"> 分两个口径报告——「条件覆盖率」（在合法样本中，落入目标区的比例）与「总覆盖率」（在全部生成次数中，落入目标区的比例）。约束会缩小可行域，总覆盖率下降是必然的，不能把这一必然下降归因于方法优劣。</w:t>
      </w:r>
    </w:p>
    <w:p>
      <w:pPr>
        <w:spacing w:after="80"/>
        <w:ind w:firstLine="420"/>
      </w:pPr>
      <w:r>
        <w:rPr>
          <w:rFonts w:ascii="Times New Roman" w:hAnsi="Times New Roman" w:eastAsia="宋体"/>
          <w:b/>
          <w:color w:val="1A1A1A"/>
          <w:sz w:val="21"/>
        </w:rPr>
        <w:t>采样效率：</w:t>
      </w:r>
      <w:r>
        <w:rPr>
          <w:rFonts w:ascii="Times New Roman" w:hAnsi="Times New Roman" w:eastAsia="宋体"/>
          <w:b w:val="0"/>
          <w:color w:val="1A1A1A"/>
          <w:sz w:val="21"/>
        </w:rPr>
        <w:t xml:space="preserve"> 达到给定条件覆盖率所需的生成次数，包含拒绝采样的额外开销。</w:t>
      </w:r>
    </w:p>
    <w:p>
      <w:pPr>
        <w:spacing w:after="80"/>
        <w:ind w:firstLine="420"/>
      </w:pPr>
      <w:r>
        <w:rPr>
          <w:rFonts w:ascii="Times New Roman" w:hAnsi="Times New Roman" w:eastAsia="宋体"/>
          <w:b/>
          <w:color w:val="1A1A1A"/>
          <w:sz w:val="21"/>
        </w:rPr>
        <w:t>多样性：</w:t>
      </w:r>
      <w:r>
        <w:rPr>
          <w:rFonts w:ascii="Times New Roman" w:hAnsi="Times New Roman" w:eastAsia="宋体"/>
          <w:b w:val="0"/>
          <w:color w:val="1A1A1A"/>
          <w:sz w:val="21"/>
        </w:rPr>
        <w:t xml:space="preserve"> 生成成分的元素分布熵、与训练集的距离。</w:t>
      </w:r>
    </w:p>
    <w:p>
      <w:pPr>
        <w:spacing w:after="80"/>
        <w:ind w:firstLine="420"/>
      </w:pPr>
      <w:r>
        <w:rPr>
          <w:rFonts w:ascii="Times New Roman" w:hAnsi="Times New Roman" w:eastAsia="宋体"/>
          <w:b/>
          <w:color w:val="1A1A1A"/>
          <w:sz w:val="21"/>
        </w:rPr>
        <w:t>效率：</w:t>
      </w:r>
      <w:r>
        <w:rPr>
          <w:rFonts w:ascii="Times New Roman" w:hAnsi="Times New Roman" w:eastAsia="宋体"/>
          <w:b w:val="0"/>
          <w:color w:val="1A1A1A"/>
          <w:sz w:val="21"/>
        </w:rPr>
        <w:t xml:space="preserve"> 每秒生成样本数、相对无约束解码的减速比。</w:t>
      </w:r>
    </w:p>
    <w:p>
      <w:pPr>
        <w:spacing w:after="80"/>
        <w:ind w:firstLine="420"/>
      </w:pPr>
      <w:r>
        <w:rPr>
          <w:rFonts w:ascii="Times New Roman" w:hAnsi="Times New Roman" w:eastAsia="宋体"/>
          <w:b/>
          <w:color w:val="1A1A1A"/>
          <w:sz w:val="21"/>
        </w:rPr>
        <w:t>统计要求：</w:t>
      </w:r>
      <w:r>
        <w:rPr>
          <w:rFonts w:ascii="Times New Roman" w:hAnsi="Times New Roman" w:eastAsia="宋体"/>
          <w:b w:val="0"/>
          <w:color w:val="1A1A1A"/>
          <w:sz w:val="21"/>
        </w:rPr>
        <w:t xml:space="preserve"> 每个设置至少 5 个随机种子，报告均值与 95% 置信区间；解码过程若含采样，固定温度与 top-p 设置。</w:t>
      </w:r>
    </w:p>
    <w:p>
      <w:pPr>
        <w:spacing w:before="200" w:after="80"/>
      </w:pPr>
      <w:r>
        <w:rPr>
          <w:rFonts w:ascii="Times New Roman" w:hAnsi="Times New Roman" w:eastAsia="黑体"/>
          <w:b/>
          <w:color w:val="1B3A52"/>
          <w:sz w:val="23"/>
        </w:rPr>
        <w:t>5.4 消融实验</w:t>
      </w:r>
    </w:p>
    <w:p>
      <w:pPr>
        <w:pStyle w:val="ListBullet"/>
        <w:spacing w:line="336" w:lineRule="auto" w:after="40"/>
      </w:pPr>
      <w:r>
        <w:rPr>
          <w:rFonts w:ascii="Times New Roman" w:hAnsi="Times New Roman" w:eastAsia="宋体"/>
          <w:b w:val="0"/>
          <w:color w:val="1A1A1A"/>
          <w:sz w:val="21"/>
        </w:rPr>
        <w:t>剪枝粒度：token 级 / 元素级 / 化学式级</w:t>
      </w:r>
    </w:p>
    <w:p>
      <w:pPr>
        <w:pStyle w:val="ListBullet"/>
        <w:spacing w:line="336" w:lineRule="auto" w:after="40"/>
      </w:pPr>
      <w:r>
        <w:rPr>
          <w:rFonts w:ascii="Times New Roman" w:hAnsi="Times New Roman" w:eastAsia="宋体"/>
          <w:b w:val="0"/>
          <w:color w:val="1A1A1A"/>
          <w:sz w:val="21"/>
        </w:rPr>
        <w:t>可补性判断：精确 R_m / 上界近似 / 无前瞻</w:t>
      </w:r>
    </w:p>
    <w:p>
      <w:pPr>
        <w:pStyle w:val="ListBullet"/>
        <w:spacing w:line="336" w:lineRule="auto" w:after="40"/>
      </w:pPr>
      <w:r>
        <w:rPr>
          <w:rFonts w:ascii="Times New Roman" w:hAnsi="Times New Roman" w:eastAsia="宋体"/>
          <w:b w:val="0"/>
          <w:color w:val="1A1A1A"/>
          <w:sz w:val="21"/>
        </w:rPr>
        <w:t>价态表：固定价态 / 价态集合 / 价态组合枚举</w:t>
      </w:r>
    </w:p>
    <w:p>
      <w:pPr>
        <w:pStyle w:val="ListBullet"/>
        <w:spacing w:line="336" w:lineRule="auto" w:after="40"/>
      </w:pPr>
      <w:r>
        <w:rPr>
          <w:rFonts w:ascii="Times New Roman" w:hAnsi="Times New Roman" w:eastAsia="宋体"/>
          <w:b w:val="0"/>
          <w:color w:val="1A1A1A"/>
          <w:sz w:val="21"/>
        </w:rPr>
        <w:t>约束强度：只加电荷中性 / 加电荷 + 半径比 / 全约束</w:t>
      </w:r>
    </w:p>
    <w:p>
      <w:pPr>
        <w:pStyle w:val="ListBullet"/>
        <w:spacing w:line="336" w:lineRule="auto" w:after="40"/>
      </w:pPr>
      <w:r>
        <w:rPr>
          <w:rFonts w:ascii="Times New Roman" w:hAnsi="Times New Roman" w:eastAsia="宋体"/>
          <w:b w:val="0"/>
          <w:color w:val="1A1A1A"/>
          <w:sz w:val="21"/>
        </w:rPr>
        <w:t>与迭代反馈结合时的表现</w:t>
      </w:r>
    </w:p>
    <w:p>
      <w:pPr>
        <w:spacing w:before="320" w:after="120"/>
      </w:pPr>
      <w:r>
        <w:rPr>
          <w:rFonts w:ascii="Times New Roman" w:hAnsi="Times New Roman" w:eastAsia="黑体"/>
          <w:b/>
          <w:color w:val="1B3A52"/>
          <w:sz w:val="30"/>
        </w:rPr>
        <w:t>6 特色与创新</w:t>
      </w:r>
    </w:p>
    <w:p>
      <w:pPr>
        <w:spacing w:after="80"/>
        <w:ind w:firstLine="420"/>
      </w:pPr>
      <w:r>
        <w:rPr>
          <w:rFonts w:ascii="Times New Roman" w:hAnsi="Times New Roman" w:eastAsia="宋体"/>
          <w:b/>
          <w:color w:val="1A1A1A"/>
          <w:sz w:val="21"/>
        </w:rPr>
        <w:t>创新一：面向全局约束的解码状态设计。</w:t>
      </w:r>
      <w:r>
        <w:rPr>
          <w:rFonts w:ascii="Times New Roman" w:hAnsi="Times New Roman" w:eastAsia="宋体"/>
          <w:b w:val="0"/>
          <w:color w:val="1A1A1A"/>
          <w:sz w:val="21"/>
        </w:rPr>
        <w:t xml:space="preserve"> 现有约束解码面向局部语法，本课题用「可达电荷集合」表示跨序列的离散约束，并说明它与区间近似的本质区别 —— 后者只是必要条件，会把不可行前缀误判为可行。据本轮检索，这一处理在材料化学式生成上尚未被系统实现。</w:t>
      </w:r>
    </w:p>
    <w:p>
      <w:pPr>
        <w:spacing w:after="80"/>
        <w:ind w:firstLine="420"/>
      </w:pPr>
      <w:r>
        <w:rPr>
          <w:rFonts w:ascii="Times New Roman" w:hAnsi="Times New Roman" w:eastAsia="宋体"/>
          <w:b/>
          <w:color w:val="1A1A1A"/>
          <w:sz w:val="21"/>
        </w:rPr>
        <w:t>创新二：精确剪枝与近似剪枝的分布区分。</w:t>
      </w:r>
      <w:r>
        <w:rPr>
          <w:rFonts w:ascii="Times New Roman" w:hAnsi="Times New Roman" w:eastAsia="宋体"/>
          <w:b w:val="0"/>
          <w:color w:val="1A1A1A"/>
          <w:sz w:val="21"/>
        </w:rPr>
        <w:t xml:space="preserve"> 不只报告合法率更高，而是说明在什么条件下解码分布仍等于条件分布、在什么条件下需要拒绝采样、在什么条件下会引入偏置。这使方法在统计上可辩护，也明确了「保证」二字的适用边界。</w:t>
      </w:r>
    </w:p>
    <w:p>
      <w:pPr>
        <w:spacing w:after="80"/>
        <w:ind w:firstLine="420"/>
      </w:pPr>
      <w:r>
        <w:rPr>
          <w:rFonts w:ascii="Times New Roman" w:hAnsi="Times New Roman" w:eastAsia="宋体"/>
          <w:b/>
          <w:color w:val="1A1A1A"/>
          <w:sz w:val="21"/>
        </w:rPr>
        <w:t>创新三：约束收益的定量回答。</w:t>
      </w:r>
      <w:r>
        <w:rPr>
          <w:rFonts w:ascii="Times New Roman" w:hAnsi="Times New Roman" w:eastAsia="宋体"/>
          <w:b w:val="0"/>
          <w:color w:val="1A1A1A"/>
          <w:sz w:val="21"/>
        </w:rPr>
        <w:t xml:space="preserve"> 给出「约束强度—合法率—条件覆盖率—采样效率」的四维权衡，回答实践中最常被问的问题：加约束到底值不值。</w:t>
      </w:r>
    </w:p>
    <w:p>
      <w:pPr>
        <w:spacing w:before="320" w:after="120"/>
      </w:pPr>
      <w:r>
        <w:rPr>
          <w:rFonts w:ascii="Times New Roman" w:hAnsi="Times New Roman" w:eastAsia="黑体"/>
          <w:b/>
          <w:color w:val="1B3A52"/>
          <w:sz w:val="30"/>
        </w:rPr>
        <w:t>7 预期成果</w:t>
      </w:r>
    </w:p>
    <w:p>
      <w:pPr>
        <w:spacing w:after="80"/>
        <w:ind w:firstLine="420"/>
      </w:pPr>
      <w:r>
        <w:rPr>
          <w:rFonts w:ascii="Times New Roman" w:hAnsi="Times New Roman" w:eastAsia="宋体"/>
          <w:b w:val="0"/>
          <w:color w:val="1A1A1A"/>
          <w:sz w:val="21"/>
        </w:rPr>
        <w:t>1. 硕士学位论文一篇。</w:t>
      </w:r>
    </w:p>
    <w:p>
      <w:pPr>
        <w:spacing w:after="80"/>
        <w:ind w:firstLine="420"/>
      </w:pPr>
      <w:r>
        <w:rPr>
          <w:rFonts w:ascii="Times New Roman" w:hAnsi="Times New Roman" w:eastAsia="宋体"/>
          <w:b w:val="0"/>
          <w:color w:val="1A1A1A"/>
          <w:sz w:val="21"/>
        </w:rPr>
        <w:t>2. SCI 论文一篇，拟投 npj Computational Materials、Journal of Chemical Information and Modeling 或 Digital Discovery；若方法侧更突出，也可考虑自然语言处理与机器学习方法的会议。</w:t>
      </w:r>
    </w:p>
    <w:p>
      <w:pPr>
        <w:spacing w:after="80"/>
        <w:ind w:firstLine="420"/>
      </w:pPr>
      <w:r>
        <w:rPr>
          <w:rFonts w:ascii="Times New Roman" w:hAnsi="Times New Roman" w:eastAsia="宋体"/>
          <w:b w:val="0"/>
          <w:color w:val="1A1A1A"/>
          <w:sz w:val="21"/>
        </w:rPr>
        <w:t>3. 开源约束解码库，支持材料化学式的硬约束生成。</w:t>
      </w:r>
    </w:p>
    <w:p>
      <w:pPr>
        <w:spacing w:after="80"/>
        <w:ind w:firstLine="420"/>
      </w:pPr>
      <w:r>
        <w:rPr>
          <w:rFonts w:ascii="Times New Roman" w:hAnsi="Times New Roman" w:eastAsia="宋体"/>
          <w:b w:val="0"/>
          <w:color w:val="1A1A1A"/>
          <w:sz w:val="21"/>
        </w:rPr>
        <w:t>4. 约束规则的形式化文档与测试用例。</w:t>
      </w:r>
    </w:p>
    <w:p>
      <w:pPr>
        <w:spacing w:before="320" w:after="120"/>
      </w:pPr>
      <w:r>
        <w:rPr>
          <w:rFonts w:ascii="Times New Roman" w:hAnsi="Times New Roman" w:eastAsia="黑体"/>
          <w:b/>
          <w:color w:val="1B3A52"/>
          <w:sz w:val="30"/>
        </w:rPr>
        <w:t>8 进度安排</w:t>
      </w:r>
    </w:p>
    <w:p>
      <w:pPr>
        <w:spacing w:after="80"/>
        <w:ind w:firstLine="420"/>
      </w:pPr>
      <w:r>
        <w:rPr>
          <w:rFonts w:ascii="Times New Roman" w:hAnsi="Times New Roman" w:eastAsia="宋体"/>
          <w:b/>
          <w:color w:val="1A1A1A"/>
          <w:sz w:val="21"/>
        </w:rPr>
        <w:t>表 3</w:t>
      </w:r>
      <w:r>
        <w:rPr>
          <w:rFonts w:ascii="Times New Roman" w:hAnsi="Times New Roman" w:eastAsia="宋体"/>
          <w:b w:val="0"/>
          <w:color w:val="1A1A1A"/>
          <w:sz w:val="21"/>
        </w:rPr>
        <w:t xml:space="preserve">　十二个月进度安排</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spacing w:before="40" w:after="40" w:line="276" w:lineRule="auto"/>
            </w:pPr>
            <w:r/>
            <w:r>
              <w:rPr>
                <w:rFonts w:ascii="Times New Roman" w:hAnsi="Times New Roman" w:eastAsia="宋体"/>
                <w:b/>
                <w:color w:val="1A1A1A"/>
                <w:sz w:val="18"/>
              </w:rPr>
              <w:t>阶段</w:t>
            </w:r>
          </w:p>
        </w:tc>
        <w:tc>
          <w:tcPr>
            <w:tcW w:type="dxa" w:w="2183"/>
          </w:tcPr>
          <w:p>
            <w:pPr>
              <w:spacing w:before="40" w:after="40" w:line="276" w:lineRule="auto"/>
            </w:pPr>
            <w:r/>
            <w:r>
              <w:rPr>
                <w:rFonts w:ascii="Times New Roman" w:hAnsi="Times New Roman" w:eastAsia="宋体"/>
                <w:b/>
                <w:color w:val="1A1A1A"/>
                <w:sz w:val="18"/>
              </w:rPr>
              <w:t>时间</w:t>
            </w:r>
          </w:p>
        </w:tc>
        <w:tc>
          <w:tcPr>
            <w:tcW w:type="dxa" w:w="2183"/>
          </w:tcPr>
          <w:p>
            <w:pPr>
              <w:spacing w:before="40" w:after="40" w:line="276" w:lineRule="auto"/>
            </w:pPr>
            <w:r/>
            <w:r>
              <w:rPr>
                <w:rFonts w:ascii="Times New Roman" w:hAnsi="Times New Roman" w:eastAsia="宋体"/>
                <w:b/>
                <w:color w:val="1A1A1A"/>
                <w:sz w:val="18"/>
              </w:rPr>
              <w:t>主要工作</w:t>
            </w:r>
          </w:p>
        </w:tc>
        <w:tc>
          <w:tcPr>
            <w:tcW w:type="dxa" w:w="2183"/>
          </w:tcPr>
          <w:p>
            <w:pPr>
              <w:spacing w:before="40" w:after="40" w:line="276" w:lineRule="auto"/>
            </w:pPr>
            <w:r/>
            <w:r>
              <w:rPr>
                <w:rFonts w:ascii="Times New Roman" w:hAnsi="Times New Roman" w:eastAsia="宋体"/>
                <w:b/>
                <w:color w:val="1A1A1A"/>
                <w:sz w:val="18"/>
              </w:rPr>
              <w:t>里程碑与判据</w:t>
            </w:r>
          </w:p>
        </w:tc>
      </w:tr>
      <w:tr>
        <w:tc>
          <w:tcPr>
            <w:tcW w:type="dxa" w:w="2183"/>
          </w:tcPr>
          <w:p>
            <w:pPr>
              <w:spacing w:before="40" w:after="40" w:line="276" w:lineRule="auto"/>
            </w:pPr>
            <w:r/>
            <w:r>
              <w:rPr>
                <w:rFonts w:ascii="Times New Roman" w:hAnsi="Times New Roman" w:eastAsia="宋体"/>
                <w:b w:val="0"/>
                <w:color w:val="1A1A1A"/>
                <w:sz w:val="18"/>
              </w:rPr>
              <w:t>第一阶段</w:t>
            </w:r>
          </w:p>
        </w:tc>
        <w:tc>
          <w:tcPr>
            <w:tcW w:type="dxa" w:w="2183"/>
          </w:tcPr>
          <w:p>
            <w:pPr>
              <w:spacing w:before="40" w:after="40" w:line="276" w:lineRule="auto"/>
            </w:pPr>
            <w:r/>
            <w:r>
              <w:rPr>
                <w:rFonts w:ascii="Times New Roman" w:hAnsi="Times New Roman" w:eastAsia="宋体"/>
                <w:b w:val="0"/>
                <w:color w:val="1A1A1A"/>
                <w:sz w:val="18"/>
              </w:rPr>
              <w:t>第 1—2 月</w:t>
            </w:r>
          </w:p>
        </w:tc>
        <w:tc>
          <w:tcPr>
            <w:tcW w:type="dxa" w:w="2183"/>
          </w:tcPr>
          <w:p>
            <w:pPr>
              <w:spacing w:before="40" w:after="40" w:line="276" w:lineRule="auto"/>
            </w:pPr>
            <w:r/>
            <w:r>
              <w:rPr>
                <w:rFonts w:ascii="Times New Roman" w:hAnsi="Times New Roman" w:eastAsia="宋体"/>
                <w:b w:val="0"/>
                <w:color w:val="1A1A1A"/>
                <w:sz w:val="18"/>
              </w:rPr>
              <w:t>约束规则梳理、价态表构建、自动机设计</w:t>
            </w:r>
          </w:p>
        </w:tc>
        <w:tc>
          <w:tcPr>
            <w:tcW w:type="dxa" w:w="2183"/>
          </w:tcPr>
          <w:p>
            <w:pPr>
              <w:spacing w:before="40" w:after="40" w:line="276" w:lineRule="auto"/>
            </w:pPr>
            <w:r/>
            <w:r>
              <w:rPr>
                <w:rFonts w:ascii="Times New Roman" w:hAnsi="Times New Roman" w:eastAsia="宋体"/>
                <w:b w:val="0"/>
                <w:color w:val="1A1A1A"/>
                <w:sz w:val="18"/>
              </w:rPr>
              <w:t>能对给定化学式正确判定合法性</w:t>
            </w:r>
          </w:p>
        </w:tc>
      </w:tr>
      <w:tr>
        <w:tc>
          <w:tcPr>
            <w:tcW w:type="dxa" w:w="2183"/>
          </w:tcPr>
          <w:p>
            <w:pPr>
              <w:spacing w:before="40" w:after="40" w:line="276" w:lineRule="auto"/>
            </w:pPr>
            <w:r/>
            <w:r>
              <w:rPr>
                <w:rFonts w:ascii="Times New Roman" w:hAnsi="Times New Roman" w:eastAsia="宋体"/>
                <w:b w:val="0"/>
                <w:color w:val="1A1A1A"/>
                <w:sz w:val="18"/>
              </w:rPr>
              <w:t>第二阶段</w:t>
            </w:r>
          </w:p>
        </w:tc>
        <w:tc>
          <w:tcPr>
            <w:tcW w:type="dxa" w:w="2183"/>
          </w:tcPr>
          <w:p>
            <w:pPr>
              <w:spacing w:before="40" w:after="40" w:line="276" w:lineRule="auto"/>
            </w:pPr>
            <w:r/>
            <w:r>
              <w:rPr>
                <w:rFonts w:ascii="Times New Roman" w:hAnsi="Times New Roman" w:eastAsia="宋体"/>
                <w:b w:val="0"/>
                <w:color w:val="1A1A1A"/>
                <w:sz w:val="18"/>
              </w:rPr>
              <w:t>第 3—4 月</w:t>
            </w:r>
          </w:p>
        </w:tc>
        <w:tc>
          <w:tcPr>
            <w:tcW w:type="dxa" w:w="2183"/>
          </w:tcPr>
          <w:p>
            <w:pPr>
              <w:spacing w:before="40" w:after="40" w:line="276" w:lineRule="auto"/>
            </w:pPr>
            <w:r/>
            <w:r>
              <w:rPr>
                <w:rFonts w:ascii="Times New Roman" w:hAnsi="Times New Roman" w:eastAsia="宋体"/>
                <w:b w:val="0"/>
                <w:color w:val="1A1A1A"/>
                <w:sz w:val="18"/>
              </w:rPr>
              <w:t>解码器原型、可达集合实现、精确性验证</w:t>
            </w:r>
          </w:p>
        </w:tc>
        <w:tc>
          <w:tcPr>
            <w:tcW w:type="dxa" w:w="2183"/>
          </w:tcPr>
          <w:p>
            <w:pPr>
              <w:spacing w:before="40" w:after="40" w:line="276" w:lineRule="auto"/>
            </w:pPr>
            <w:r/>
            <w:r>
              <w:rPr>
                <w:rFonts w:ascii="Times New Roman" w:hAnsi="Times New Roman" w:eastAsia="宋体"/>
                <w:b w:val="0"/>
                <w:color w:val="1A1A1A"/>
                <w:sz w:val="18"/>
              </w:rPr>
              <w:t>在固定原型上生成即 100% 合法</w:t>
            </w:r>
          </w:p>
        </w:tc>
      </w:tr>
      <w:tr>
        <w:tc>
          <w:tcPr>
            <w:tcW w:type="dxa" w:w="2183"/>
          </w:tcPr>
          <w:p>
            <w:pPr>
              <w:spacing w:before="40" w:after="40" w:line="276" w:lineRule="auto"/>
            </w:pPr>
            <w:r/>
            <w:r>
              <w:rPr>
                <w:rFonts w:ascii="Times New Roman" w:hAnsi="Times New Roman" w:eastAsia="宋体"/>
                <w:b w:val="0"/>
                <w:color w:val="1A1A1A"/>
                <w:sz w:val="18"/>
              </w:rPr>
              <w:t>第三阶段</w:t>
            </w:r>
          </w:p>
        </w:tc>
        <w:tc>
          <w:tcPr>
            <w:tcW w:type="dxa" w:w="2183"/>
          </w:tcPr>
          <w:p>
            <w:pPr>
              <w:spacing w:before="40" w:after="40" w:line="276" w:lineRule="auto"/>
            </w:pPr>
            <w:r/>
            <w:r>
              <w:rPr>
                <w:rFonts w:ascii="Times New Roman" w:hAnsi="Times New Roman" w:eastAsia="宋体"/>
                <w:b w:val="0"/>
                <w:color w:val="1A1A1A"/>
                <w:sz w:val="18"/>
              </w:rPr>
              <w:t>第 5—6 月</w:t>
            </w:r>
          </w:p>
        </w:tc>
        <w:tc>
          <w:tcPr>
            <w:tcW w:type="dxa" w:w="2183"/>
          </w:tcPr>
          <w:p>
            <w:pPr>
              <w:spacing w:before="40" w:after="40" w:line="276" w:lineRule="auto"/>
            </w:pPr>
            <w:r/>
            <w:r>
              <w:rPr>
                <w:rFonts w:ascii="Times New Roman" w:hAnsi="Times New Roman" w:eastAsia="宋体"/>
                <w:b w:val="0"/>
                <w:color w:val="1A1A1A"/>
                <w:sz w:val="18"/>
              </w:rPr>
              <w:t>分布分析、效率优化、与模型集成</w:t>
            </w:r>
          </w:p>
        </w:tc>
        <w:tc>
          <w:tcPr>
            <w:tcW w:type="dxa" w:w="2183"/>
          </w:tcPr>
          <w:p>
            <w:pPr>
              <w:spacing w:before="40" w:after="40" w:line="276" w:lineRule="auto"/>
            </w:pPr>
            <w:r/>
            <w:r>
              <w:rPr>
                <w:rFonts w:ascii="Times New Roman" w:hAnsi="Times New Roman" w:eastAsia="宋体"/>
                <w:b w:val="0"/>
                <w:color w:val="1A1A1A"/>
                <w:sz w:val="18"/>
              </w:rPr>
              <w:t>三种剪枝情形的偏置可测量</w:t>
            </w:r>
          </w:p>
        </w:tc>
      </w:tr>
      <w:tr>
        <w:tc>
          <w:tcPr>
            <w:tcW w:type="dxa" w:w="2183"/>
          </w:tcPr>
          <w:p>
            <w:pPr>
              <w:spacing w:before="40" w:after="40" w:line="276" w:lineRule="auto"/>
            </w:pPr>
            <w:r/>
            <w:r>
              <w:rPr>
                <w:rFonts w:ascii="Times New Roman" w:hAnsi="Times New Roman" w:eastAsia="宋体"/>
                <w:b w:val="0"/>
                <w:color w:val="1A1A1A"/>
                <w:sz w:val="18"/>
              </w:rPr>
              <w:t>第四阶段</w:t>
            </w:r>
          </w:p>
        </w:tc>
        <w:tc>
          <w:tcPr>
            <w:tcW w:type="dxa" w:w="2183"/>
          </w:tcPr>
          <w:p>
            <w:pPr>
              <w:spacing w:before="40" w:after="40" w:line="276" w:lineRule="auto"/>
            </w:pPr>
            <w:r/>
            <w:r>
              <w:rPr>
                <w:rFonts w:ascii="Times New Roman" w:hAnsi="Times New Roman" w:eastAsia="宋体"/>
                <w:b w:val="0"/>
                <w:color w:val="1A1A1A"/>
                <w:sz w:val="18"/>
              </w:rPr>
              <w:t>第 7—8 月</w:t>
            </w:r>
          </w:p>
        </w:tc>
        <w:tc>
          <w:tcPr>
            <w:tcW w:type="dxa" w:w="2183"/>
          </w:tcPr>
          <w:p>
            <w:pPr>
              <w:spacing w:before="40" w:after="40" w:line="276" w:lineRule="auto"/>
            </w:pPr>
            <w:r/>
            <w:r>
              <w:rPr>
                <w:rFonts w:ascii="Times New Roman" w:hAnsi="Times New Roman" w:eastAsia="宋体"/>
                <w:b w:val="0"/>
                <w:color w:val="1A1A1A"/>
                <w:sz w:val="18"/>
              </w:rPr>
              <w:t>双体系评测、消融</w:t>
            </w:r>
          </w:p>
        </w:tc>
        <w:tc>
          <w:tcPr>
            <w:tcW w:type="dxa" w:w="2183"/>
          </w:tcPr>
          <w:p>
            <w:pPr>
              <w:spacing w:before="40" w:after="40" w:line="276" w:lineRule="auto"/>
            </w:pPr>
            <w:r/>
            <w:r>
              <w:rPr>
                <w:rFonts w:ascii="Times New Roman" w:hAnsi="Times New Roman" w:eastAsia="宋体"/>
                <w:b w:val="0"/>
                <w:color w:val="1A1A1A"/>
                <w:sz w:val="18"/>
              </w:rPr>
              <w:t>相对 M4 有稳定增益，且 M5 明显弱于 M7</w:t>
            </w:r>
          </w:p>
        </w:tc>
      </w:tr>
      <w:tr>
        <w:tc>
          <w:tcPr>
            <w:tcW w:type="dxa" w:w="2183"/>
          </w:tcPr>
          <w:p>
            <w:pPr>
              <w:spacing w:before="40" w:after="40" w:line="276" w:lineRule="auto"/>
            </w:pPr>
            <w:r/>
            <w:r>
              <w:rPr>
                <w:rFonts w:ascii="Times New Roman" w:hAnsi="Times New Roman" w:eastAsia="宋体"/>
                <w:b w:val="0"/>
                <w:color w:val="1A1A1A"/>
                <w:sz w:val="18"/>
              </w:rPr>
              <w:t>第五阶段</w:t>
            </w:r>
          </w:p>
        </w:tc>
        <w:tc>
          <w:tcPr>
            <w:tcW w:type="dxa" w:w="2183"/>
          </w:tcPr>
          <w:p>
            <w:pPr>
              <w:spacing w:before="40" w:after="40" w:line="276" w:lineRule="auto"/>
            </w:pPr>
            <w:r/>
            <w:r>
              <w:rPr>
                <w:rFonts w:ascii="Times New Roman" w:hAnsi="Times New Roman" w:eastAsia="宋体"/>
                <w:b w:val="0"/>
                <w:color w:val="1A1A1A"/>
                <w:sz w:val="18"/>
              </w:rPr>
              <w:t>第 9—10 月</w:t>
            </w:r>
          </w:p>
        </w:tc>
        <w:tc>
          <w:tcPr>
            <w:tcW w:type="dxa" w:w="2183"/>
          </w:tcPr>
          <w:p>
            <w:pPr>
              <w:spacing w:before="40" w:after="40" w:line="276" w:lineRule="auto"/>
            </w:pPr>
            <w:r/>
            <w:r>
              <w:rPr>
                <w:rFonts w:ascii="Times New Roman" w:hAnsi="Times New Roman" w:eastAsia="宋体"/>
                <w:b w:val="0"/>
                <w:color w:val="1A1A1A"/>
                <w:sz w:val="18"/>
              </w:rPr>
              <w:t>论文撰写、代码整理</w:t>
            </w:r>
          </w:p>
        </w:tc>
        <w:tc>
          <w:tcPr>
            <w:tcW w:type="dxa" w:w="2183"/>
          </w:tcPr>
          <w:p>
            <w:pPr>
              <w:spacing w:before="40" w:after="40" w:line="276" w:lineRule="auto"/>
            </w:pPr>
            <w:r/>
            <w:r>
              <w:rPr>
                <w:rFonts w:ascii="Times New Roman" w:hAnsi="Times New Roman" w:eastAsia="宋体"/>
                <w:b w:val="0"/>
                <w:color w:val="1A1A1A"/>
                <w:sz w:val="18"/>
              </w:rPr>
              <w:t>初稿完成</w:t>
            </w:r>
          </w:p>
        </w:tc>
      </w:tr>
      <w:tr>
        <w:tc>
          <w:tcPr>
            <w:tcW w:type="dxa" w:w="2183"/>
          </w:tcPr>
          <w:p>
            <w:pPr>
              <w:spacing w:before="40" w:after="40" w:line="276" w:lineRule="auto"/>
            </w:pPr>
            <w:r/>
            <w:r>
              <w:rPr>
                <w:rFonts w:ascii="Times New Roman" w:hAnsi="Times New Roman" w:eastAsia="宋体"/>
                <w:b w:val="0"/>
                <w:color w:val="1A1A1A"/>
                <w:sz w:val="18"/>
              </w:rPr>
              <w:t>第六阶段</w:t>
            </w:r>
          </w:p>
        </w:tc>
        <w:tc>
          <w:tcPr>
            <w:tcW w:type="dxa" w:w="2183"/>
          </w:tcPr>
          <w:p>
            <w:pPr>
              <w:spacing w:before="40" w:after="40" w:line="276" w:lineRule="auto"/>
            </w:pPr>
            <w:r/>
            <w:r>
              <w:rPr>
                <w:rFonts w:ascii="Times New Roman" w:hAnsi="Times New Roman" w:eastAsia="宋体"/>
                <w:b w:val="0"/>
                <w:color w:val="1A1A1A"/>
                <w:sz w:val="18"/>
              </w:rPr>
              <w:t>第 11—12 月</w:t>
            </w:r>
          </w:p>
        </w:tc>
        <w:tc>
          <w:tcPr>
            <w:tcW w:type="dxa" w:w="2183"/>
          </w:tcPr>
          <w:p>
            <w:pPr>
              <w:spacing w:before="40" w:after="40" w:line="276" w:lineRule="auto"/>
            </w:pPr>
            <w:r/>
            <w:r>
              <w:rPr>
                <w:rFonts w:ascii="Times New Roman" w:hAnsi="Times New Roman" w:eastAsia="宋体"/>
                <w:b w:val="0"/>
                <w:color w:val="1A1A1A"/>
                <w:sz w:val="18"/>
              </w:rPr>
              <w:t>投稿、修改、答辩</w:t>
            </w:r>
          </w:p>
        </w:tc>
        <w:tc>
          <w:tcPr>
            <w:tcW w:type="dxa" w:w="2183"/>
          </w:tcPr>
          <w:p>
            <w:pPr>
              <w:spacing w:before="40" w:after="40" w:line="276" w:lineRule="auto"/>
            </w:pPr>
            <w:r/>
            <w:r>
              <w:rPr>
                <w:rFonts w:ascii="Times New Roman" w:hAnsi="Times New Roman" w:eastAsia="宋体"/>
                <w:b w:val="0"/>
                <w:color w:val="1A1A1A"/>
                <w:sz w:val="18"/>
              </w:rPr>
              <w:t>论文投出，学位论文通过</w:t>
            </w:r>
          </w:p>
        </w:tc>
      </w:tr>
    </w:tbl>
    <w:p/>
    <w:p>
      <w:pPr>
        <w:spacing w:after="80"/>
        <w:ind w:firstLine="420"/>
      </w:pPr>
      <w:r>
        <w:rPr>
          <w:rFonts w:ascii="Times New Roman" w:hAnsi="Times New Roman" w:eastAsia="宋体"/>
          <w:b/>
          <w:color w:val="1A1A1A"/>
          <w:sz w:val="21"/>
        </w:rPr>
        <w:t>阶段判据。</w:t>
      </w:r>
      <w:r>
        <w:rPr>
          <w:rFonts w:ascii="Times New Roman" w:hAnsi="Times New Roman" w:eastAsia="宋体"/>
          <w:b w:val="0"/>
          <w:color w:val="1A1A1A"/>
          <w:sz w:val="21"/>
        </w:rPr>
        <w:t xml:space="preserve"> 第 2 月末检查：如果约束规则本身无法覆盖主要体系（例如价态表缺失严重、或大部分目标成分依赖混合价），方案要收缩到单体系，或把「保证」降级为「引导」。这个判据必须提前设定。</w:t>
      </w:r>
    </w:p>
    <w:p>
      <w:pPr>
        <w:spacing w:before="320" w:after="120"/>
      </w:pPr>
      <w:r>
        <w:rPr>
          <w:rFonts w:ascii="Times New Roman" w:hAnsi="Times New Roman" w:eastAsia="黑体"/>
          <w:b/>
          <w:color w:val="1B3A52"/>
          <w:sz w:val="30"/>
        </w:rPr>
        <w:t>9 研究基础与条件</w:t>
      </w:r>
    </w:p>
    <w:p>
      <w:pPr>
        <w:spacing w:after="80"/>
        <w:ind w:firstLine="420"/>
      </w:pPr>
      <w:r>
        <w:rPr>
          <w:rFonts w:ascii="Times New Roman" w:hAnsi="Times New Roman" w:eastAsia="宋体"/>
          <w:b w:val="0"/>
          <w:color w:val="1A1A1A"/>
          <w:sz w:val="21"/>
        </w:rPr>
        <w:t>本人为计算机科学与技术专业硕士研究生，已修读机器学习、深度学习、自然语言处理等课程，具备 Python 与 PyTorch 编程能力，熟悉 transformers 生态与主流推理框架，能够实现自定义 logits processor 与约束解码逻辑。</w:t>
      </w:r>
    </w:p>
    <w:p>
      <w:pPr>
        <w:spacing w:after="80"/>
        <w:ind w:firstLine="420"/>
      </w:pPr>
      <w:r>
        <w:rPr>
          <w:rFonts w:ascii="Times New Roman" w:hAnsi="Times New Roman" w:eastAsia="宋体"/>
          <w:b w:val="0"/>
          <w:color w:val="1A1A1A"/>
          <w:sz w:val="21"/>
        </w:rPr>
        <w:t>算力条件为单张 RTX 5090（32 GB 显存），足以支撑 8B 模型的推理与评测；若需微调，QLoRA 也在能力范围内 [16]。数据方面，Elpasolite 与 Materials Project 均公开可获取。材料侧不要求真实合成与表征，约束规则的正确性通过公开数据库回归测试来保证。</w:t>
      </w:r>
    </w:p>
    <w:p>
      <w:pPr>
        <w:spacing w:after="80"/>
        <w:ind w:firstLine="420"/>
      </w:pPr>
      <w:r>
        <w:rPr>
          <w:rFonts w:ascii="Times New Roman" w:hAnsi="Times New Roman" w:eastAsia="宋体"/>
          <w:b w:val="0"/>
          <w:color w:val="1A1A1A"/>
          <w:sz w:val="21"/>
        </w:rPr>
        <w:t>尚未完成的准备工作包括：价态表的构建与核对、Materials Project 钙钛矿子集的筛选、以及针对「全局约束解码」的定向查新（重点检索 constrained decoding、grammar-constrained generation 与 charge-neutrality-aware generation 三条线索）。</w:t>
      </w:r>
    </w:p>
    <w:p>
      <w:pPr>
        <w:spacing w:before="320" w:after="120"/>
      </w:pPr>
      <w:r>
        <w:rPr>
          <w:rFonts w:ascii="Times New Roman" w:hAnsi="Times New Roman" w:eastAsia="黑体"/>
          <w:b/>
          <w:color w:val="1B3A52"/>
          <w:sz w:val="30"/>
        </w:rPr>
        <w:t>10 可行性分析</w:t>
      </w:r>
    </w:p>
    <w:p>
      <w:pPr>
        <w:spacing w:after="80"/>
        <w:ind w:firstLine="420"/>
      </w:pPr>
      <w:r>
        <w:rPr>
          <w:rFonts w:ascii="Times New Roman" w:hAnsi="Times New Roman" w:eastAsia="宋体"/>
          <w:b/>
          <w:color w:val="1A1A1A"/>
          <w:sz w:val="21"/>
        </w:rPr>
        <w:t>理论可行性。</w:t>
      </w:r>
      <w:r>
        <w:rPr>
          <w:rFonts w:ascii="Times New Roman" w:hAnsi="Times New Roman" w:eastAsia="宋体"/>
          <w:b w:val="0"/>
          <w:color w:val="1A1A1A"/>
          <w:sz w:val="21"/>
        </w:rPr>
        <w:t xml:space="preserve"> 「可达电荷集合」的思想与自动机上的可达性分析同源，数学上是标准做法，只是此前没有被用于材料生成。</w:t>
      </w:r>
    </w:p>
    <w:p>
      <w:pPr>
        <w:spacing w:after="80"/>
        <w:ind w:firstLine="420"/>
      </w:pPr>
      <w:r>
        <w:rPr>
          <w:rFonts w:ascii="Times New Roman" w:hAnsi="Times New Roman" w:eastAsia="宋体"/>
          <w:b/>
          <w:color w:val="1A1A1A"/>
          <w:sz w:val="21"/>
        </w:rPr>
        <w:t>工程可行性。</w:t>
      </w:r>
      <w:r>
        <w:rPr>
          <w:rFonts w:ascii="Times New Roman" w:hAnsi="Times New Roman" w:eastAsia="宋体"/>
          <w:b w:val="0"/>
          <w:color w:val="1A1A1A"/>
          <w:sz w:val="21"/>
        </w:rPr>
        <w:t xml:space="preserve"> 解码器可以基于 transformers 的 logits processor 接口实现，与现有推理框架兼容。价态表可以整理自 Materials Project 的氧化态标注与 ICSD 的统计结果，并以 pymatgen 的价态分析工具作为交叉校验。</w:t>
      </w:r>
    </w:p>
    <w:p>
      <w:pPr>
        <w:spacing w:after="80"/>
        <w:ind w:firstLine="420"/>
      </w:pPr>
      <w:r>
        <w:rPr>
          <w:rFonts w:ascii="Times New Roman" w:hAnsi="Times New Roman" w:eastAsia="宋体"/>
          <w:b/>
          <w:color w:val="1A1A1A"/>
          <w:sz w:val="21"/>
        </w:rPr>
        <w:t>算力可行性。</w:t>
      </w:r>
      <w:r>
        <w:rPr>
          <w:rFonts w:ascii="Times New Roman" w:hAnsi="Times New Roman" w:eastAsia="宋体"/>
          <w:b w:val="0"/>
          <w:color w:val="1A1A1A"/>
          <w:sz w:val="21"/>
        </w:rPr>
        <w:t xml:space="preserve"> 约束解码只增加推理开销，不增加训练开销。单卡 5090 足够做 8B 模型的推理与评测。</w:t>
      </w:r>
    </w:p>
    <w:p>
      <w:pPr>
        <w:spacing w:after="80"/>
        <w:ind w:firstLine="420"/>
      </w:pPr>
      <w:r>
        <w:rPr>
          <w:rFonts w:ascii="Times New Roman" w:hAnsi="Times New Roman" w:eastAsia="宋体"/>
          <w:b/>
          <w:color w:val="1A1A1A"/>
          <w:sz w:val="21"/>
        </w:rPr>
        <w:t>数据可行性。</w:t>
      </w:r>
      <w:r>
        <w:rPr>
          <w:rFonts w:ascii="Times New Roman" w:hAnsi="Times New Roman" w:eastAsia="宋体"/>
          <w:b w:val="0"/>
          <w:color w:val="1A1A1A"/>
          <w:sz w:val="21"/>
        </w:rPr>
        <w:t xml:space="preserve"> Elpasolite 与 Materials Project 都是公开数据。</w:t>
      </w:r>
    </w:p>
    <w:p>
      <w:pPr>
        <w:spacing w:after="80"/>
        <w:ind w:firstLine="420"/>
      </w:pPr>
      <w:r>
        <w:rPr>
          <w:rFonts w:ascii="Times New Roman" w:hAnsi="Times New Roman" w:eastAsia="宋体"/>
          <w:b/>
          <w:color w:val="1A1A1A"/>
          <w:sz w:val="21"/>
        </w:rPr>
        <w:t>主要不确定性。</w:t>
      </w:r>
      <w:r>
        <w:rPr>
          <w:rFonts w:ascii="Times New Roman" w:hAnsi="Times New Roman" w:eastAsia="宋体"/>
          <w:b w:val="0"/>
          <w:color w:val="1A1A1A"/>
          <w:sz w:val="21"/>
        </w:rPr>
        <w:t xml:space="preserve"> 最大的风险不是算法，而是约束规则本身是否正确。价态模型是简化，某些体系的价态行为复杂（混合价、非整比化合物），简化会带来误判。这一点必须在论文中明确边界，并用数据库回归测试量化误判率。</w:t>
      </w:r>
    </w:p>
    <w:p>
      <w:pPr>
        <w:spacing w:before="320" w:after="120"/>
      </w:pPr>
      <w:r>
        <w:rPr>
          <w:rFonts w:ascii="Times New Roman" w:hAnsi="Times New Roman" w:eastAsia="黑体"/>
          <w:b/>
          <w:color w:val="1B3A52"/>
          <w:sz w:val="30"/>
        </w:rPr>
        <w:t>11 风险、退出条件与应对</w:t>
      </w:r>
    </w:p>
    <w:p>
      <w:pPr>
        <w:spacing w:after="80"/>
        <w:ind w:firstLine="420"/>
      </w:pPr>
      <w:r>
        <w:rPr>
          <w:rFonts w:ascii="Times New Roman" w:hAnsi="Times New Roman" w:eastAsia="宋体"/>
          <w:b/>
          <w:color w:val="1A1A1A"/>
          <w:sz w:val="21"/>
        </w:rPr>
        <w:t>表 4</w:t>
      </w:r>
      <w:r>
        <w:rPr>
          <w:rFonts w:ascii="Times New Roman" w:hAnsi="Times New Roman" w:eastAsia="宋体"/>
          <w:b w:val="0"/>
          <w:color w:val="1A1A1A"/>
          <w:sz w:val="21"/>
        </w:rPr>
        <w:t xml:space="preserve">　风险与应对</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风险</w:t>
            </w:r>
          </w:p>
        </w:tc>
        <w:tc>
          <w:tcPr>
            <w:tcW w:type="dxa" w:w="2911"/>
          </w:tcPr>
          <w:p>
            <w:pPr>
              <w:spacing w:before="40" w:after="40" w:line="276" w:lineRule="auto"/>
            </w:pPr>
            <w:r/>
            <w:r>
              <w:rPr>
                <w:rFonts w:ascii="Times New Roman" w:hAnsi="Times New Roman" w:eastAsia="宋体"/>
                <w:b/>
                <w:color w:val="1A1A1A"/>
                <w:sz w:val="18"/>
              </w:rPr>
              <w:t>表现</w:t>
            </w:r>
          </w:p>
        </w:tc>
        <w:tc>
          <w:tcPr>
            <w:tcW w:type="dxa" w:w="2911"/>
          </w:tcPr>
          <w:p>
            <w:pPr>
              <w:spacing w:before="40" w:after="40" w:line="276" w:lineRule="auto"/>
            </w:pPr>
            <w:r/>
            <w:r>
              <w:rPr>
                <w:rFonts w:ascii="Times New Roman" w:hAnsi="Times New Roman" w:eastAsia="宋体"/>
                <w:b/>
                <w:color w:val="1A1A1A"/>
                <w:sz w:val="18"/>
              </w:rPr>
              <w:t>应对</w:t>
            </w:r>
          </w:p>
        </w:tc>
      </w:tr>
      <w:tr>
        <w:tc>
          <w:tcPr>
            <w:tcW w:type="dxa" w:w="2911"/>
          </w:tcPr>
          <w:p>
            <w:pPr>
              <w:spacing w:before="40" w:after="40" w:line="276" w:lineRule="auto"/>
            </w:pPr>
            <w:r/>
            <w:r>
              <w:rPr>
                <w:rFonts w:ascii="Times New Roman" w:hAnsi="Times New Roman" w:eastAsia="宋体"/>
                <w:b w:val="0"/>
                <w:color w:val="1A1A1A"/>
                <w:sz w:val="18"/>
              </w:rPr>
              <w:t>约束编码错误</w:t>
            </w:r>
          </w:p>
        </w:tc>
        <w:tc>
          <w:tcPr>
            <w:tcW w:type="dxa" w:w="2911"/>
          </w:tcPr>
          <w:p>
            <w:pPr>
              <w:spacing w:before="40" w:after="40" w:line="276" w:lineRule="auto"/>
            </w:pPr>
            <w:r/>
            <w:r>
              <w:rPr>
                <w:rFonts w:ascii="Times New Roman" w:hAnsi="Times New Roman" w:eastAsia="宋体"/>
                <w:b w:val="0"/>
                <w:color w:val="1A1A1A"/>
                <w:sz w:val="18"/>
              </w:rPr>
              <w:t>生成的「合法」成分实际不合法</w:t>
            </w:r>
          </w:p>
        </w:tc>
        <w:tc>
          <w:tcPr>
            <w:tcW w:type="dxa" w:w="2911"/>
          </w:tcPr>
          <w:p>
            <w:pPr>
              <w:spacing w:before="40" w:after="40" w:line="276" w:lineRule="auto"/>
            </w:pPr>
            <w:r/>
            <w:r>
              <w:rPr>
                <w:rFonts w:ascii="Times New Roman" w:hAnsi="Times New Roman" w:eastAsia="宋体"/>
                <w:b w:val="0"/>
                <w:color w:val="1A1A1A"/>
                <w:sz w:val="18"/>
              </w:rPr>
              <w:t>用已知数据库做回归测试；交叉验证检查器</w:t>
            </w:r>
          </w:p>
        </w:tc>
      </w:tr>
      <w:tr>
        <w:tc>
          <w:tcPr>
            <w:tcW w:type="dxa" w:w="2911"/>
          </w:tcPr>
          <w:p>
            <w:pPr>
              <w:spacing w:before="40" w:after="40" w:line="276" w:lineRule="auto"/>
            </w:pPr>
            <w:r/>
            <w:r>
              <w:rPr>
                <w:rFonts w:ascii="Times New Roman" w:hAnsi="Times New Roman" w:eastAsia="宋体"/>
                <w:b w:val="0"/>
                <w:color w:val="1A1A1A"/>
                <w:sz w:val="18"/>
              </w:rPr>
              <w:t>约束过严</w:t>
            </w:r>
          </w:p>
        </w:tc>
        <w:tc>
          <w:tcPr>
            <w:tcW w:type="dxa" w:w="2911"/>
          </w:tcPr>
          <w:p>
            <w:pPr>
              <w:spacing w:before="40" w:after="40" w:line="276" w:lineRule="auto"/>
            </w:pPr>
            <w:r/>
            <w:r>
              <w:rPr>
                <w:rFonts w:ascii="Times New Roman" w:hAnsi="Times New Roman" w:eastAsia="宋体"/>
                <w:b w:val="0"/>
                <w:color w:val="1A1A1A"/>
                <w:sz w:val="18"/>
              </w:rPr>
              <w:t>可行域太小，覆盖率反而下降</w:t>
            </w:r>
          </w:p>
        </w:tc>
        <w:tc>
          <w:tcPr>
            <w:tcW w:type="dxa" w:w="2911"/>
          </w:tcPr>
          <w:p>
            <w:pPr>
              <w:spacing w:before="40" w:after="40" w:line="276" w:lineRule="auto"/>
            </w:pPr>
            <w:r/>
            <w:r>
              <w:rPr>
                <w:rFonts w:ascii="Times New Roman" w:hAnsi="Times New Roman" w:eastAsia="宋体"/>
                <w:b w:val="0"/>
                <w:color w:val="1A1A1A"/>
                <w:sz w:val="18"/>
              </w:rPr>
              <w:t>分层约束：先保证电荷，再逐步加半径比等</w:t>
            </w:r>
          </w:p>
        </w:tc>
      </w:tr>
      <w:tr>
        <w:tc>
          <w:tcPr>
            <w:tcW w:type="dxa" w:w="2911"/>
          </w:tcPr>
          <w:p>
            <w:pPr>
              <w:spacing w:before="40" w:after="40" w:line="276" w:lineRule="auto"/>
            </w:pPr>
            <w:r/>
            <w:r>
              <w:rPr>
                <w:rFonts w:ascii="Times New Roman" w:hAnsi="Times New Roman" w:eastAsia="宋体"/>
                <w:b w:val="0"/>
                <w:color w:val="1A1A1A"/>
                <w:sz w:val="18"/>
              </w:rPr>
              <w:t>集合运算慢</w:t>
            </w:r>
          </w:p>
        </w:tc>
        <w:tc>
          <w:tcPr>
            <w:tcW w:type="dxa" w:w="2911"/>
          </w:tcPr>
          <w:p>
            <w:pPr>
              <w:spacing w:before="40" w:after="40" w:line="276" w:lineRule="auto"/>
            </w:pPr>
            <w:r/>
            <w:r>
              <w:rPr>
                <w:rFonts w:ascii="Times New Roman" w:hAnsi="Times New Roman" w:eastAsia="宋体"/>
                <w:b w:val="0"/>
                <w:color w:val="1A1A1A"/>
                <w:sz w:val="18"/>
              </w:rPr>
              <w:t>解码速度下降一个数量级</w:t>
            </w:r>
          </w:p>
        </w:tc>
        <w:tc>
          <w:tcPr>
            <w:tcW w:type="dxa" w:w="2911"/>
          </w:tcPr>
          <w:p>
            <w:pPr>
              <w:spacing w:before="40" w:after="40" w:line="276" w:lineRule="auto"/>
            </w:pPr>
            <w:r/>
            <w:r>
              <w:rPr>
                <w:rFonts w:ascii="Times New Roman" w:hAnsi="Times New Roman" w:eastAsia="宋体"/>
                <w:b w:val="0"/>
                <w:color w:val="1A1A1A"/>
                <w:sz w:val="18"/>
              </w:rPr>
              <w:t>位图表示、预计算转移表、缓存</w:t>
            </w:r>
          </w:p>
        </w:tc>
      </w:tr>
      <w:tr>
        <w:tc>
          <w:tcPr>
            <w:tcW w:type="dxa" w:w="2911"/>
          </w:tcPr>
          <w:p>
            <w:pPr>
              <w:spacing w:before="40" w:after="40" w:line="276" w:lineRule="auto"/>
            </w:pPr>
            <w:r/>
            <w:r>
              <w:rPr>
                <w:rFonts w:ascii="Times New Roman" w:hAnsi="Times New Roman" w:eastAsia="宋体"/>
                <w:b w:val="0"/>
                <w:color w:val="1A1A1A"/>
                <w:sz w:val="18"/>
              </w:rPr>
              <w:t>与既有工作撞车</w:t>
            </w:r>
          </w:p>
        </w:tc>
        <w:tc>
          <w:tcPr>
            <w:tcW w:type="dxa" w:w="2911"/>
          </w:tcPr>
          <w:p>
            <w:pPr>
              <w:spacing w:before="40" w:after="40" w:line="276" w:lineRule="auto"/>
            </w:pPr>
            <w:r/>
            <w:r>
              <w:rPr>
                <w:rFonts w:ascii="Times New Roman" w:hAnsi="Times New Roman" w:eastAsia="宋体"/>
                <w:b w:val="0"/>
                <w:color w:val="1A1A1A"/>
                <w:sz w:val="18"/>
              </w:rPr>
              <w:t>已有格式约束工作被认为覆盖了本课题</w:t>
            </w:r>
          </w:p>
        </w:tc>
        <w:tc>
          <w:tcPr>
            <w:tcW w:type="dxa" w:w="2911"/>
          </w:tcPr>
          <w:p>
            <w:pPr>
              <w:spacing w:before="40" w:after="40" w:line="276" w:lineRule="auto"/>
            </w:pPr>
            <w:r/>
            <w:r>
              <w:rPr>
                <w:rFonts w:ascii="Times New Roman" w:hAnsi="Times New Roman" w:eastAsia="宋体"/>
                <w:b w:val="0"/>
                <w:color w:val="1A1A1A"/>
                <w:sz w:val="18"/>
              </w:rPr>
              <w:t>用 M5（区间剪枝）对照隔离「集合 vs 区间」的增量</w:t>
            </w:r>
          </w:p>
        </w:tc>
      </w:tr>
      <w:tr>
        <w:tc>
          <w:tcPr>
            <w:tcW w:type="dxa" w:w="2911"/>
          </w:tcPr>
          <w:p>
            <w:pPr>
              <w:spacing w:before="40" w:after="40" w:line="276" w:lineRule="auto"/>
            </w:pPr>
            <w:r/>
            <w:r>
              <w:rPr>
                <w:rFonts w:ascii="Times New Roman" w:hAnsi="Times New Roman" w:eastAsia="宋体"/>
                <w:b w:val="0"/>
                <w:color w:val="1A1A1A"/>
                <w:sz w:val="18"/>
              </w:rPr>
              <w:t>价态简化失效</w:t>
            </w:r>
          </w:p>
        </w:tc>
        <w:tc>
          <w:tcPr>
            <w:tcW w:type="dxa" w:w="2911"/>
          </w:tcPr>
          <w:p>
            <w:pPr>
              <w:spacing w:before="40" w:after="40" w:line="276" w:lineRule="auto"/>
            </w:pPr>
            <w:r/>
            <w:r>
              <w:rPr>
                <w:rFonts w:ascii="Times New Roman" w:hAnsi="Times New Roman" w:eastAsia="宋体"/>
                <w:b w:val="0"/>
                <w:color w:val="1A1A1A"/>
                <w:sz w:val="18"/>
              </w:rPr>
              <w:t>混合价体系误判</w:t>
            </w:r>
          </w:p>
        </w:tc>
        <w:tc>
          <w:tcPr>
            <w:tcW w:type="dxa" w:w="2911"/>
          </w:tcPr>
          <w:p>
            <w:pPr>
              <w:spacing w:before="40" w:after="40" w:line="276" w:lineRule="auto"/>
            </w:pPr>
            <w:r/>
            <w:r>
              <w:rPr>
                <w:rFonts w:ascii="Times New Roman" w:hAnsi="Times New Roman" w:eastAsia="宋体"/>
                <w:b w:val="0"/>
                <w:color w:val="1A1A1A"/>
                <w:sz w:val="18"/>
              </w:rPr>
              <w:t>限定体系范围，在局限性中说明，并报告误判率</w:t>
            </w:r>
          </w:p>
        </w:tc>
      </w:tr>
      <w:tr>
        <w:tc>
          <w:tcPr>
            <w:tcW w:type="dxa" w:w="2911"/>
          </w:tcPr>
          <w:p>
            <w:pPr>
              <w:spacing w:before="40" w:after="40" w:line="276" w:lineRule="auto"/>
            </w:pPr>
            <w:r/>
            <w:r>
              <w:rPr>
                <w:rFonts w:ascii="Times New Roman" w:hAnsi="Times New Roman" w:eastAsia="宋体"/>
                <w:b w:val="0"/>
                <w:color w:val="1A1A1A"/>
                <w:sz w:val="18"/>
              </w:rPr>
              <w:t>多样性退化</w:t>
            </w:r>
          </w:p>
        </w:tc>
        <w:tc>
          <w:tcPr>
            <w:tcW w:type="dxa" w:w="2911"/>
          </w:tcPr>
          <w:p>
            <w:pPr>
              <w:spacing w:before="40" w:after="40" w:line="276" w:lineRule="auto"/>
            </w:pPr>
            <w:r/>
            <w:r>
              <w:rPr>
                <w:rFonts w:ascii="Times New Roman" w:hAnsi="Times New Roman" w:eastAsia="宋体"/>
                <w:b w:val="0"/>
                <w:color w:val="1A1A1A"/>
                <w:sz w:val="18"/>
              </w:rPr>
              <w:t>只生成少数安全成分</w:t>
            </w:r>
          </w:p>
        </w:tc>
        <w:tc>
          <w:tcPr>
            <w:tcW w:type="dxa" w:w="2911"/>
          </w:tcPr>
          <w:p>
            <w:pPr>
              <w:spacing w:before="40" w:after="40" w:line="276" w:lineRule="auto"/>
            </w:pPr>
            <w:r/>
            <w:r>
              <w:rPr>
                <w:rFonts w:ascii="Times New Roman" w:hAnsi="Times New Roman" w:eastAsia="宋体"/>
                <w:b w:val="0"/>
                <w:color w:val="1A1A1A"/>
                <w:sz w:val="18"/>
              </w:rPr>
              <w:t>报告多样性指标，必要时引入温度调节或熵正则</w:t>
            </w:r>
          </w:p>
        </w:tc>
      </w:tr>
      <w:tr>
        <w:tc>
          <w:tcPr>
            <w:tcW w:type="dxa" w:w="2911"/>
          </w:tcPr>
          <w:p>
            <w:pPr>
              <w:spacing w:before="40" w:after="40" w:line="276" w:lineRule="auto"/>
            </w:pPr>
            <w:r/>
            <w:r>
              <w:rPr>
                <w:rFonts w:ascii="Times New Roman" w:hAnsi="Times New Roman" w:eastAsia="宋体"/>
                <w:b w:val="0"/>
                <w:color w:val="1A1A1A"/>
                <w:sz w:val="18"/>
              </w:rPr>
              <w:t>结论超出证据</w:t>
            </w:r>
          </w:p>
        </w:tc>
        <w:tc>
          <w:tcPr>
            <w:tcW w:type="dxa" w:w="2911"/>
          </w:tcPr>
          <w:p>
            <w:pPr>
              <w:spacing w:before="40" w:after="40" w:line="276" w:lineRule="auto"/>
            </w:pPr>
            <w:r/>
            <w:r>
              <w:rPr>
                <w:rFonts w:ascii="Times New Roman" w:hAnsi="Times New Roman" w:eastAsia="宋体"/>
                <w:b w:val="0"/>
                <w:color w:val="1A1A1A"/>
                <w:sz w:val="18"/>
              </w:rPr>
              <w:t>把「生成即合法」写成「材料可合成」</w:t>
            </w:r>
          </w:p>
        </w:tc>
        <w:tc>
          <w:tcPr>
            <w:tcW w:type="dxa" w:w="2911"/>
          </w:tcPr>
          <w:p>
            <w:pPr>
              <w:spacing w:before="40" w:after="40" w:line="276" w:lineRule="auto"/>
            </w:pPr>
            <w:r/>
            <w:r>
              <w:rPr>
                <w:rFonts w:ascii="Times New Roman" w:hAnsi="Times New Roman" w:eastAsia="宋体"/>
                <w:b w:val="0"/>
                <w:color w:val="1A1A1A"/>
                <w:sz w:val="18"/>
              </w:rPr>
              <w:t>明确区分「化学式合法」与「物理可合成」</w:t>
            </w:r>
          </w:p>
        </w:tc>
      </w:tr>
    </w:tbl>
    <w:p/>
    <w:p>
      <w:pPr>
        <w:spacing w:after="80"/>
        <w:ind w:firstLine="420"/>
      </w:pPr>
      <w:r>
        <w:rPr>
          <w:rFonts w:ascii="Times New Roman" w:hAnsi="Times New Roman" w:eastAsia="宋体"/>
          <w:b/>
          <w:color w:val="1A1A1A"/>
          <w:sz w:val="21"/>
        </w:rPr>
        <w:t>方向退出条件。</w:t>
      </w:r>
      <w:r>
        <w:rPr>
          <w:rFonts w:ascii="Times New Roman" w:hAnsi="Times New Roman" w:eastAsia="宋体"/>
          <w:b w:val="0"/>
          <w:color w:val="1A1A1A"/>
          <w:sz w:val="21"/>
        </w:rPr>
        <w:t xml:space="preserve"> 满足以下任一条件时，应停止当前方向并重新选题或收缩范围：</w:t>
      </w:r>
    </w:p>
    <w:p>
      <w:pPr>
        <w:spacing w:after="80"/>
        <w:ind w:firstLine="420"/>
      </w:pPr>
      <w:r>
        <w:rPr>
          <w:rFonts w:ascii="Times New Roman" w:hAnsi="Times New Roman" w:eastAsia="宋体"/>
          <w:b w:val="0"/>
          <w:color w:val="1A1A1A"/>
          <w:sz w:val="21"/>
        </w:rPr>
        <w:t>1. 第 2 月末，价态表无法覆盖目标体系的主要成分（例如超过 30% 的候选依赖混合价或非整比），导致「保证」无法成立；</w:t>
      </w:r>
    </w:p>
    <w:p>
      <w:pPr>
        <w:spacing w:after="80"/>
        <w:ind w:firstLine="420"/>
      </w:pPr>
      <w:r>
        <w:rPr>
          <w:rFonts w:ascii="Times New Roman" w:hAnsi="Times New Roman" w:eastAsia="宋体"/>
          <w:b w:val="0"/>
          <w:color w:val="1A1A1A"/>
          <w:sz w:val="21"/>
        </w:rPr>
        <w:t>2. 第 4 月末，可达集合解码相对局部约束解码的合法率提升不足 5 个百分点，说明全局约束在实践中不是瓶颈；</w:t>
      </w:r>
    </w:p>
    <w:p>
      <w:pPr>
        <w:spacing w:after="80"/>
        <w:ind w:firstLine="420"/>
      </w:pPr>
      <w:r>
        <w:rPr>
          <w:rFonts w:ascii="Times New Roman" w:hAnsi="Times New Roman" w:eastAsia="宋体"/>
          <w:b w:val="0"/>
          <w:color w:val="1A1A1A"/>
          <w:sz w:val="21"/>
        </w:rPr>
        <w:t>3. 第 6 月末，M5（区间剪枝）与 M7（集合解码）在所有指标上无显著差异，说明集合方法的复杂度不值得。</w:t>
      </w:r>
    </w:p>
    <w:p>
      <w:pPr>
        <w:spacing w:before="320" w:after="120"/>
      </w:pPr>
      <w:r>
        <w:rPr>
          <w:rFonts w:ascii="Times New Roman" w:hAnsi="Times New Roman" w:eastAsia="黑体"/>
          <w:b/>
          <w:color w:val="1B3A52"/>
          <w:sz w:val="30"/>
        </w:rPr>
        <w:t>参考文献</w:t>
      </w:r>
    </w:p>
    <w:p>
      <w:pPr>
        <w:spacing w:after="80"/>
        <w:ind w:firstLine="420"/>
      </w:pPr>
      <w:r>
        <w:rPr>
          <w:rFonts w:ascii="Times New Roman" w:hAnsi="Times New Roman" w:eastAsia="宋体"/>
          <w:b w:val="0"/>
          <w:color w:val="1A1A1A"/>
          <w:sz w:val="21"/>
        </w:rPr>
        <w:t>[1] 刘章赫, 陈新宇, 周跫桦, 王金兰. 目标性质导向的材料生成: 迈向按需构筑的材料逆向设计. 物理学报, 2025, 74(24): 240701. DOI: 10.7498/aps.74.20250989</w:t>
      </w:r>
    </w:p>
    <w:p>
      <w:pPr>
        <w:spacing w:after="80"/>
        <w:ind w:firstLine="420"/>
      </w:pPr>
      <w:r>
        <w:rPr>
          <w:rFonts w:ascii="Times New Roman" w:hAnsi="Times New Roman" w:eastAsia="宋体"/>
          <w:b w:val="0"/>
          <w:color w:val="1A1A1A"/>
          <w:sz w:val="21"/>
        </w:rPr>
        <w:t>[2] 宿彦京, 付华栋, 白洋, 姜雪, 谢建新. 中国材料基因工程研究进展. 金属学报, 2020, 56(10): 1313–1323. DOI: 10.11900/0412.1961.2020.00199</w:t>
      </w:r>
    </w:p>
    <w:p>
      <w:pPr>
        <w:spacing w:after="80"/>
        <w:ind w:firstLine="420"/>
      </w:pPr>
      <w:r>
        <w:rPr>
          <w:rFonts w:ascii="Times New Roman" w:hAnsi="Times New Roman" w:eastAsia="宋体"/>
          <w:b w:val="0"/>
          <w:color w:val="1A1A1A"/>
          <w:sz w:val="21"/>
        </w:rPr>
        <w:t xml:space="preserve">[3] Oschinski H, Ach M L, Jakob K S, Carbogno C, Reuter K. General-purpose LLMs as Constrained Crystal Composition Generators. arXiv:2605.31495, 2026. </w:t>
      </w:r>
      <w:r>
        <w:rPr>
          <w:rFonts w:ascii="Times New Roman" w:hAnsi="Times New Roman" w:eastAsia="宋体"/>
          <w:b w:val="0"/>
          <w:color w:val="1F4E79"/>
          <w:sz w:val="19"/>
        </w:rPr>
        <w:t>https://arxiv.org/html/2605.31495v1</w:t>
      </w:r>
    </w:p>
    <w:p>
      <w:pPr>
        <w:spacing w:after="80"/>
        <w:ind w:firstLine="420"/>
      </w:pPr>
      <w:r>
        <w:rPr>
          <w:rFonts w:ascii="Times New Roman" w:hAnsi="Times New Roman" w:eastAsia="宋体"/>
          <w:b w:val="0"/>
          <w:color w:val="1A1A1A"/>
          <w:sz w:val="21"/>
        </w:rPr>
        <w:t>[4] Gruver N, Sriram A, Madotto A, Wilson A G, Zitnick C L, Ulissi Z. Fine-Tuned Language Models Generate Stable Inorganic Materials as Text. ICLR 2024. arXiv:2402.04379</w:t>
      </w:r>
    </w:p>
    <w:p>
      <w:pPr>
        <w:spacing w:after="80"/>
        <w:ind w:firstLine="420"/>
      </w:pPr>
      <w:r>
        <w:rPr>
          <w:rFonts w:ascii="Times New Roman" w:hAnsi="Times New Roman" w:eastAsia="宋体"/>
          <w:b w:val="0"/>
          <w:color w:val="1A1A1A"/>
          <w:sz w:val="21"/>
        </w:rPr>
        <w:t>[5] Zeni C, Pinsler R, Zügner D, et al. A generative model for inorganic materials design. Nature, 2025, 639: 624–632. DOI: 10.1038/s41586-025-08628-5</w:t>
      </w:r>
    </w:p>
    <w:p>
      <w:pPr>
        <w:spacing w:after="80"/>
        <w:ind w:firstLine="420"/>
      </w:pPr>
      <w:r>
        <w:rPr>
          <w:rFonts w:ascii="Times New Roman" w:hAnsi="Times New Roman" w:eastAsia="宋体"/>
          <w:b w:val="0"/>
          <w:color w:val="1A1A1A"/>
          <w:sz w:val="21"/>
        </w:rPr>
        <w:t xml:space="preserve">[6] Faber F A, Lindmaa A, von Lilienfeld O A, Armiento R. Machine Learning Energies of 2 Million Elpasolite (ABC₂D₆) Crystals. Physical Review Letters, 2016, 117: 135502. </w:t>
      </w:r>
      <w:r>
        <w:rPr>
          <w:rFonts w:ascii="Times New Roman" w:hAnsi="Times New Roman" w:eastAsia="宋体"/>
          <w:b w:val="0"/>
          <w:color w:val="1F4E79"/>
          <w:sz w:val="19"/>
        </w:rPr>
        <w:t>https://arxiv.org/html/1508.05315v3</w:t>
      </w:r>
    </w:p>
    <w:p>
      <w:pPr>
        <w:spacing w:after="80"/>
        <w:ind w:firstLine="420"/>
      </w:pPr>
      <w:r>
        <w:rPr>
          <w:rFonts w:ascii="Times New Roman" w:hAnsi="Times New Roman" w:eastAsia="宋体"/>
          <w:b w:val="0"/>
          <w:color w:val="1A1A1A"/>
          <w:sz w:val="21"/>
        </w:rPr>
        <w:t>[7] Jablonka K M, Schwaller P, Ortega-Guerrero A, Smit B. Leveraging large language models for predictive chemistry. Nature Machine Intelligence, 2024, 6: 161–169. DOI: 10.1038/s42256-023-00788-1</w:t>
      </w:r>
    </w:p>
    <w:p>
      <w:pPr>
        <w:spacing w:after="80"/>
        <w:ind w:firstLine="420"/>
      </w:pPr>
      <w:r>
        <w:rPr>
          <w:rFonts w:ascii="Times New Roman" w:hAnsi="Times New Roman" w:eastAsia="宋体"/>
          <w:b w:val="0"/>
          <w:color w:val="1A1A1A"/>
          <w:sz w:val="21"/>
        </w:rPr>
        <w:t xml:space="preserve">[8] Mat-Pref: Verifiable-Reward Training Improves Compositional Reasoning in Inorganic Materials. arXiv:2606.21830, 2026. </w:t>
      </w:r>
      <w:r>
        <w:rPr>
          <w:rFonts w:ascii="Times New Roman" w:hAnsi="Times New Roman" w:eastAsia="宋体"/>
          <w:b w:val="0"/>
          <w:color w:val="1F4E79"/>
          <w:sz w:val="19"/>
        </w:rPr>
        <w:t>https://www.alphaxiv.org/abs/2606.21830</w:t>
      </w:r>
    </w:p>
    <w:p>
      <w:pPr>
        <w:spacing w:after="80"/>
        <w:ind w:firstLine="420"/>
      </w:pPr>
      <w:r>
        <w:rPr>
          <w:rFonts w:ascii="Times New Roman" w:hAnsi="Times New Roman" w:eastAsia="宋体"/>
          <w:b w:val="0"/>
          <w:color w:val="1A1A1A"/>
          <w:sz w:val="21"/>
        </w:rPr>
        <w:t>[9] Willard B T, Louf R. Efficient Guided Generation for Large Language Models. arXiv:2307.09702, 2023</w:t>
      </w:r>
    </w:p>
    <w:p>
      <w:pPr>
        <w:spacing w:after="80"/>
        <w:ind w:firstLine="420"/>
      </w:pPr>
      <w:r>
        <w:rPr>
          <w:rFonts w:ascii="Times New Roman" w:hAnsi="Times New Roman" w:eastAsia="宋体"/>
          <w:b w:val="0"/>
          <w:color w:val="1A1A1A"/>
          <w:sz w:val="21"/>
        </w:rPr>
        <w:t xml:space="preserve">[10] CrystalICL: Enabling In-Context Learning for Crystal Generation. EMNLP 2025. </w:t>
      </w:r>
      <w:r>
        <w:rPr>
          <w:rFonts w:ascii="Times New Roman" w:hAnsi="Times New Roman" w:eastAsia="宋体"/>
          <w:b w:val="0"/>
          <w:color w:val="1F4E79"/>
          <w:sz w:val="19"/>
        </w:rPr>
        <w:t>https://aclanthology.org/2025.emnlp-main.929.pdf</w:t>
      </w:r>
    </w:p>
    <w:p>
      <w:pPr>
        <w:spacing w:after="80"/>
        <w:ind w:firstLine="420"/>
      </w:pPr>
      <w:r>
        <w:rPr>
          <w:rFonts w:ascii="Times New Roman" w:hAnsi="Times New Roman" w:eastAsia="宋体"/>
          <w:b w:val="0"/>
          <w:color w:val="1A1A1A"/>
          <w:sz w:val="21"/>
        </w:rPr>
        <w:t>[11] Liu T, Astorga N, Seedat N, van der Schaar M. Large Language Models to Enhance Bayesian Optimization. ICLR 2024. arXiv:2402.03921</w:t>
      </w:r>
    </w:p>
    <w:p>
      <w:pPr>
        <w:spacing w:after="80"/>
        <w:ind w:firstLine="420"/>
      </w:pPr>
      <w:r>
        <w:rPr>
          <w:rFonts w:ascii="Times New Roman" w:hAnsi="Times New Roman" w:eastAsia="宋体"/>
          <w:b w:val="0"/>
          <w:color w:val="1A1A1A"/>
          <w:sz w:val="21"/>
        </w:rPr>
        <w:t xml:space="preserve">[12] A Generation Framework with Strict Constraints for Crystal Materials. arXiv:2411.08464, 2024. </w:t>
      </w:r>
      <w:r>
        <w:rPr>
          <w:rFonts w:ascii="Times New Roman" w:hAnsi="Times New Roman" w:eastAsia="宋体"/>
          <w:b w:val="0"/>
          <w:color w:val="1F4E79"/>
          <w:sz w:val="19"/>
        </w:rPr>
        <w:t>https://arxiv.org/html/2411.08464v2</w:t>
      </w:r>
    </w:p>
    <w:p>
      <w:pPr>
        <w:spacing w:after="80"/>
        <w:ind w:firstLine="420"/>
      </w:pPr>
      <w:r>
        <w:rPr>
          <w:rFonts w:ascii="Times New Roman" w:hAnsi="Times New Roman" w:eastAsia="宋体"/>
          <w:b w:val="0"/>
          <w:color w:val="1A1A1A"/>
          <w:sz w:val="21"/>
        </w:rPr>
        <w:t>[13] Rafailov R, Sharma A, Mitchell E, Ermon S, Manning C D, Finn C. Direct Preference Optimization: Your Language Model is Secretly a Reward Model. NeurIPS 2023. arXiv:2305.18290</w:t>
      </w:r>
    </w:p>
    <w:p>
      <w:pPr>
        <w:spacing w:after="80"/>
        <w:ind w:firstLine="420"/>
      </w:pPr>
      <w:r>
        <w:rPr>
          <w:rFonts w:ascii="Times New Roman" w:hAnsi="Times New Roman" w:eastAsia="宋体"/>
          <w:b w:val="0"/>
          <w:color w:val="1A1A1A"/>
          <w:sz w:val="21"/>
        </w:rPr>
        <w:t>[14] Shao Z, Wang P, Zhu Q, et al. DeepSeekMath: Pushing the Limits of Mathematical Reasoning in Open Language Models. arXiv:2402.03300, 2024</w:t>
      </w:r>
    </w:p>
    <w:p>
      <w:pPr>
        <w:spacing w:after="80"/>
        <w:ind w:firstLine="420"/>
      </w:pPr>
      <w:r>
        <w:rPr>
          <w:rFonts w:ascii="Times New Roman" w:hAnsi="Times New Roman" w:eastAsia="宋体"/>
          <w:b w:val="0"/>
          <w:color w:val="1A1A1A"/>
          <w:sz w:val="21"/>
        </w:rPr>
        <w:t xml:space="preserve">[15] Prinster D, Fannjiang C, Park J W, Cho K, Liu A, Saria S, Stanton S. Conformal Policy Control. arXiv:2603.02196, 2026. </w:t>
      </w:r>
      <w:r>
        <w:rPr>
          <w:rFonts w:ascii="Times New Roman" w:hAnsi="Times New Roman" w:eastAsia="宋体"/>
          <w:b w:val="0"/>
          <w:color w:val="1F4E79"/>
          <w:sz w:val="19"/>
        </w:rPr>
        <w:t>https://arxiv.org/html/2603.02196</w:t>
      </w:r>
    </w:p>
    <w:p>
      <w:pPr>
        <w:spacing w:after="80"/>
        <w:ind w:firstLine="420"/>
      </w:pPr>
      <w:r>
        <w:rPr>
          <w:rFonts w:ascii="Times New Roman" w:hAnsi="Times New Roman" w:eastAsia="宋体"/>
          <w:b w:val="0"/>
          <w:color w:val="1A1A1A"/>
          <w:sz w:val="21"/>
        </w:rPr>
        <w:t>[16] Dettmers T, Pagnoni A, Holtzman A, Zettlemoyer L. QLoRA: Efficient Finetuning of Quantized LLMs. NeurIPS 2023. arXiv:2305.14314</w:t>
      </w:r>
    </w:p>
    <w:p>
      <w:pPr>
        <w:spacing w:before="320" w:after="120"/>
      </w:pPr>
      <w:r>
        <w:rPr>
          <w:rFonts w:ascii="Times New Roman" w:hAnsi="Times New Roman" w:eastAsia="黑体"/>
          <w:b/>
          <w:color w:val="1B3A52"/>
          <w:sz w:val="30"/>
        </w:rPr>
        <w:t>附：本报告的证据边界</w:t>
      </w:r>
    </w:p>
    <w:p>
      <w:pPr>
        <w:spacing w:after="80"/>
        <w:ind w:firstLine="420"/>
      </w:pPr>
      <w:r>
        <w:rPr>
          <w:rFonts w:ascii="Times New Roman" w:hAnsi="Times New Roman" w:eastAsia="宋体"/>
          <w:b w:val="0"/>
          <w:color w:val="1A1A1A"/>
          <w:sz w:val="21"/>
        </w:rPr>
        <w:t>本报告所引文献均在 2026 年 10 月 17 日的检索中打开原文或摘要核实存在，未逐篇复现。关于「全局约束解码尚无人系统处理」的判断来自本轮检索，不构成完整查新；正式开题前需补充定向检索，重点检索 constrained decoding、grammar-constrained generation 与 charge-neutrality-aware generation 三条线索。</w:t>
      </w:r>
    </w:p>
    <w:p>
      <w:pPr>
        <w:spacing w:after="80"/>
        <w:ind w:firstLine="420"/>
      </w:pPr>
      <w:r>
        <w:rPr>
          <w:rFonts w:ascii="Times New Roman" w:hAnsi="Times New Roman" w:eastAsia="宋体"/>
          <w:b w:val="0"/>
          <w:color w:val="1A1A1A"/>
          <w:sz w:val="21"/>
        </w:rPr>
        <w:t>文中关于约束编码、解码算法与分布分析的设计均为拟议方案，尚未实现或证明。「可达电荷集合」的可判定性、集合规模与解码开销，需要在第 1—2 月用原型验证；「保证」一词仅适用于固定化学计量原型、剩余位点数已知的情形，开放长度生成不宣称保证。</w:t>
      </w:r>
    </w:p>
    <w:p>
      <w:pPr>
        <w:spacing w:after="80"/>
        <w:ind w:firstLine="420"/>
      </w:pPr>
      <w:r>
        <w:rPr>
          <w:rFonts w:ascii="Times New Roman" w:hAnsi="Times New Roman" w:eastAsia="宋体"/>
          <w:b w:val="0"/>
          <w:color w:val="1A1A1A"/>
          <w:sz w:val="21"/>
        </w:rPr>
        <w:t>本报告在撰写过程中使用了 AI 辅助工具进行文献检索与文字整理，所有引用均经人工核对到原文或摘要页面。</w:t>
      </w:r>
    </w:p>
    <w:sectPr w:rsidR="00FC693F" w:rsidRPr="0006063C" w:rsidSect="00034616">
      <w:headerReference w:type="default" r:id="rId9"/>
      <w:footerReference w:type="default" r:id="rId10"/>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黑体"/>
        <w:b w:val="0"/>
        <w:color w:val="808080"/>
        <w:sz w:val="16"/>
      </w:rPr>
      <w:t>2026 年 10 月 17 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黑体"/>
        <w:b w:val="0"/>
        <w:color w:val="808080"/>
        <w:sz w:val="16"/>
      </w:rPr>
      <w:t>硕士学位论文开题报告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