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14:paraId="0E8564A7" w14:textId="77777777" w:rsidR="00F23EB3" w:rsidRDefault="00000000">
      <w:pPr>
        <w:spacing w:afterLines="18" w:after="56" w:line="300" w:lineRule="auto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32"/>
          <w:szCs w:val="32"/>
          <w:lang w:eastAsia="zh-CN"/>
        </w:rPr>
        <w:t>基于动态积分与标签画像的疾控科研人才评价系统设计与实现</w:t>
      </w:r>
    </w:p>
    <w:p w14:paraId="2E730A66" w14:textId="77777777" w:rsidR="00F23EB3" w:rsidRDefault="00000000">
      <w:pPr>
        <w:spacing w:afterLines="8" w:after="24"/>
        <w:jc w:val="center"/>
        <w:rPr>
          <w:rFonts w:hint="eastAsia"/>
          <w:lang w:eastAsia="zh-CN"/>
        </w:rPr>
      </w:pPr>
      <w:r>
        <w:rPr>
          <w:rFonts w:ascii="Times New Roman" w:eastAsia="楷体" w:hAnsi="Times New Roman" w:cs="Times New Roman"/>
          <w:sz w:val="28"/>
          <w:szCs w:val="28"/>
          <w:lang w:eastAsia="zh-CN"/>
        </w:rPr>
        <w:t>杨文超</w:t>
      </w:r>
    </w:p>
    <w:p w14:paraId="0E62B995" w14:textId="77777777" w:rsidR="00F23EB3" w:rsidRDefault="00000000">
      <w:pPr>
        <w:spacing w:afterLines="20" w:after="62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（南通市疾病预防控制中心，江苏 南通　226001）</w:t>
      </w:r>
    </w:p>
    <w:p w14:paraId="7C764A63" w14:textId="77777777" w:rsidR="00F23EB3" w:rsidRDefault="00000000">
      <w:pPr>
        <w:spacing w:afterLines="8" w:after="24" w:line="280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Implementation of a Research Talent Evaluation System for CDC Institutions Based on Dynamic Points and Tag Profiling</w:t>
      </w:r>
    </w:p>
    <w:p w14:paraId="6110C02F" w14:textId="77777777" w:rsidR="00F23EB3" w:rsidRDefault="00000000">
      <w:pPr>
        <w:spacing w:afterLines="6" w:after="18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YANG Wenchao</w:t>
      </w:r>
    </w:p>
    <w:p w14:paraId="5AA9AD9B" w14:textId="77777777" w:rsidR="00F23EB3" w:rsidRDefault="00000000">
      <w:pPr>
        <w:spacing w:afterLines="22" w:after="68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(Nantong Center for Disease Control and Prevention, Nantong 226001, Jiangsu, China)</w:t>
      </w:r>
    </w:p>
    <w:p w14:paraId="3A75E7AE" w14:textId="3C3D2B65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摘要：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针对疾控机构科研人才评价精细化程度不足的问题，设计并实现了基于 Spring Boot 与 MyBatis 的四层架构科研积分管理系统。提出面向多作者成果的分段权重积分分配模型，并与均分法、调和计数法作对比；设计基于一阶指数加权移动平均的动态标签权重模型（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α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0.7），将半衰期约 4.95 年（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λ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0.14）的指数时间衰减因子前置嵌入行为积分归一化环节，使标签权重、能力维度得分与人才画像构成量纲一致的统一计算链路；基于有限状态机实现无第三方依赖的四级审批工作流引擎。系统在南通市疾病预防控制中心运行 3 个月，覆盖 15 个业务科室、270 名科研人员，审核周期由平均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7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天缩短至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天，积分核算人为差错率由 5% 降至 0，核心业务平均响应时间为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68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ms。“积分量化 + 标签画像”双维度模式可为同类公共卫生机构提供参考。</w:t>
      </w:r>
    </w:p>
    <w:p w14:paraId="5845C5EB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关键词：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积分量化评价；标签权重模型；时间衰减算法；工作流引擎；前后端分离架构</w:t>
      </w:r>
    </w:p>
    <w:p w14:paraId="07C69BB2" w14:textId="77777777" w:rsidR="00F23EB3" w:rsidRDefault="00000000">
      <w:pPr>
        <w:spacing w:afterLines="20" w:after="62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中图分类号：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TP311.5　　</w:t>
      </w: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文献标识码：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A</w:t>
      </w:r>
    </w:p>
    <w:p w14:paraId="694FAE8A" w14:textId="0370E582" w:rsidR="00F23EB3" w:rsidRDefault="00000000">
      <w:pPr>
        <w:spacing w:afterLines="6" w:after="18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Abstract: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address the insufficient granularity of research talent evaluation in centers for disease control and prevention, a four-layer research points management system based on Spring Boot and MyBatis is designed and implemented. A piecewise weighting model is proposed for allocating points among the multiple authors of a research output and is compared with the equal-sharing and harmonic counting methods. A dynamic tag weight model based on a first-order exponentially weighted moving average is designed, into which an exponential time-decay factor with a half-life of about 4.95 years is embedded ahead of behaviour-score normalization, so that tag weights, capability dimension scores and the talent profile form a single dimensionally consistent computation chain. A lightweight four-level approval workflow engine is implemented as a finite state machine without third-party dependency. Running at Nantong Center for Disease Control and Prevention for three months and covering 15 divisions and 270 researchers, the system shortened the average approval cycle from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7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days to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days, eliminated manual errors in points accounting, and kept the average response time of core services at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68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ms. The dual-dimension model of points-based quantification combined with tag profiling provides a reference for research management informatization in comparable public health institutions.</w:t>
      </w:r>
    </w:p>
    <w:p w14:paraId="30E7CAC9" w14:textId="77777777" w:rsidR="00F23EB3" w:rsidRDefault="00000000">
      <w:pPr>
        <w:spacing w:afterLines="20" w:after="62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Key words: </w:t>
      </w:r>
      <w:r>
        <w:rPr>
          <w:rFonts w:ascii="Times New Roman" w:eastAsia="Times New Roman" w:hAnsi="Times New Roman" w:cs="Times New Roman"/>
          <w:sz w:val="18"/>
          <w:szCs w:val="18"/>
        </w:rPr>
        <w:t>points-based quantitative evaluation; tag weight model; time decay algorithm; workflow engine; front-end and back-end separation architecture</w:t>
      </w:r>
    </w:p>
    <w:p w14:paraId="475B5504" w14:textId="466489C9" w:rsidR="00F23EB3" w:rsidRPr="00942F51" w:rsidRDefault="00000000" w:rsidP="00942F51">
      <w:pPr>
        <w:pStyle w:val="a9"/>
        <w:keepNext/>
        <w:keepLines/>
        <w:numPr>
          <w:ilvl w:val="0"/>
          <w:numId w:val="2"/>
        </w:numPr>
        <w:spacing w:beforeLines="50" w:before="156" w:afterLines="30" w:after="93"/>
        <w:outlineLvl w:val="0"/>
        <w:rPr>
          <w:rFonts w:ascii="Times New Roman" w:eastAsia="黑体" w:hAnsi="Times New Roman" w:cs="Times New Roman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1  引言</w:t>
      </w:r>
    </w:p>
    <w:p w14:paraId="366B1DD7" w14:textId="4B08E419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在“科教兴卫、人才强卫”战略指引下，各级疾病预防控制机构日益重视科研能力建设，但基层疾控机构的科研人才评价仍存在方式粗放、“四唯”倾向明显、缺少动态量化手段等问题[1-2]，难以支撑科研梯队建设与精准激励。</w:t>
      </w:r>
    </w:p>
    <w:p w14:paraId="366B1DD7" w14:textId="4B08E419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科研评价量化方面，李涛等[1]、沈杨阳[2]与 Amaral 等[3]分别从指标体系、组织机制与经费分配角度作了探讨，但评价对象均为机构而非个人；Lei[4]面向“破五唯”设计的高校教师分类绩效指标体系与本文思路接近，但其指标构成与疾控机构以公共卫生服务、现场流行病学调查为主的产出结构差异较大。人才画像方面，罗仕鉴等[9]与白菁昊等[10]验证了动态标签刻画能力演进的有效性，但其权重更新机制面向消费与学习行为，未考虑科研成果的长周期性与时效衰减特征。系统实现方面，刘盛等[6]与张岩[8]验证了 Spring Boot 技术栈在卫生行业的适用性，但功能定位偏向业务数据管理，未涉及评价的量化建模。</w:t>
      </w:r>
    </w:p>
    <w:p w14:paraId="366B1DD7" w14:textId="4B08E419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可见，面向公共卫生领域、同时整合积分量化与人才标签画像的专用科研管理系统仍比较少见。本文的主要工作如下：① 提出面向多作者成果的分段权重积分分配模型，给出其与均分法、调和计数法的对比及在积分总量口径上的制度性约束；② 构建“指数加权移动平均标签权重 + 指数时间衰减”的动态画像模型，将时间衰减前置于行为积分归一化环节，使标签权重、能力维度得分与可视化画像构成量纲一致的统一计算链路；③ 实现无第三方框架依赖的状态机工作流引擎与可配置积分规则引擎，支持审核环节与积分规则的免发布调整。系统面向的南通市疾控中心设有 15 个业务科室、270 名科研人员，科研成果涵盖论文、专利、技术标准等 12 个大类，核心业务响应时间要求控制在 3 s 以内。</w:t>
      </w:r>
    </w:p>
    <w:p w14:paraId="07F66187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2  系统总体架构</w:t>
      </w:r>
    </w:p>
    <w:p w14:paraId="12083FFA" w14:textId="532D6ADB" w:rsidR="00F23EB3" w:rsidRDefault="00C048F5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系统采用四层架构：表现层由 Spring Boot 的 @RestController 构成，负责接收 HTTP 请求并调用业务服务，实现前后端分离；业务逻辑层由 Service 组件构成，封装积分计算、审核流程控制、画像生成与排行统计等规则并管理事务；数据访问层通过 MyBatis 的 Mapper 接口与 XML 映射文件实现对象关系映射，可在复杂场景下直接优化 SQL[8]；数据层负责持久化与存储管理。前端采用 Vue.js，通过 RESTful API 与后端交互；数据库选用 MySQL 8.0，并引入 Redis 缓存提升查询效率[5-8]。分层架构如图 1 所示。</w:t>
      </w:r>
    </w:p>
    <w:p>
      <w:pPr>
        <w:keepNext/>
        <w:jc w:val="center"/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2926080" cy="2713355"/>
            <wp:effectExtent l="0" t="0" r="0" b="0"/>
            <wp:docPr id="1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1D574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图 1  系统分层架构</w:t>
      </w:r>
    </w:p>
    <w:p w14:paraId="3156848E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3  核心功能模块设计</w:t>
      </w:r>
    </w:p>
    <w:p w14:paraId="1D554498" w14:textId="3240451E" w:rsidR="00F23EB3" w:rsidRDefault="00000000" w:rsidP="00AB6A77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系统设计了五大功能模块，构成申报、计算、画像、展示、权限的完整闭环。积分管理模块支持可视化配置 12 大类 46 项积分规则，成果提交后由计算引擎自动校验并核算分</w:t>
        <w:lastRenderedPageBreak/>
        <w:t xml:space="preserve">值、生成积分流水[8-9]；人才画像模块构建涵盖结构化标签（学历、职称、专业）与非结构化能力标签（科研能力、项目管理、数据分析）的动态标签体系，自动关联积分流水与科研成果[9-10]；统计分析模块的“人才晴雨表”仪表盘集成 Apache ECharts，支持多维交叉统计与数据下钻；申报审核模块内置轻量级工作流引擎驱动四级审批；系统管理模块采用 RBAC 模型构建用户—角色—权限三层架构，预设 5 类角色，并承担基础数据维护、规则调整与操作日志审计等职能[11-13]。</w:t>
      </w:r>
    </w:p>
    <w:p w14:paraId="75413252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4  关键技术实现</w:t>
      </w:r>
    </w:p>
    <w:p w14:paraId="613469F3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4.1  可配置积分规则引擎</w:t>
      </w:r>
    </w:p>
    <w:p w14:paraId="32D17A5A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传统实现中积分规则的调整需修改代码并重新发布。为此，系统将全部积分规则存入数据库配置表：points_category 存储 12 个成果大类，points_item 定义分值标准、年度上限、有效期与适用职称范围，points_record 记录积分变动明细。管理员在后台修改配置即可实时生效，无需重新编译部署。为确保数据一致性，系统采用 Spring 声明式事务，将成果校验、重复申报拦截、年度上限判断、按作者排序分配、总积分更新与流水生成封装在同一事务中，任一步骤出错即回滚。</w:t>
      </w:r>
    </w:p>
    <w:p w14:paraId="294F97D4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4.2  多作者积分权重分配模型</w:t>
      </w:r>
    </w:p>
    <w:p w14:paraId="6D805E47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结合该中心的科研管理实践，本文采用基于 Kronecker </w:t>
      </w:r>
      <w:r>
        <w:rPr>
          <w:rFonts w:ascii="Times New Roman" w:eastAsia="宋体" w:hAnsi="Times New Roman" w:cs="Times New Roman"/>
          <w:sz w:val="21"/>
          <w:szCs w:val="21"/>
        </w:rPr>
        <w:t>δ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函数的分段权重模型对作者序位与分配系数的映射关系统一建模，如式(1)、式(2)所示。</w:t>
      </w:r>
    </w:p>
    <w:p w14:paraId="70ADC7D2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0.2 + 0.8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,    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1, 2, …, </m:t>
        </m:r>
        <m:r>
          <w:rPr>
            <w:rFonts w:ascii="Cambria Math" w:hAnsi="Cambria Math"/>
            <w:sz w:val="21"/>
            <w:szCs w:val="21"/>
          </w:rPr>
          <m:t>n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(1)</w:t>
      </w:r>
    </w:p>
    <w:p w14:paraId="55D7B135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  <w:lang w:eastAsia="zh-C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δ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i,j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 xml:space="preserve"> 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=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≠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</m:m>
          </m:e>
        </m:d>
      </m:oMath>
      <w:r>
        <w:rPr>
          <w:lang w:eastAsia="zh-CN"/>
        </w:rPr>
        <w:tab/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</w:p>
    <w:p w14:paraId="4EB62A13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作者获得的积分；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total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为成果标准积分；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为作者总数。展开后第 1、2、3 作者的分配系数分别为 1.0、0.8、0.5，第 4 作者及以后统一按 0.2 计；通讯作者按第 1 作者计，共同第一作者按并列第 1 作者计[9]。</w:t>
      </w:r>
    </w:p>
    <w:p w14:paraId="3D79035A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式(1)采用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名义分值制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而非总量守恒制，即各作者所得之和可能大于成果标准积分（4 位作者时为 2.5 倍）。这一设计源于疾控机构鼓励多科室协作攻关的管理导向，其“挂名”风险由两项制度约束控制：points_item 表的年度上限对各类积分累计值封顶；第 4 作者及以后的积分不计入职称评审口径。本文模型与常见守恒型方法的对比如表 1 所示。对需控制积分总量的场景，系统另提供可配置的归一化模式，如式(3)所示。</w:t>
      </w:r>
    </w:p>
    <w:p w14:paraId="6682757A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表 1  多作者积分权重分配方法对比（以 4 位作者为例）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2000"/>
        <w:gridCol w:w="1262"/>
        <w:gridCol w:w="1262"/>
        <w:gridCol w:w="1262"/>
        <w:gridCol w:w="1262"/>
        <w:gridCol w:w="1258"/>
      </w:tblGrid>
      <w:tr w:rsidR="00F23EB3" w14:paraId="4C6E0A7E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5E1A4B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分配方法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C798AD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1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DD09CC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2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71B07A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3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301ACE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4 作者</w:t>
            </w:r>
          </w:p>
        </w:tc>
        <w:tc>
          <w:tcPr>
            <w:tcW w:w="1258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2539B0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</w:p>
        </w:tc>
      </w:tr>
      <w:tr w:rsidR="00F23EB3" w14:paraId="38474E30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56628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均分法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CD2F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61DA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D6EC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FCEF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2B6AF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34EB63EE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F4F98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调和计数法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D50F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0.48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8BA6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4AA3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0.16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29F7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0.12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BE3B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65CFAA2D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57EE6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算术递减法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2046F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1101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2D5D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2554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E32C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4724E2E0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C07A07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本文分段权重法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5165E2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626981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0.80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1A5A4D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0.50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AB28B8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9F7A5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2.50</w:t>
            </w:r>
          </w:p>
        </w:tc>
      </w:tr>
    </w:tbl>
    <w:p w14:paraId="6D2076AD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norm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= 1</m:t>
                </m:r>
              </m:sub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</m:sub>
                </m:sSub>
              </m:e>
            </m:nary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(3)</w:t>
      </w:r>
    </w:p>
    <w:p w14:paraId="1175B9BF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v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作者按式(1)得到的原始分配系数。</w:t>
      </w:r>
    </w:p>
    <w:p w14:paraId="6C638144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4.3  动态标签权重模型</w:t>
      </w:r>
    </w:p>
    <w:p w14:paraId="40630657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统构建了基础属性、能力维度与专业方向三维标签体系。考虑到科研贡献具有明显时效性，本文将指数时间衰减因子前置嵌入行为积分的归一化环节（式(4)），标签权重则在此基础上按一阶指数加权移动平均更新（式(5)）。</w:t>
      </w:r>
    </w:p>
    <w:p w14:paraId="31F6FC2B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  <w:sz w:val="21"/>
                <w:szCs w:val="21"/>
              </w:rPr>
              <m:t>i,u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now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max,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b>
            </m:sSub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(4)</w:t>
      </w:r>
    </w:p>
    <w:p w14:paraId="6B34B8D0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1 - </m:t>
            </m:r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- 1</m:t>
                </m:r>
              </m:e>
            </m:d>
          </m:sup>
        </m:sSubSup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(5)</w:t>
      </w:r>
    </w:p>
    <w:p w14:paraId="60A2F06F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(k)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为用户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k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个周期的权重；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为其在行为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上的原始积分；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max,t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为本周期全中心在标签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下的最高行为积分，用于将行为项归一化至 [0, 1]，与历史权重项保持量纲一致；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的贡献系数，满足 </w:t>
      </w:r>
      <w:r>
        <w:rPr>
          <w:rFonts w:ascii="Times New Roman" w:eastAsia="宋体" w:hAnsi="Times New Roman" w:cs="Times New Roman"/>
          <w:sz w:val="21"/>
          <w:szCs w:val="21"/>
        </w:rPr>
        <w:t>Σ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now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分别为当前时间与成果完成时间。</w:t>
      </w:r>
    </w:p>
    <w:p w14:paraId="65EEA95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式(5)是一阶指数加权移动平均，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取 0.7 对应记忆长度约 1/(1 −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) ≈ 3.3 个周期，即最新一年贡献约占 70%、历史累积约占 30%，既突出近期活跃度也保留资深人员的积累。时间衰减系数取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0.14，对应半衰期 ln2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/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≈ 4.95 年，成果权重每年降至上年的 86.9%（年衰减约 13.1%），既避免成果永久有效导致评价僵化，也防止衰减过快挫伤长期积累型科研人员的积极性。</w:t>
      </w:r>
    </w:p>
    <w:p w14:paraId="0FE25DD9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标签更新采用双策略：基于 Spring Event 的准实时更新在积分流水生成后 1 s 内触发，异步微调相关权重；每日 2:00 的全量更新批量重算活跃用户近一年的标签权重，并清理权重低于 0.1 的标签。</w:t>
      </w:r>
    </w:p>
    <w:p w14:paraId="7A370401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4.4  多维能力得分与画像渲染</w:t>
      </w:r>
    </w:p>
    <w:p w14:paraId="2BA180B8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定义标签—能力维度映射矩阵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ℝ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T×D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为标签总数，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为能力维度数（本系统取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16，即专利发明、成果奖励、成果转换、出版著作、工作文章、技能资质、技术标准、继续教育、荣誉表彰、科普作品、学科团队、学术比赛、学术地位、学术交流、项目课题与发表论文，如图 2 所示）。矩阵元素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[0, 1] 表示标签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对维度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的贡献度，满足 </w:t>
      </w:r>
      <w:r>
        <w:rPr>
          <w:rFonts w:ascii="Times New Roman" w:eastAsia="宋体" w:hAnsi="Times New Roman" w:cs="Times New Roman"/>
          <w:sz w:val="21"/>
          <w:szCs w:val="21"/>
        </w:rPr>
        <w:t>Σ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1，由 3 名科研管理专家按德尔菲法两轮打分确定。用户在各维度上的原始得分为</w:t>
        <w:lastRenderedPageBreak/>
        <w:t>所有标签权重的加权和（式(6)）。由于式(5)已在行为积分层面完成时间衰减修正，式(6)无需再次引入衰减因子，标签权重、能力得分与画像渲染由此构成一条量纲一致的计算链路。</w:t>
      </w:r>
    </w:p>
    <w:p w14:paraId="6DD3CB1D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T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t,d</m:t>
                    </m:r>
                  </m:sub>
                </m:sSub>
              </m:e>
            </m:d>
          </m:e>
        </m:nary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(6)</w:t>
      </w:r>
    </w:p>
    <w:p w14:paraId="7124012E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为消除维度间的量纲差异，对原始得分作归一化处理（式(7)）。</w:t>
      </w:r>
    </w:p>
    <w:p w14:paraId="0D4E466A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80 + 20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(7)</w:t>
      </w:r>
    </w:p>
    <w:p w14:paraId="0EEFF80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分别为全中心用户在维度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上的最低与最高原始得分。结果映射至 [20, 100] 而非 [0, 100]，以避免最低分用户恒为 0、雷达图退化为尖刺；当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时直接取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′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60，避免分母为零。因二者随人员流动与年度产出变化，式(7)适用于同一周期内的横向比较，跨年度比较时以上线首年的分布为固定基准。归一化得分直接对应雷达图半径，前端另配积分趋势折线图、团队贡献矩阵与标签云图[10]。</w:t>
      </w:r>
    </w:p>
    <w:p w14:paraId="2709C0EA" w14:textId="77777777" w:rsidR="00F23EB3" w:rsidRDefault="00000000">
      <w:pPr>
        <w:keepNext/>
        <w:keepLines/>
        <w:spacing w:beforeLines="15" w:before="46" w:afterLines="5" w:after="15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0195B879" wp14:editId="67D29F0B">
            <wp:extent cx="2834640" cy="2834640"/>
            <wp:effectExtent l="0" t="0" r="0" b="0"/>
            <wp:docPr id="103" name="fi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8B3A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图 2  人才画像能力雷达图</w:t>
      </w:r>
    </w:p>
    <w:p w14:paraId="2CFC0F15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4.5  轻量级状态机工作流引擎</w:t>
      </w:r>
    </w:p>
    <w:p w14:paraId="5CDB5864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针对疾控中心审核流程相对固定但存在微调需求的特点，本文实现了无第三方框架依赖的状态机工作流引擎。引擎定义草稿、待初审、初审驳回、待复核、复核驳回、待终审与终审通过 7 种状态，以及提交、初审通过/驳回、复核通过/驳回、终审通过/驳回 7 种转换事件：草稿经提交进入待初审，初审与复核通过后依次进入待复核、待终审；任一环节驳回则回退至对应驳回态，修改后重新提交回到待初审。系统通过 workflow_config 表配置每个状态的处理人、处理时限与下一状态；事件触发时引擎依次校验操作权限、更新状态、记录操作日志、通知下一处理人，并在终审通过时触发积分计算。管理员可通过修改配置调整审核环节或处理人，无需重启系统[5]。</w:t>
      </w:r>
    </w:p>
    <w:p w14:paraId="65DAE445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lastRenderedPageBreak/>
        <w:t xml:space="preserve">4.6  性能优化与安全设计</w:t>
      </w:r>
    </w:p>
    <w:p w14:paraId="19741325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系统引入 Redis 缓存应对高频积分查询，采用 Cache-Aside 模式（写入时先更新数据库再删除缓存），并以空值缓存与分布式锁分别防止缓存穿透与击穿[15]；数据库层面针对核心查询路径建立联合索引，启用慢查询日志并优化 InnoDB 配置[16]。安全方面整合 Spring Security 与 JWT 实现无状态认证，通过令牌过期与刷新防止会话劫持[14]；系统涉及 270 名科研人员的学历、职称与成果数据，均按《中华人民共和国个人信息保护法》实施最小必要采集与分级授权访问，敏感字段脱敏并留存审计日志。</w:t>
      </w:r>
    </w:p>
    <w:p w14:paraId="150F3162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</w:rPr>
      </w:pPr>
      <w:bookmarkStart w:id="0" w:name="OLE_LINK15"/>
      <w:r>
        <w:rPr>
          <w:rFonts w:ascii="Times New Roman" w:eastAsia="黑体" w:hAnsi="Times New Roman" w:cs="Times New Roman"/>
          <w:sz w:val="24"/>
          <w:szCs w:val="24"/>
        </w:rPr>
        <w:t xml:space="preserve">5  系统测试与应用效果</w:t>
      </w:r>
    </w:p>
    <w:p w14:paraId="02E64643" w14:textId="6F74A2F9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测试环境为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</w:rPr>
        <w:t xml:space="preserve"> 核 CPU /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500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GB</w:t>
      </w:r>
      <w:r>
        <w:rPr>
          <w:rFonts w:ascii="Times New Roman" w:eastAsia="宋体" w:hAnsi="Times New Roman" w:cs="Times New Roman"/>
          <w:sz w:val="21"/>
          <w:szCs w:val="21"/>
        </w:rPr>
        <w:t xml:space="preserve"> 内存、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Ubuntu </w:t>
      </w:r>
      <w:r>
        <w:rPr>
          <w:rFonts w:ascii="Times New Roman" w:eastAsia="宋体" w:hAnsi="Times New Roman" w:cs="Times New Roman" w:hint="eastAsia"/>
          <w:sz w:val="21"/>
          <w:szCs w:val="21"/>
        </w:rPr>
        <w:t>24.04 LTS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bookmarkStart w:id="1" w:name="OLE_LINK14"/>
      <w:r>
        <w:rPr>
          <w:rFonts w:ascii="Times New Roman" w:eastAsia="宋体" w:hAnsi="Times New Roman" w:cs="Times New Roman"/>
          <w:sz w:val="21"/>
          <w:szCs w:val="21"/>
        </w:rPr>
        <w:t xml:space="preserve">OpenJDK </w:t>
      </w:r>
      <w:bookmarkEnd w:id="1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21</w:t>
      </w:r>
      <w:r>
        <w:rPr>
          <w:rFonts w:ascii="Times New Roman" w:eastAsia="宋体" w:hAnsi="Times New Roman" w:cs="Times New Roman"/>
          <w:sz w:val="21"/>
          <w:szCs w:val="21"/>
        </w:rPr>
        <w:t xml:space="preserve">、MySQL 8.0 与 Redis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7.2</w:t>
      </w:r>
      <w:r>
        <w:rPr>
          <w:rFonts w:ascii="Times New Roman" w:eastAsia="宋体" w:hAnsi="Times New Roman" w:cs="Times New Roman"/>
          <w:sz w:val="21"/>
          <w:szCs w:val="21"/>
        </w:rPr>
        <w:t xml:space="preserve">，压力测试工具为 Apache JMeter。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按五大模块设计的功能测试用例覆盖正常流程、边界条件与异常输入，结果如表 2 所示；核心接口在不同并发下的性能（含关闭 Redis 缓存的对照）如表 3 所示。</w:t>
      </w:r>
    </w:p>
    <w:p w14:paraId="57221AA8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</w:rPr>
      </w:pPr>
      <w:r>
        <w:rPr>
          <w:rFonts w:ascii="Times New Roman" w:eastAsia="黑体" w:hAnsi="Times New Roman" w:cs="Times New Roman"/>
          <w:sz w:val="18"/>
          <w:szCs w:val="18"/>
        </w:rPr>
        <w:t xml:space="preserve">表 2  功能测试结果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406"/>
        <w:gridCol w:w="1150"/>
        <w:gridCol w:w="1150"/>
        <w:gridCol w:w="1150"/>
        <w:gridCol w:w="1150"/>
        <w:gridCol w:w="1150"/>
        <w:gridCol w:w="1150"/>
      </w:tblGrid>
      <w:tr w:rsidR="00F23EB3" w14:paraId="68F28A94" w14:textId="77777777">
        <w:trPr>
          <w:cantSplit/>
          <w:tblHeader/>
          <w:jc w:val="center"/>
        </w:trPr>
        <w:tc>
          <w:tcPr>
            <w:tcW w:w="14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265803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功能模块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AF49F0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积分管理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585188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人才画像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E0B804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统计分析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A44562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申报审核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AAA829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系统管理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A5FD17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</w:p>
        </w:tc>
      </w:tr>
      <w:tr w:rsidR="00F23EB3" w14:paraId="0EACB1AC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B4840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用例数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F9C17" w14:textId="55F3F318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3D3DB" w14:textId="15621EBA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34690" w14:textId="5E0D7012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6B929" w14:textId="245EB4C2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A323C" w14:textId="3A1B58E1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6078E" w14:textId="4BFB254F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262</w:t>
            </w:r>
          </w:p>
        </w:tc>
      </w:tr>
      <w:tr w:rsidR="00F23EB3" w14:paraId="286DE2C5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8DA38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通过数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85BCD" w14:textId="0CA4D253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6AFED" w14:textId="66F7CBD4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7D284" w14:textId="70614659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3ED5D" w14:textId="2761765A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5F9B3" w14:textId="34F4FEC9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93E0B" w14:textId="1416BFAF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262</w:t>
            </w:r>
          </w:p>
        </w:tc>
      </w:tr>
      <w:tr w:rsidR="00F23EB3" w14:paraId="7447BA68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AA170F1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通过率 /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E768B11" w14:textId="25E8811D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4C1E9E2" w14:textId="2E916A85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3673B7" w14:textId="4281975E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A0233E9" w14:textId="120FDF4B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18E3203" w14:textId="4DD584D4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72151B1" w14:textId="164A9118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</w:tr>
    </w:tbl>
    <w:p w14:paraId="7EC71014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表 3  核心接口性能测试结果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400"/>
        <w:gridCol w:w="1500"/>
        <w:gridCol w:w="1100"/>
        <w:gridCol w:w="1506"/>
      </w:tblGrid>
      <w:tr w:rsidR="00F23EB3" w14:paraId="4F7B0197" w14:textId="77777777">
        <w:trPr>
          <w:cantSplit/>
          <w:tblHeader/>
          <w:jc w:val="center"/>
        </w:trPr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5C0C97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并发用户数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FFE0AB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平均响应 / ms</w:t>
            </w:r>
          </w:p>
        </w:tc>
        <w:tc>
          <w:tcPr>
            <w:tcW w:w="14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FECD2B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95% 响应 / ms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B5C629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吞吐量 / (次·s⁻¹)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23FFA5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错误率 / %</w:t>
            </w:r>
          </w:p>
        </w:tc>
        <w:tc>
          <w:tcPr>
            <w:tcW w:w="15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7415F4" w14:textId="77777777" w:rsidR="00F23E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  <w:lang w:eastAsia="zh-CN"/>
              </w:rPr>
              <w:t xml:space="preserve">关闭缓存平均响应 / ms</w:t>
            </w:r>
          </w:p>
        </w:tc>
      </w:tr>
      <w:tr w:rsidR="00F23EB3" w14:paraId="13FDE9A7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8D06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0C5E2" w14:textId="7462C3A0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4323E" w14:textId="671224EB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81E68" w14:textId="4FBCA474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36A3B" w14:textId="7E88E8E4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F02DE" w14:textId="694B1F34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96.8</w:t>
            </w:r>
          </w:p>
        </w:tc>
      </w:tr>
      <w:tr w:rsidR="00F23EB3" w14:paraId="510E6D16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95E8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CE127" w14:textId="643F5965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642CC" w14:textId="78C38AFB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D7DB4" w14:textId="6C4BCEAD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C23F3" w14:textId="3BCB7A82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0.1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C1F03" w14:textId="322CD42C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95.6</w:t>
            </w:r>
          </w:p>
        </w:tc>
      </w:tr>
      <w:tr w:rsidR="00F23EB3" w14:paraId="3F5FA4E4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BCB4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1ED94" w14:textId="57EC656E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44CF7" w14:textId="49A16AE5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368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95F7E" w14:textId="7548EB72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1053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154B7" w14:textId="00F50F11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BD88F" w14:textId="0D4EC6E8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94.2</w:t>
            </w:r>
          </w:p>
        </w:tc>
      </w:tr>
      <w:tr w:rsidR="00F23EB3" w14:paraId="14FEBFBC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345887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D91C5BB" w14:textId="3ACC5DFE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C5B51C0" w14:textId="53D7EC26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786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65C2324" w14:textId="3E6B1FDC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7BD0799" w14:textId="69404EDC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9D96B86" w14:textId="527CD589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92.5</w:t>
            </w:r>
          </w:p>
        </w:tc>
      </w:tr>
    </w:tbl>
    <w:p w14:paraId="0C0E50CA" w14:textId="22F5DE55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bookmarkStart w:id="2" w:name="OLE_LINK16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为评价标签准确性，从 270 名科研人员中随机抽取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90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名，由 3 名科研管理专家依据其近三年科研档案独立标注能力标签，以三人一致的结果为金标准与系统输出比对。系统共生成 32 个动态能力标签，准确率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88.0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%、召回率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84.1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%、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F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1 值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0.86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，专家标注 Kappa 系数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0.81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。以上线前后各 3 个月的科研管理台账与系统日志为数据源的应用效果对比如表 4 所示。</w:t>
      </w:r>
    </w:p>
    <w:bookmarkEnd w:id="2"/>
    <w:p w14:paraId="1C3DFF6C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lastRenderedPageBreak/>
        <w:t xml:space="preserve">表 4  系统上线前后应用效果对比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806"/>
        <w:gridCol w:w="1300"/>
        <w:gridCol w:w="1500"/>
        <w:gridCol w:w="1300"/>
        <w:gridCol w:w="1200"/>
        <w:gridCol w:w="1200"/>
      </w:tblGrid>
      <w:tr w:rsidR="00F23EB3" w14:paraId="0EA44F8D" w14:textId="77777777">
        <w:trPr>
          <w:cantSplit/>
          <w:tblHeader/>
          <w:jc w:val="center"/>
        </w:trPr>
        <w:tc>
          <w:tcPr>
            <w:tcW w:w="18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17C81E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08FCF6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申报单量 / 件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813CE5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平均审核周期 / d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AE00DF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超时未办结 / 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0848A3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核算差错 / 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7B6E60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人均月查询 / 次</w:t>
            </w:r>
          </w:p>
        </w:tc>
      </w:tr>
      <w:tr w:rsidR="00F23EB3" w14:paraId="035DCB07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C8AFF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上线前（线下）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D2A02" w14:textId="6164B532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3.5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1729C" w14:textId="18A27BBF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68306" w14:textId="0072AEED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D2112" w14:textId="38271D5E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899B" w14:textId="4C9C7A64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</w:t>
            </w:r>
          </w:p>
        </w:tc>
      </w:tr>
      <w:tr w:rsidR="00F23EB3" w14:paraId="78254398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04280E4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上线后（系统）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2579141" w14:textId="6E605E26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46C5012" w14:textId="2CE3AB4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A4873C4" w14:textId="785788D5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8E0D01" w14:textId="6B24B386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C95C14B" w14:textId="695C7CD3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680</w:t>
            </w:r>
          </w:p>
        </w:tc>
      </w:tr>
    </w:tbl>
    <w:p w14:paraId="489F06E5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由表 4 可见，系统上线后申报与审核实现全流程线上化，审核周期与核算差错显著下降，排行与画像信息的实时可视化也提升了科研人员的参与度。</w:t>
      </w:r>
      <w:bookmarkEnd w:id="0"/>
    </w:p>
    <w:p w14:paraId="17D84F98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6  结论与展望</w:t>
      </w:r>
    </w:p>
    <w:p w14:paraId="607229DF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本文设计并实现了基于 Spring Boot 与 MyBatis 的疾控科研积分管理系统：针对多作者成果提出分段权重分配模型并与守恒型方法作了对比；将指数时间衰减前置于行为积分归一化环节，使标签权重、能力维度得分与人才画像形成量纲一致的统一计算链路；基于有限状态机实现了无第三方依赖的审批工作流引擎。系统运行期间审核周期与积分核算差错显著下降，有效支撑了科研人才的精细化评价与激励。后续将开展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的敏感性分析以提升模型稳健性，并与人事、财务等系统实现数据互通。</w:t>
      </w:r>
    </w:p>
    <w:p w14:paraId="16BD3DEF" w14:textId="77777777" w:rsidR="00F23EB3" w:rsidRDefault="00000000">
      <w:pPr>
        <w:spacing w:beforeLines="35" w:before="109" w:afterLines="18" w:after="56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>参考文献</w:t>
      </w:r>
    </w:p>
    <w:p w14:paraId="74FDBF34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[1] 李涛, 关健, 吴沛新. 卫生政策与管理研究领域科技评价体系的思考和建议[J]. 中华医学科研管理杂志, 2023, 36(4): 259-265.</w:t>
      </w:r>
    </w:p>
    <w:p w14:paraId="459D35BC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[2] 沈杨阳. 国家科研管理机构组织颠覆性技术创新的实践路径[J]. 中国科技论坛, 2026(5): 1-11.</w:t>
      </w:r>
    </w:p>
    <w:p w14:paraId="3B235346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>[3] AMARAL P, MAGALHÃES P. Performance-based funding and research productivity: a longitudinal analysis of European universities[J]. Scientometrics, 2024, 129(3): 1587-1612.</w:t>
      </w:r>
    </w:p>
    <w:p w14:paraId="553E866F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>[4] LEI F. Design and implementation assurance of a dynamic indicator system for classified faculty performance evaluation in the post-"breaking the five onlys" era[J]. World Journal of Educational Studies, 2025, 3(9): 16-31.</w:t>
      </w:r>
    </w:p>
    <w:p w14:paraId="5AB840A4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>[5] ZHANG Y, LI H, WANG J. A lightweight microservice orchestration framework based on Spring Boot for edge-cloud collaborative computing in industrial IoT[J]. IEEE Internet of Things Journal, 2025, 12(4): 5821-5834.</w:t>
      </w:r>
    </w:p>
    <w:p w14:paraId="6994B821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[6] 刘盛, 王占云. 基于SpringBoot+Vue微服务架构的科研样本库管理系统的设计与实现[J]. 信息系统工程, 2025(4): 4-7.</w:t>
      </w:r>
    </w:p>
    <w:p w14:paraId="0968C10E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[7] 季甜甜, 刘冬冬. 基于Vue前端性能的研究与分析[J]. 阜阳师范大学学报(自然科学版), 2024, 41(1): 15-22.</w:t>
      </w:r>
    </w:p>
    <w:p w14:paraId="12C2DB41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[8] 张岩. 基于Spring Boot的公共卫生服务平台设计[J]. 现代信息技术, 2026, 10(1): 105-110, 116.</w:t>
      </w:r>
    </w:p>
    <w:p w14:paraId="586203AF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[9] 罗仕鉴, 郭和睿, 钟素萍, 等. 智能体驱动的产品设计用户画像生成方法[J]. 计算机集成制造系统, 2025, 31(11): 3919-3931.</w:t>
      </w:r>
    </w:p>
    <w:p w14:paraId="43343DD2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[10] 白菁昊, 庄俊玺. 面向学习者画像的时序动态标签构建及预测方法[J]. 计算机科学, 2026, 53(5): 79-89.</w:t>
      </w:r>
    </w:p>
    <w:p w14:paraId="463474AF" w14:textId="5C78471E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[11] 来天平, 王永超, 罗盘, 等. </w:t>
      </w:r>
      <w:bookmarkStart w:id="3" w:name="OLE_LINK17"/>
      <w:r>
        <w:rPr>
          <w:rFonts w:ascii="Times New Roman" w:eastAsia="宋体" w:hAnsi="Times New Roman" w:cs="Times New Roman"/>
          <w:sz w:val="18"/>
          <w:szCs w:val="18"/>
          <w:lang w:eastAsia="zh-CN"/>
        </w:rPr>
        <w:t>基于角色资源级别的权限控制模型的设计与应用研究</w:t>
      </w:r>
      <w:bookmarkEnd w:id="3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通信学报, 2024, 45(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S2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): 153-159.</w:t>
      </w:r>
    </w:p>
    <w:p w14:paraId="656D3DC8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[12] DURDAG O, COŞKUNÇAY A. Reconfiguring role-based access control via role clustering[J].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IEEE Access, 2025, 13: 72984-72993.</w:t>
      </w:r>
    </w:p>
    <w:p w14:paraId="2AE80430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[13] 魏巍. 基于RBAC模型云资源管理系统访问控制权限的设计与实施[J]. 科学技术创新, 2025(2): 122-125.</w:t>
      </w:r>
    </w:p>
    <w:p w14:paraId="21F579CF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[14] 何立富. 前后端分离环境下Spring Security权限系统构建与实现[J]. 电脑编程技巧与维护, 2025(10): 3-7.</w:t>
      </w:r>
    </w:p>
    <w:p w14:paraId="614EC1E7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[15] WANG Y C, YANG J Y, WANG Z L. kRedis: multi-tenant in-memory key-value cache partitioning using efficient random sampling-based LRU model[J]. IEEE Transactions on Cloud Computing, 2023, 11(4): 1-18.</w:t>
      </w:r>
    </w:p>
    <w:p w14:paraId="2571B49A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[16] 卢超, 杨朝树, 姚政竹, 等. 基于持久内存的B+树索引优化综述[J]. 计算机科学, 2026, 53(1): 77-88.</w:t>
      </w:r>
    </w:p>
    <w:p w14:paraId="162A5130" w14:textId="77777777" w:rsidR="00F23EB3" w:rsidRDefault="00F23EB3">
      <w:pPr>
        <w:pBdr>
          <w:bottom w:val="single" w:sz="6" w:space="1" w:color="auto"/>
        </w:pBdr>
        <w:spacing w:beforeLines="18" w:before="56"/>
        <w:rPr>
          <w:rFonts w:hint="eastAsia"/>
        </w:rPr>
      </w:pPr>
    </w:p>
    <w:p w14:paraId="70795EB9" w14:textId="35C9521A" w:rsidR="00F23EB3" w:rsidRDefault="00000000">
      <w:pPr>
        <w:spacing w:afterLines="2" w:after="6" w:line="250" w:lineRule="auto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基金项目：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南通市社科研究课题（网信专项）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（项目编号：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WA25-6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7B33D990" w14:textId="3BC41335" w:rsidR="00F23EB3" w:rsidRDefault="00000000">
      <w:pPr>
        <w:spacing w:line="250" w:lineRule="auto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作者简介：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杨文超（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1988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—），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男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江苏如东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人，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高级工程师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硕士研究生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，主要研究方向为科研管理信息化、公共卫生数据分析。</w:t>
      </w:r>
      <w:r>
        <w:rPr>
          <w:rFonts w:ascii="Times New Roman" w:eastAsia="宋体" w:hAnsi="Times New Roman" w:cs="Times New Roman"/>
          <w:sz w:val="18"/>
          <w:szCs w:val="18"/>
        </w:rPr>
        <w:t>E-mail：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573816315@qq.com</w:t>
      </w:r>
    </w:p>
    <w:sectPr w:rsidR="00F23E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CCA94" w14:textId="77777777" w:rsidR="00A93786" w:rsidRDefault="00A93786" w:rsidP="005B51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11D7F8" w14:textId="77777777" w:rsidR="00A93786" w:rsidRDefault="00A93786" w:rsidP="005B51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4DBAB" w14:textId="77777777" w:rsidR="00A93786" w:rsidRDefault="00A93786" w:rsidP="005B51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46F444" w14:textId="77777777" w:rsidR="00A93786" w:rsidRDefault="00A93786" w:rsidP="005B51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C8B"/>
    <w:multiLevelType w:val="hybridMultilevel"/>
    <w:tmpl w:val="C9BCEF2C"/>
    <w:lvl w:ilvl="0" w:tplc="77A0A8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9622C2D"/>
    <w:multiLevelType w:val="hybridMultilevel"/>
    <w:tmpl w:val="DFD2F97E"/>
    <w:lvl w:ilvl="0" w:tplc="EB084F7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414948">
    <w:abstractNumId w:val="0"/>
  </w:num>
  <w:num w:numId="2" w16cid:durableId="110699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08"/>
    <w:rsid w:val="00001389"/>
    <w:rsid w:val="00021476"/>
    <w:rsid w:val="00030E9E"/>
    <w:rsid w:val="0003457F"/>
    <w:rsid w:val="00047837"/>
    <w:rsid w:val="00083549"/>
    <w:rsid w:val="00086AF0"/>
    <w:rsid w:val="0009541E"/>
    <w:rsid w:val="000B2A1D"/>
    <w:rsid w:val="000B2B95"/>
    <w:rsid w:val="000B528F"/>
    <w:rsid w:val="000D662A"/>
    <w:rsid w:val="000E3D8D"/>
    <w:rsid w:val="000E77BA"/>
    <w:rsid w:val="00100C81"/>
    <w:rsid w:val="00102829"/>
    <w:rsid w:val="00105192"/>
    <w:rsid w:val="00105E66"/>
    <w:rsid w:val="00113A0C"/>
    <w:rsid w:val="00121E97"/>
    <w:rsid w:val="00137F41"/>
    <w:rsid w:val="00141A88"/>
    <w:rsid w:val="001509DF"/>
    <w:rsid w:val="0015225F"/>
    <w:rsid w:val="001650C7"/>
    <w:rsid w:val="0016734A"/>
    <w:rsid w:val="00185434"/>
    <w:rsid w:val="00195740"/>
    <w:rsid w:val="001A14C5"/>
    <w:rsid w:val="001A70A1"/>
    <w:rsid w:val="001C2962"/>
    <w:rsid w:val="001D4AAF"/>
    <w:rsid w:val="00210DD2"/>
    <w:rsid w:val="00225CDE"/>
    <w:rsid w:val="0026328B"/>
    <w:rsid w:val="00272A10"/>
    <w:rsid w:val="00274CDD"/>
    <w:rsid w:val="0029409F"/>
    <w:rsid w:val="002B1675"/>
    <w:rsid w:val="002C1EE2"/>
    <w:rsid w:val="002C433D"/>
    <w:rsid w:val="002E6926"/>
    <w:rsid w:val="0032250C"/>
    <w:rsid w:val="00345497"/>
    <w:rsid w:val="0036506E"/>
    <w:rsid w:val="00395316"/>
    <w:rsid w:val="0039656B"/>
    <w:rsid w:val="003B3A98"/>
    <w:rsid w:val="003E415E"/>
    <w:rsid w:val="003F7C45"/>
    <w:rsid w:val="0041664F"/>
    <w:rsid w:val="00461777"/>
    <w:rsid w:val="004618BD"/>
    <w:rsid w:val="00462952"/>
    <w:rsid w:val="004661CE"/>
    <w:rsid w:val="00467B1E"/>
    <w:rsid w:val="004768A6"/>
    <w:rsid w:val="004868A9"/>
    <w:rsid w:val="004A7606"/>
    <w:rsid w:val="004C3455"/>
    <w:rsid w:val="004D2C3A"/>
    <w:rsid w:val="004D47DF"/>
    <w:rsid w:val="004E7822"/>
    <w:rsid w:val="004F0C29"/>
    <w:rsid w:val="004F3A2B"/>
    <w:rsid w:val="00517EE6"/>
    <w:rsid w:val="005204A7"/>
    <w:rsid w:val="00524E75"/>
    <w:rsid w:val="005253EE"/>
    <w:rsid w:val="00536BF2"/>
    <w:rsid w:val="005664EE"/>
    <w:rsid w:val="005839D6"/>
    <w:rsid w:val="005A7A10"/>
    <w:rsid w:val="005B2EE8"/>
    <w:rsid w:val="005B51E2"/>
    <w:rsid w:val="005C0270"/>
    <w:rsid w:val="005C08A7"/>
    <w:rsid w:val="005D0273"/>
    <w:rsid w:val="005D183C"/>
    <w:rsid w:val="005D75C4"/>
    <w:rsid w:val="005E7DD3"/>
    <w:rsid w:val="00600D71"/>
    <w:rsid w:val="00667BAE"/>
    <w:rsid w:val="0067117A"/>
    <w:rsid w:val="0068567B"/>
    <w:rsid w:val="006B33D1"/>
    <w:rsid w:val="006B39CC"/>
    <w:rsid w:val="006D3F39"/>
    <w:rsid w:val="006D5CCC"/>
    <w:rsid w:val="006E2399"/>
    <w:rsid w:val="006F38AF"/>
    <w:rsid w:val="00714292"/>
    <w:rsid w:val="007149CA"/>
    <w:rsid w:val="00720321"/>
    <w:rsid w:val="007337FF"/>
    <w:rsid w:val="00746169"/>
    <w:rsid w:val="00752232"/>
    <w:rsid w:val="00761940"/>
    <w:rsid w:val="00785AAE"/>
    <w:rsid w:val="007C7F15"/>
    <w:rsid w:val="007E4292"/>
    <w:rsid w:val="008165A8"/>
    <w:rsid w:val="008557F7"/>
    <w:rsid w:val="00856FED"/>
    <w:rsid w:val="0087417B"/>
    <w:rsid w:val="00875153"/>
    <w:rsid w:val="008963A2"/>
    <w:rsid w:val="008A1791"/>
    <w:rsid w:val="008B2229"/>
    <w:rsid w:val="008B58C6"/>
    <w:rsid w:val="008C143B"/>
    <w:rsid w:val="008D51EC"/>
    <w:rsid w:val="008D62E4"/>
    <w:rsid w:val="008E3D08"/>
    <w:rsid w:val="008E606E"/>
    <w:rsid w:val="008E74E4"/>
    <w:rsid w:val="009312CD"/>
    <w:rsid w:val="00942F51"/>
    <w:rsid w:val="009731EC"/>
    <w:rsid w:val="009859A3"/>
    <w:rsid w:val="009A549B"/>
    <w:rsid w:val="009B7C32"/>
    <w:rsid w:val="00A25E48"/>
    <w:rsid w:val="00A334E5"/>
    <w:rsid w:val="00A55135"/>
    <w:rsid w:val="00A55145"/>
    <w:rsid w:val="00A93786"/>
    <w:rsid w:val="00AA28B2"/>
    <w:rsid w:val="00AA2A57"/>
    <w:rsid w:val="00AB6A77"/>
    <w:rsid w:val="00AC3431"/>
    <w:rsid w:val="00AE3374"/>
    <w:rsid w:val="00AE7103"/>
    <w:rsid w:val="00AF4551"/>
    <w:rsid w:val="00AF766E"/>
    <w:rsid w:val="00B013CD"/>
    <w:rsid w:val="00B02F4E"/>
    <w:rsid w:val="00B05E48"/>
    <w:rsid w:val="00B071D1"/>
    <w:rsid w:val="00B3598A"/>
    <w:rsid w:val="00B47C72"/>
    <w:rsid w:val="00B62835"/>
    <w:rsid w:val="00B649D3"/>
    <w:rsid w:val="00B73E7B"/>
    <w:rsid w:val="00B87BD5"/>
    <w:rsid w:val="00B92916"/>
    <w:rsid w:val="00BB17A8"/>
    <w:rsid w:val="00BB1B84"/>
    <w:rsid w:val="00BB20B4"/>
    <w:rsid w:val="00BD2C4D"/>
    <w:rsid w:val="00BD6237"/>
    <w:rsid w:val="00BE41C0"/>
    <w:rsid w:val="00BF1437"/>
    <w:rsid w:val="00C048F5"/>
    <w:rsid w:val="00C11B7F"/>
    <w:rsid w:val="00C14545"/>
    <w:rsid w:val="00C15A6D"/>
    <w:rsid w:val="00C30F17"/>
    <w:rsid w:val="00C740F4"/>
    <w:rsid w:val="00C95DD2"/>
    <w:rsid w:val="00C97E23"/>
    <w:rsid w:val="00CA3F85"/>
    <w:rsid w:val="00CB2F26"/>
    <w:rsid w:val="00CB74F4"/>
    <w:rsid w:val="00CF7776"/>
    <w:rsid w:val="00D124CA"/>
    <w:rsid w:val="00D45627"/>
    <w:rsid w:val="00D50012"/>
    <w:rsid w:val="00D60DAC"/>
    <w:rsid w:val="00D66A22"/>
    <w:rsid w:val="00D76D93"/>
    <w:rsid w:val="00DA69E2"/>
    <w:rsid w:val="00DE2A7E"/>
    <w:rsid w:val="00DF50EE"/>
    <w:rsid w:val="00E044DE"/>
    <w:rsid w:val="00E06855"/>
    <w:rsid w:val="00E26782"/>
    <w:rsid w:val="00E26FEC"/>
    <w:rsid w:val="00E319C2"/>
    <w:rsid w:val="00E624EF"/>
    <w:rsid w:val="00E92986"/>
    <w:rsid w:val="00E97719"/>
    <w:rsid w:val="00EB170D"/>
    <w:rsid w:val="00EC08BE"/>
    <w:rsid w:val="00EC792E"/>
    <w:rsid w:val="00EF4CC1"/>
    <w:rsid w:val="00F14C49"/>
    <w:rsid w:val="00F23EB3"/>
    <w:rsid w:val="00F255F4"/>
    <w:rsid w:val="00F4510A"/>
    <w:rsid w:val="00F735A6"/>
    <w:rsid w:val="00F80986"/>
    <w:rsid w:val="00F84A46"/>
    <w:rsid w:val="00F85605"/>
    <w:rsid w:val="00F96C39"/>
    <w:rsid w:val="00FA418D"/>
    <w:rsid w:val="00FB3D83"/>
    <w:rsid w:val="00FD348F"/>
    <w:rsid w:val="00FF0B2E"/>
    <w:rsid w:val="00FF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3E9A1"/>
  <w15:chartTrackingRefBased/>
  <w15:docId w15:val="{C1C1DF1A-F42C-4C0C-91D1-141157A7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431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E3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D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D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D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D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D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D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D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3D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D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D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D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D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D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3D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51E2"/>
    <w:rPr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51E2"/>
    <w:rPr>
      <w:kern w:val="0"/>
      <w:sz w:val="18"/>
      <w:szCs w:val="18"/>
      <w:lang w:eastAsia="en-US"/>
    </w:rPr>
  </w:style>
  <w:style w:type="character" w:styleId="af2">
    <w:name w:val="Hyperlink"/>
    <w:basedOn w:val="a0"/>
    <w:uiPriority w:val="99"/>
    <w:unhideWhenUsed/>
    <w:rsid w:val="00E9298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9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8</Pages>
  <Words>1422</Words>
  <Characters>8109</Characters>
  <Application>Microsoft Office Word</Application>
  <DocSecurity>0</DocSecurity>
  <Lines>67</Lines>
  <Paragraphs>19</Paragraphs>
  <ScaleCrop>false</ScaleCrop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319</cp:revision>
  <cp:lastPrinted>2026-07-22T04:53:00Z</cp:lastPrinted>
  <dcterms:created xsi:type="dcterms:W3CDTF">2026-07-21T03:04:00Z</dcterms:created>
  <dcterms:modified xsi:type="dcterms:W3CDTF">2026-08-28T02:32:00Z</dcterms:modified>
</cp:coreProperties>
</file>