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仿宋" w:cs="Times New Roman"/>
          <w:sz w:val="28"/>
          <w:szCs w:val="28"/>
          <w:lang w:eastAsia="zh-CN"/>
        </w:rPr>
        <w:t>杨文超</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，张卫兵</w:t>
      </w:r>
      <w:r>
        <w:rPr>
          <w:rFonts w:hint="eastAsia" w:ascii="Times New Roman" w:hAnsi="Times New Roman" w:eastAsia="仿宋" w:cs="Times New Roman"/>
          <w:sz w:val="28"/>
          <w:szCs w:val="28"/>
          <w:vertAlign w:val="superscript"/>
          <w:lang w:val="en-US" w:eastAsia="zh-CN"/>
        </w:rPr>
        <w:t>2*</w:t>
      </w:r>
      <w:r>
        <w:rPr>
          <w:rFonts w:hint="eastAsia" w:ascii="Times New Roman" w:hAnsi="Times New Roman" w:eastAsia="仿宋" w:cs="Times New Roman"/>
          <w:sz w:val="28"/>
          <w:szCs w:val="28"/>
          <w:lang w:eastAsia="zh-CN"/>
        </w:rPr>
        <w:t>，练维</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，徐小卫</w:t>
      </w:r>
      <w:r>
        <w:rPr>
          <w:rFonts w:hint="eastAsia" w:ascii="Times New Roman" w:hAnsi="Times New Roman" w:eastAsia="仿宋" w:cs="Times New Roman"/>
          <w:sz w:val="28"/>
          <w:szCs w:val="28"/>
          <w:vertAlign w:val="superscript"/>
          <w:lang w:val="en-US" w:eastAsia="zh-CN"/>
        </w:rPr>
        <w:t>3</w:t>
      </w:r>
      <w:r>
        <w:rPr>
          <w:rFonts w:hint="eastAsia" w:ascii="Times New Roman" w:hAnsi="Times New Roman" w:eastAsia="仿宋" w:cs="Times New Roman"/>
          <w:sz w:val="28"/>
          <w:szCs w:val="28"/>
          <w:lang w:eastAsia="zh-CN"/>
        </w:rPr>
        <w:t>，王秦</w:t>
      </w:r>
      <w:r>
        <w:rPr>
          <w:rFonts w:hint="eastAsia" w:ascii="Times New Roman" w:hAnsi="Times New Roman" w:eastAsia="仿宋"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(1.南通市疾病预防控制中心 科研与质量管理科，江苏 南通 226001；2.南通市疾病预防控制中心 主任室，江苏 南通 226001；3.南通市疾病预防控制中心 信息管理科，江苏 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Boot、Vue.js 与 MySQL 8.0 实现，在南通市疾病预防控制中心运行 3 个月，覆盖 270 名科研人员：平均审核周期由 7 d 缩短至 2 d，积分核算差错率由 3.54% 降至 0.08%，动态能力标签相对专家标注的 F1 值为 0.86。以本中心 2024—2025 年公开发表的 183 篇论文为样本的对比实验表明，本文分配方法与均分法的人才排名 Spearman 秩相关为 0.864，合作规模高于中位数的人员名次系统性上升，与名义分值制鼓励协作的设计意图一致。结果表明，该系统可提升疾控机构科研人才评价的精细度与审核效率，为同类公共卫生机构提供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8"/>
          <w:szCs w:val="28"/>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4"/>
          <w:szCs w:val="24"/>
        </w:rPr>
        <w:t xml:space="preserve">YANG Wen-chao</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ZHANG Wei-bing</w:t>
      </w:r>
      <w:r>
        <w:rPr>
          <w:rFonts w:ascii="Times New Roman" w:hAnsi="Times New Roman" w:eastAsia="宋体" w:cs="Times New Roman"/>
          <w:sz w:val="24"/>
          <w:szCs w:val="24"/>
          <w:vertAlign w:val="superscript"/>
        </w:rPr>
        <w:t xml:space="preserve">2</w:t>
      </w:r>
      <w:r>
        <w:rPr>
          <w:rFonts w:ascii="Times New Roman" w:hAnsi="Times New Roman" w:eastAsia="宋体" w:cs="Times New Roman"/>
          <w:sz w:val="24"/>
          <w:szCs w:val="24"/>
        </w:rPr>
        <w:t xml:space="preserve">, LIAN Wei</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XU Xiao-wei</w:t>
      </w:r>
      <w:r>
        <w:rPr>
          <w:rFonts w:ascii="Times New Roman" w:hAnsi="Times New Roman" w:eastAsia="宋体" w:cs="Times New Roman"/>
          <w:sz w:val="24"/>
          <w:szCs w:val="24"/>
          <w:vertAlign w:val="superscript"/>
        </w:rPr>
        <w:t xml:space="preserve">3</w:t>
      </w:r>
      <w:r>
        <w:rPr>
          <w:rFonts w:ascii="Times New Roman" w:hAnsi="Times New Roman" w:eastAsia="宋体" w:cs="Times New Roman"/>
          <w:sz w:val="24"/>
          <w:szCs w:val="24"/>
        </w:rPr>
        <w:t xml:space="preserve">, WANG Qin</w:t>
      </w:r>
      <w:r>
        <w:rPr>
          <w:rFonts w:ascii="Times New Roman" w:hAnsi="Times New Roman" w:eastAsia="宋体" w:cs="Times New Roman"/>
          <w:sz w:val="24"/>
          <w:szCs w:val="24"/>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(1. Division of Research and Quality Management, Nantong Center for Disease Control and Prevention, Nantong 226001, Jiangsu, China; 2. Director’s Office, Nantong Center for Disease Control and Prevention, Nantong 226001, Jiangsu, China; 3. Division of Information Management, Nantong Center for Disease Control and Prevention, Nantong 226001, Jiangsu,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Implemented with Spring Boot, Vue.js and MySQL 8.0, the system has run for three months at Nantong CDC covering 270 researchers: the approval cycle is shortened from 7 d to 2 d, the points-accounting error rate drops from 3.54% to 0.08%, and the dynamic capability tagging reaches an F1 of 0.86 against expert annotation. A comparative experiment on 183 papers published by the centre in 2024-2025, retrieved from CNKI, shows a Spearman rank correlation of 0.864 between the proposed allocation method and equal sharing, with researchers of above-median team size rising systematically in rank, which matches the collaboration-oriented intent of the nominal-credit scheme.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0 引言</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前者止于机构层面，后者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问题，本文对应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上述通路在量纲上保持一致。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ascii="黑体" w:hAnsi="黑体" w:eastAsia="黑体"/>
          <w:sz w:val="18"/>
          <w:szCs w:val="18"/>
          <w:lang w:eastAsia="zh-CN"/>
        </w:rPr>
        <w:t xml:space="preserve">图1 系统分层架构</w:t>
      </w:r>
    </w:p>
    <w:p w14:paraId="50E11459">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Fig.1 Layered architecture of the system</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3 关键技术实现</w:t>
      </w:r>
    </w:p>
    <w:p w14:paraId="69214C3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表1 多作者积分分配方法对比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1 Comparison of credit allocation methods for multi-author outputs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5"/>
                <w:szCs w:val="15"/>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5"/>
                <w:szCs w:val="15"/>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5"/>
                <w:szCs w:val="15"/>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5"/>
                <w:szCs w:val="15"/>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5"/>
                <w:szCs w:val="15"/>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5"/>
                <w:szCs w:val="15"/>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5"/>
                <w:szCs w:val="15"/>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5"/>
                <w:szCs w:val="15"/>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5"/>
                <w:szCs w:val="15"/>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5"/>
                <w:szCs w:val="15"/>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5"/>
                <w:szCs w:val="15"/>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5"/>
                <w:szCs w:val="15"/>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5"/>
                <w:szCs w:val="15"/>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5"/>
                <w:szCs w:val="15"/>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5"/>
                <w:szCs w:val="15"/>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5"/>
                <w:szCs w:val="15"/>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5"/>
                <w:szCs w:val="15"/>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5"/>
                <w:szCs w:val="15"/>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5"/>
                <w:szCs w:val="15"/>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5"/>
                <w:szCs w:val="15"/>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5"/>
                <w:szCs w:val="15"/>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5"/>
                <w:szCs w:val="15"/>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5"/>
                <w:szCs w:val="15"/>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5"/>
                <w:szCs w:val="15"/>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5"/>
                <w:szCs w:val="15"/>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5"/>
                <w:szCs w:val="15"/>
              </w:rPr>
              <w:t>2.50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i/>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w:t>
      </w:r>
      <w:r>
        <w:rPr>
          <w:rFonts w:hint="eastAsia" w:ascii="Times New Roman" w:hAnsi="Times New Roman" w:eastAsia="宋体" w:cs="Times New Roman"/>
          <w:b/>
          <w:i/>
          <w:sz w:val="21"/>
          <w:szCs w:val="21"/>
          <w:lang w:eastAsia="zh-CN"/>
        </w:rPr>
        <w:t xml:space="preserve">M</w:t>
      </w:r>
      <w:r>
        <w:rPr>
          <w:rFonts w:hint="eastAsia" w:ascii="Times New Roman" w:hAnsi="Times New Roman" w:eastAsia="宋体" w:cs="Times New Roman"/>
          <w:sz w:val="21"/>
          <w:szCs w:val="21"/>
          <w:lang w:eastAsia="zh-CN"/>
        </w:rPr>
        <w:t xml:space="preserve"> ∈ </w:t>
      </w:r>
      <w:r>
        <w:rPr>
          <w:rFonts w:hint="eastAsia" w:ascii="Times New Roman" w:hAnsi="Times New Roman" w:eastAsia="宋体" w:cs="Times New Roman"/>
          <w:i/>
          <w:sz w:val="21"/>
          <w:szCs w:val="21"/>
          <w:lang w:eastAsia="zh-CN"/>
        </w:rPr>
        <w:t xml:space="preserve">R</w:t>
      </w:r>
      <w:r>
        <w:rPr>
          <w:rFonts w:hint="eastAsia" w:ascii="Times New Roman" w:hAnsi="Times New Roman" w:eastAsia="宋体" w:cs="Times New Roman"/>
          <w:i/>
          <w:sz w:val="21"/>
          <w:szCs w:val="21"/>
          <w:vertAlign w:val="superscript"/>
          <w:lang w:eastAsia="zh-CN"/>
        </w:rPr>
        <w:t xml:space="preserve">T</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D</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为标签总数，</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为能力维度数（本系统取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 16，各维度名称如图2所示）。元素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[0, 1] 表示标签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对维度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的贡献度，满足 Σ</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 中的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ascii="黑体" w:hAnsi="黑体" w:eastAsia="黑体"/>
          <w:sz w:val="18"/>
          <w:szCs w:val="18"/>
          <w:lang w:eastAsia="zh-CN"/>
        </w:rPr>
        <w:t xml:space="preserve">图2 人才画像能力雷达图</w:t>
      </w:r>
    </w:p>
    <w:p w14:paraId="416093E6">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Fig.2 Capability radar chart of a talent profile</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3116A64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种转换事件：草稿经提交进入待初审，初审、复核通过后依次进入待复核与待终审，任一环节驳回则回退至对应驳回态。各状态的处理人、处理时限与下一状态由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 xml:space="preserve">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5F2B74F2">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表2 核心接口性能测试结果</w:t>
      </w:r>
    </w:p>
    <w:p w14:paraId="5F2B74F2">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2 Performance test results of core interfaces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5"/>
                <w:szCs w:val="15"/>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5"/>
                <w:szCs w:val="15"/>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5"/>
                <w:szCs w:val="15"/>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5"/>
                <w:szCs w:val="15"/>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5"/>
                <w:szCs w:val="15"/>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5"/>
                <w:szCs w:val="15"/>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5"/>
                <w:szCs w:val="15"/>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5"/>
                <w:szCs w:val="15"/>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5"/>
                <w:szCs w:val="15"/>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92.5</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0C4537F9">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表3 系统上线前后应用效果对比</w:t>
      </w:r>
    </w:p>
    <w:p w14:paraId="0C4537F9">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3 Application effects before and after system deployment</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5"/>
                <w:szCs w:val="15"/>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5"/>
                <w:szCs w:val="15"/>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5"/>
                <w:szCs w:val="15"/>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5"/>
                <w:szCs w:val="15"/>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5"/>
                <w:szCs w:val="15"/>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5"/>
                <w:szCs w:val="15"/>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5"/>
                <w:szCs w:val="15"/>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0.08</w:t>
            </w:r>
          </w:p>
        </w:tc>
      </w:tr>
      <w:bookmarkEnd w:id="0"/>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表4 本文系统与同类工作的对比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4 Comparison between the proposed system and related work</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表5 四种分配方法下人才排名的 Spearman 秩相关</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5 Spearman rank correlations of talent rankings under four allocation methods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秩相关反映整体一致性，头部名次的差异则更直接影响职称评审与激励分配，前 10 名与前 30 名的人员重合情况如表6所示。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表6 以本文方法为基准的 Top-N 人员重合度</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6 Top-N overlap of researchers with the proposed method as the baseline</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表7 不同合作规模科研人员的排名变动（本文方法相对均分法）</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7 Rank changes of researchers with different collaboration scales (proposed method vs. equal sharing)</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26/30，差异集中在均分法一侧。合作规模高于中位数与不高于中位数的两组，平均名次变动分别为上升 9.8 位与下降 9.5 位，方向与名义分值制“鼓励多科室协作”的设计意图一致。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合作规模高于中位数的人员名次系统性上升，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0.26，模型刻画的是近三年的科研活跃度而非长期学术积累，也不评价成果质量，宜与同行评议互补使用；标签—能力维度映射矩阵由本中心专家标定，跨机构推广需重新标定；式(4) 采用极值归一化，对异常高分较敏感。后续将在积累更长周期的积分流水后，就两个时效参数的取值开展敏感性分析与跨机构验证，并与人事、财务等系统打通数据。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73708FC1">
      <w:pPr>
        <w:spacing w:after="3" w:afterLines="1"/>
        <w:ind w:left="324" w:hanging="324"/>
        <w:jc w:val="both"/>
        <w:rPr>
          <w:rFonts w:hint="eastAsia"/>
          <w:lang w:eastAsia="zh-CN"/>
        </w:rPr>
      </w:pPr>
      <w:r>
        <w:rPr>
          <w:rFonts w:ascii="Times New Roman" w:hAnsi="Times New Roman" w:eastAsia="宋体"/>
          <w:sz w:val="18"/>
          <w:szCs w:val="18"/>
          <w:lang w:eastAsia="zh-CN"/>
        </w:rPr>
        <w:t xml:space="preserve">LI Tao, GUAN Jian, WU Pei-xin. Reflections and suggestions on the science and technology evaluation system in the field of health policy and management research[J]. Chinese Journal of Medical Science Research Management,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4047DAAC">
      <w:pPr>
        <w:spacing w:after="3" w:afterLines="1"/>
        <w:ind w:left="324" w:hanging="324"/>
        <w:jc w:val="both"/>
        <w:rPr>
          <w:rFonts w:hint="eastAsia"/>
          <w:lang w:eastAsia="zh-CN"/>
        </w:rPr>
      </w:pPr>
      <w:r>
        <w:rPr>
          <w:rFonts w:ascii="Times New Roman" w:hAnsi="Times New Roman" w:eastAsia="宋体"/>
          <w:sz w:val="18"/>
          <w:szCs w:val="18"/>
          <w:lang w:eastAsia="zh-CN"/>
        </w:rPr>
        <w:t xml:space="preserve">HUANG Zhao, YUAN Yuan, TAO Zhen-huan, et al. Design and application of a digital system for disease control and prevention[J]. China Digital Medicine,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1F9CC031">
      <w:pPr>
        <w:spacing w:after="3" w:afterLines="1"/>
        <w:ind w:left="324" w:hanging="324"/>
        <w:jc w:val="both"/>
        <w:rPr>
          <w:rFonts w:hint="eastAsia"/>
          <w:lang w:eastAsia="zh-CN"/>
        </w:rPr>
      </w:pPr>
      <w:r>
        <w:rPr>
          <w:rFonts w:ascii="Times New Roman" w:hAnsi="Times New Roman" w:eastAsia="宋体"/>
          <w:sz w:val="18"/>
          <w:szCs w:val="18"/>
          <w:lang w:eastAsia="zh-CN"/>
        </w:rPr>
        <w:t xml:space="preserve">LI Shao-qiong, DU Xue-jie, JIN Li-zhu, et al. Construction of evaluation indicators for the informatization of provincial centers for disease control and prevention in China based on the Delphi method[J]. China Digital Medicine,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5B85EB1F">
      <w:pPr>
        <w:spacing w:after="3" w:afterLines="1"/>
        <w:ind w:left="324" w:hanging="324"/>
        <w:jc w:val="both"/>
        <w:rPr>
          <w:rFonts w:hint="eastAsia"/>
          <w:lang w:eastAsia="zh-CN"/>
        </w:rPr>
      </w:pPr>
      <w:r>
        <w:rPr>
          <w:rFonts w:ascii="Times New Roman" w:hAnsi="Times New Roman" w:eastAsia="宋体"/>
          <w:sz w:val="18"/>
          <w:szCs w:val="18"/>
          <w:lang w:eastAsia="zh-CN"/>
        </w:rPr>
        <w:t xml:space="preserve">YANG Si-luo, ZHOU Zhan-yi, DING Min. Evaluation of university research outputs under the “breaking the five onlys” orientation: institutional representation and reform paths[J]. Knowledge Management Forum,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62BE607C">
      <w:pPr>
        <w:spacing w:after="3" w:afterLines="1"/>
        <w:ind w:left="324" w:hanging="324"/>
        <w:jc w:val="both"/>
        <w:rPr>
          <w:rFonts w:hint="eastAsia"/>
          <w:lang w:eastAsia="zh-CN"/>
        </w:rPr>
      </w:pPr>
      <w:r>
        <w:rPr>
          <w:rFonts w:ascii="Times New Roman" w:hAnsi="Times New Roman" w:eastAsia="宋体"/>
          <w:sz w:val="18"/>
          <w:szCs w:val="18"/>
          <w:lang w:eastAsia="zh-CN"/>
        </w:rPr>
        <w:t xml:space="preserve">SHEN Yang-yang. Practical paths for national research management institutions to organize disruptive technological innovation[J]. Forum on Science and Technology in China,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566393D3">
      <w:pPr>
        <w:spacing w:after="3" w:afterLines="1"/>
        <w:ind w:left="324" w:hanging="324"/>
        <w:jc w:val="both"/>
        <w:rPr>
          <w:rFonts w:hint="eastAsia"/>
          <w:lang w:eastAsia="zh-CN"/>
        </w:rPr>
      </w:pPr>
      <w:r>
        <w:rPr>
          <w:rFonts w:ascii="Times New Roman" w:hAnsi="Times New Roman" w:eastAsia="宋体"/>
          <w:sz w:val="18"/>
          <w:szCs w:val="18"/>
          <w:lang w:eastAsia="zh-CN"/>
        </w:rPr>
        <w:t xml:space="preserve">LUO Shi-jian, GUO He-rui, ZHONG Su-ping, et al. Agent-driven user profile generation method for product design[J]. Computer Integrated Manufacturing Systems,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452AD78D">
      <w:pPr>
        <w:spacing w:after="3" w:afterLines="1"/>
        <w:ind w:left="324" w:hanging="324"/>
        <w:jc w:val="both"/>
        <w:rPr>
          <w:rFonts w:hint="eastAsia"/>
          <w:lang w:eastAsia="zh-CN"/>
        </w:rPr>
      </w:pPr>
      <w:bookmarkStart w:id="3" w:name="OLE_LINK17"/>
      <w:bookmarkEnd w:id="3"/>
      <w:r>
        <w:rPr>
          <w:rFonts w:ascii="Times New Roman" w:hAnsi="Times New Roman" w:eastAsia="宋体"/>
          <w:sz w:val="18"/>
          <w:szCs w:val="18"/>
          <w:lang w:eastAsia="zh-CN"/>
        </w:rPr>
        <w:t xml:space="preserve">BAI Jing-hao, ZHUANG Jun-xi, LAI Ying-xu. Construction and prediction of temporal dynamic tags for learner profiling[J]. Computer Science,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6DDED391">
      <w:pPr>
        <w:spacing w:after="3" w:afterLines="1"/>
        <w:ind w:left="324" w:hanging="324"/>
        <w:jc w:val="both"/>
        <w:rPr>
          <w:rFonts w:hint="eastAsia"/>
          <w:lang w:eastAsia="zh-CN"/>
        </w:rPr>
      </w:pPr>
      <w:r>
        <w:rPr>
          <w:rFonts w:ascii="Times New Roman" w:hAnsi="Times New Roman" w:eastAsia="宋体"/>
          <w:sz w:val="18"/>
          <w:szCs w:val="18"/>
          <w:lang w:eastAsia="zh-CN"/>
        </w:rPr>
        <w:t xml:space="preserve">HU Xiao-ying, XUN Ya-ling, LI Yan-feng. Debiased recommendation based on item popularity and user dynamic interest[J]. Computer Technology and Development,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7785C9FE">
      <w:pPr>
        <w:spacing w:after="3" w:afterLines="1"/>
        <w:ind w:left="324" w:hanging="324"/>
        <w:jc w:val="both"/>
        <w:rPr>
          <w:rFonts w:hint="eastAsia"/>
          <w:lang w:eastAsia="zh-CN"/>
        </w:rPr>
      </w:pPr>
      <w:r>
        <w:rPr>
          <w:rFonts w:ascii="Times New Roman" w:hAnsi="Times New Roman" w:eastAsia="宋体"/>
          <w:sz w:val="18"/>
          <w:szCs w:val="18"/>
          <w:lang w:eastAsia="zh-CN"/>
        </w:rPr>
        <w:t xml:space="preserve">LIU Sheng, WANG Zhan-yun. Design and implementation of a research sample repository management system based on the SpringBoot+Vue microservice architecture[J]. Information Systems Engineering,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22AA2859">
      <w:pPr>
        <w:spacing w:after="3" w:afterLines="1"/>
        <w:ind w:left="324" w:hanging="324"/>
        <w:jc w:val="both"/>
        <w:rPr>
          <w:rFonts w:hint="eastAsia"/>
          <w:lang w:eastAsia="zh-CN"/>
        </w:rPr>
      </w:pPr>
      <w:r>
        <w:rPr>
          <w:rFonts w:ascii="Times New Roman" w:hAnsi="Times New Roman" w:eastAsia="宋体"/>
          <w:sz w:val="18"/>
          <w:szCs w:val="18"/>
          <w:lang w:eastAsia="zh-CN"/>
        </w:rPr>
        <w:t xml:space="preserve">ZHANG Yan. Design of a public health service platform based on Spring Boot[J]. Modern Information Technology,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01043945">
      <w:pPr>
        <w:spacing w:after="3" w:afterLines="1"/>
        <w:ind w:left="324" w:hanging="324"/>
        <w:jc w:val="both"/>
        <w:rPr>
          <w:rFonts w:hint="eastAsia"/>
          <w:lang w:eastAsia="zh-CN"/>
        </w:rPr>
      </w:pPr>
      <w:r>
        <w:rPr>
          <w:rFonts w:ascii="Times New Roman" w:hAnsi="Times New Roman" w:eastAsia="宋体"/>
          <w:sz w:val="18"/>
          <w:szCs w:val="18"/>
          <w:lang w:eastAsia="zh-CN"/>
        </w:rPr>
        <w:t xml:space="preserve">LIAO Feng-lu, XU Yi, TANG Wei. Design and implementation of a large-screen data visualization system for libraries[J]. Computer and Information Technology,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1A15C670">
      <w:pPr>
        <w:spacing w:after="3" w:afterLines="1"/>
        <w:ind w:left="324" w:hanging="324"/>
        <w:jc w:val="both"/>
        <w:rPr>
          <w:rFonts w:hint="eastAsia"/>
          <w:lang w:eastAsia="zh-CN"/>
        </w:rPr>
      </w:pPr>
      <w:r>
        <w:rPr>
          <w:rFonts w:ascii="Times New Roman" w:hAnsi="Times New Roman" w:eastAsia="宋体"/>
          <w:sz w:val="18"/>
          <w:szCs w:val="18"/>
          <w:lang w:eastAsia="zh-CN"/>
        </w:rPr>
        <w:t xml:space="preserve">LAI Tian-ping, WANG Yong-chao, LUO Pan, et al. Design and application of an access control model based on role-resource levels[J]. Journal on Communications,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C0DF047">
      <w:pPr>
        <w:spacing w:after="3" w:afterLines="1"/>
        <w:ind w:left="324" w:hanging="324"/>
        <w:jc w:val="both"/>
        <w:rPr>
          <w:rFonts w:hint="eastAsia"/>
          <w:lang w:eastAsia="zh-CN"/>
        </w:rPr>
      </w:pPr>
      <w:r>
        <w:rPr>
          <w:rFonts w:ascii="Times New Roman" w:hAnsi="Times New Roman" w:eastAsia="宋体"/>
          <w:sz w:val="18"/>
          <w:szCs w:val="18"/>
          <w:lang w:eastAsia="zh-CN"/>
        </w:rPr>
        <w:t xml:space="preserve">HAN Ying-xiao, ZHANG Jun-sheng, ZHENG Ming, et al. A credit allocation method covering all authors of a paper: a quantitative anchor for mitigating authorship disputes[J]. China Science &amp; Technology Resources Review,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2159E638">
      <w:pPr>
        <w:spacing w:after="3" w:afterLines="1"/>
        <w:ind w:left="324" w:hanging="324"/>
        <w:jc w:val="both"/>
        <w:rPr>
          <w:rFonts w:hint="eastAsia"/>
          <w:lang w:eastAsia="zh-CN"/>
        </w:rPr>
      </w:pPr>
      <w:r>
        <w:rPr>
          <w:rFonts w:ascii="Times New Roman" w:hAnsi="Times New Roman" w:eastAsia="宋体"/>
          <w:sz w:val="18"/>
          <w:szCs w:val="18"/>
          <w:lang w:eastAsia="zh-CN"/>
        </w:rPr>
        <w:t xml:space="preserve">MENG Li-dong, LIN Nai-bin, WEI Wen-qin, et al. Design and implementation of a lightweight workflow engine based on JSON[J]. Popular Science &amp; Technology,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10E1C165">
      <w:pPr>
        <w:spacing w:after="3" w:afterLines="1"/>
        <w:ind w:left="324" w:hanging="324"/>
        <w:jc w:val="both"/>
        <w:rPr>
          <w:rFonts w:hint="eastAsia"/>
          <w:lang w:eastAsia="zh-CN"/>
        </w:rPr>
      </w:pPr>
      <w:r>
        <w:rPr>
          <w:rFonts w:ascii="Times New Roman" w:hAnsi="Times New Roman" w:eastAsia="宋体"/>
          <w:sz w:val="18"/>
          <w:szCs w:val="18"/>
          <w:lang w:eastAsia="zh-CN"/>
        </w:rPr>
        <w:t xml:space="preserve">GUO Sheng-wei, ZHANG Yang. Design and application of a lightweight workflow system[J]. Computer Knowledge and Technology,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5520086">
      <w:pPr>
        <w:spacing w:after="3" w:afterLines="1"/>
        <w:ind w:left="324" w:hanging="324"/>
        <w:jc w:val="both"/>
        <w:rPr>
          <w:rFonts w:hint="eastAsia"/>
          <w:lang w:eastAsia="zh-CN"/>
        </w:rPr>
      </w:pPr>
      <w:r>
        <w:rPr>
          <w:rFonts w:ascii="Times New Roman" w:hAnsi="Times New Roman" w:eastAsia="宋体"/>
          <w:sz w:val="18"/>
          <w:szCs w:val="18"/>
          <w:lang w:eastAsia="zh-CN"/>
        </w:rPr>
        <w:t xml:space="preserve">LÜ Yu-gui. Authentication and authorization in a microservice architecture implemented with Spring Security and JWT[J]. Computer Knowledge and Technology,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收稿日期：2026-09-11</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