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w:t>
      </w:r>
      <w:r>
        <w:rPr>
          <w:rFonts w:ascii="Times New Roman" w:hAnsi="Times New Roman" w:eastAsia="宋体" w:cs="Times New Roman"/>
          <w:bCs/>
          <w:i/>
          <w:sz w:val="18"/>
          <w:szCs w:val="18"/>
        </w:rPr>
        <w:t xml:space="preserve">α</w:t>
      </w:r>
      <w:r>
        <w:rPr>
          <w:rFonts w:ascii="Times New Roman" w:hAnsi="Times New Roman" w:eastAsia="宋体" w:cs="Times New Roman"/>
          <w:bCs/>
          <w:sz w:val="18"/>
          <w:szCs w:val="18"/>
        </w:rPr>
        <w:t xml:space="preserve"> = 0.7), with an exponential time decay (</w:t>
      </w:r>
      <w:r>
        <w:rPr>
          <w:rFonts w:ascii="Times New Roman" w:hAnsi="Times New Roman" w:eastAsia="宋体" w:cs="Times New Roman"/>
          <w:bCs/>
          <w:i/>
          <w:sz w:val="18"/>
          <w:szCs w:val="18"/>
        </w:rPr>
        <w:t xml:space="preserve">λ</w:t>
      </w:r>
      <w:r>
        <w:rPr>
          <w:rFonts w:ascii="Times New Roman" w:hAnsi="Times New Roman" w:eastAsia="宋体" w:cs="Times New Roman"/>
          <w:bCs/>
          <w:sz w:val="18"/>
          <w:szCs w:val="18"/>
        </w:rPr>
        <w:t xml:space="preserve">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的主要工作为：其一，提出基于 Kronecker δ 函数的分段权重积分分配模型，以名义分值制替代总量守恒制，并给出与三种守恒型方法的系数对比；其二，将指数时间衰减前置嵌入行为积分归一化环节，与一阶指数加权移动平均共同构成成果的时效权重，使标签权重、能力维度得分与人才画像共用一条量纲一致的计算通路；其三，以有限状态机实现无第三方框架依赖的轻量级审批引擎，审核环节由配置表驱动，修改配置即可调整而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前端构成前后端分离结构[12-13]；业务逻辑层封装积分计算、审核流程控制、画像生成与排行统计等规则并管理事务；数据访问层通过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轻量级服务的组织方式一致[14,15]，已有文献[12,16]分别以 Spring Boot 与 Flask 实现了科研样本库与在线考试系统，表明轻量级 Web 技术栈在此类业务中的适用性。可视化层集成 Apache ECharts[17]，数据库选用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ECharts[17]，支持多维交叉统计与下钻；申报审核模块内置轻量级工作流引擎驱动三级审批；系统管理模块采用 RBAC 模型构建用户—角色—权限三层架构[18-21]，并承担基础数据维护与操作日志审计。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[22]，而分数分配法、调和计数法等既有方案[23]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[22,23]的归类。系统默认采用名义分值制以契合协作导向，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作用于周期之间，提供跨周期的指数平滑。两式共同决定成果的时效权重，其合成效果见 3.3 节参数取值的说明。</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的作用是在此基础上按成果完成时间做连续修正——既区分同一周期内成果的完成先后，避免年末集中申报与年初申报等权，也使跨周期的衰减不局限于周期粒度的阶跃。需要明确的是，上述取值使模型度量的是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[24-25]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模式并以空值缓存与分布式锁分别防止缓存穿透与击穿，热点键的识别与热度合并参考了缓存热点研究的通用做法[26]，实测缓存命中率在 50–500 并发下保持在 92.5% 以上（表3）。数据库层面按查询模式为核心访问路径建立联合索引，并调整了 InnoDB 的缓冲池与刷盘参数。安全方面整合 Spring Security 与 JWT 实现无状态认证[27,28]；涉及的学历、职称与成果数据按《中华人民共和国个人信息保护法》实施最小必要采集与分级授权访问，敏感字段脱敏并留存审计日志。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JMeter。按五大模块设计的功能测试用例覆盖正常流程、边界条件与异常输入，缺陷修复后的回归测试结果如表2所示，260 个用例全部通过；并发梯度参考开源 Web 项目性能测试的实践设置[29]，核心接口性能与缓存命中率如表3所示。</w:t>
      </w:r>
    </w:p>
    <w:p w14:paraId="38454883">
      <w:pPr>
        <w:keepNext/>
        <w:keepLines/>
        <w:spacing w:before="37" w:beforeLines="12" w:after="18" w:afterLines="6"/>
        <w:jc w:val="center"/>
        <w:rPr>
          <w:rFonts w:hint="eastAsia"/>
        </w:rPr>
      </w:pPr>
      <w:r>
        <w:rPr>
          <w:rFonts w:hint="eastAsia" w:ascii="Times New Roman" w:hAnsi="Times New Roman" w:eastAsia="宋体" w:cs="Times New Roman"/>
          <w:b/>
          <w:sz w:val="18"/>
          <w:szCs w:val="18"/>
        </w:rPr>
        <w:t>表2</w:t>
      </w:r>
      <w:r>
        <w:rPr>
          <w:rFonts w:hint="eastAsia" w:ascii="Times New Roman" w:hAnsi="Times New Roman" w:eastAsia="宋体" w:cs="Times New Roman"/>
          <w:sz w:val="18"/>
          <w:szCs w:val="18"/>
        </w:rPr>
        <w:t xml:space="preserve">  功能测试回归结果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406"/>
        <w:gridCol w:w="1150"/>
        <w:gridCol w:w="1150"/>
        <w:gridCol w:w="1150"/>
        <w:gridCol w:w="1150"/>
        <w:gridCol w:w="1150"/>
        <w:gridCol w:w="1150"/>
      </w:tblGrid>
      <w:tr w14:paraId="405FCD9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406" w:type="dxa"/>
            <w:tcBorders>
              <w:top w:val="single" w:color="auto" w:sz="12" w:space="0"/>
              <w:left w:val="nil"/>
              <w:right w:val="nil"/>
              <w:bottom w:val="single" w:sz="4" w:color="000000" w:space="0"/>
            </w:tcBorders>
            <w:vAlign w:val="center"/>
          </w:tcPr>
          <w:p w14:paraId="54FBA1B4">
            <w:pPr>
              <w:spacing w:before="20" w:after="20" w:line="240" w:lineRule="auto"/>
              <w:jc w:val="center"/>
              <w:rPr>
                <w:rFonts w:hint="eastAsia"/>
              </w:rPr>
            </w:pPr>
            <w:r>
              <w:rPr>
                <w:rFonts w:hint="eastAsia" w:ascii="Times New Roman" w:hAnsi="Times New Roman" w:eastAsia="宋体" w:cs="Times New Roman"/>
                <w:b/>
                <w:bCs/>
                <w:sz w:val="18"/>
                <w:szCs w:val="18"/>
              </w:rPr>
              <w:t>功能模块</w:t>
            </w:r>
          </w:p>
        </w:tc>
        <w:tc>
          <w:tcPr>
            <w:tcW w:w="1150" w:type="dxa"/>
            <w:tcBorders>
              <w:top w:val="single" w:color="auto" w:sz="12" w:space="0"/>
              <w:left w:val="nil"/>
              <w:right w:val="nil"/>
              <w:bottom w:val="single" w:sz="4" w:color="000000" w:space="0"/>
            </w:tcBorders>
            <w:vAlign w:val="center"/>
          </w:tcPr>
          <w:p w14:paraId="5477679B">
            <w:pPr>
              <w:spacing w:before="20" w:after="20" w:line="240" w:lineRule="auto"/>
              <w:jc w:val="center"/>
              <w:rPr>
                <w:rFonts w:hint="eastAsia"/>
              </w:rPr>
            </w:pPr>
            <w:r>
              <w:rPr>
                <w:rFonts w:hint="eastAsia" w:ascii="Times New Roman" w:hAnsi="Times New Roman" w:eastAsia="宋体" w:cs="Times New Roman"/>
                <w:b/>
                <w:bCs/>
                <w:sz w:val="18"/>
                <w:szCs w:val="18"/>
              </w:rPr>
              <w:t>积分管理</w:t>
            </w:r>
          </w:p>
        </w:tc>
        <w:tc>
          <w:tcPr>
            <w:tcW w:w="1150" w:type="dxa"/>
            <w:tcBorders>
              <w:top w:val="single" w:color="auto" w:sz="12" w:space="0"/>
              <w:left w:val="nil"/>
              <w:right w:val="nil"/>
              <w:bottom w:val="single" w:sz="4" w:color="000000" w:space="0"/>
            </w:tcBorders>
            <w:vAlign w:val="center"/>
          </w:tcPr>
          <w:p w14:paraId="03CE90C2">
            <w:pPr>
              <w:spacing w:before="20" w:after="20" w:line="240" w:lineRule="auto"/>
              <w:jc w:val="center"/>
              <w:rPr>
                <w:rFonts w:hint="eastAsia"/>
              </w:rPr>
            </w:pPr>
            <w:r>
              <w:rPr>
                <w:rFonts w:hint="eastAsia" w:ascii="Times New Roman" w:hAnsi="Times New Roman" w:eastAsia="宋体" w:cs="Times New Roman"/>
                <w:b/>
                <w:bCs/>
                <w:sz w:val="18"/>
                <w:szCs w:val="18"/>
              </w:rPr>
              <w:t>人才画像</w:t>
            </w:r>
          </w:p>
        </w:tc>
        <w:tc>
          <w:tcPr>
            <w:tcW w:w="1150" w:type="dxa"/>
            <w:tcBorders>
              <w:top w:val="single" w:color="auto" w:sz="12" w:space="0"/>
              <w:left w:val="nil"/>
              <w:right w:val="nil"/>
              <w:bottom w:val="single" w:sz="4" w:color="000000" w:space="0"/>
            </w:tcBorders>
            <w:vAlign w:val="center"/>
          </w:tcPr>
          <w:p w14:paraId="26942816">
            <w:pPr>
              <w:spacing w:before="20" w:after="20" w:line="240" w:lineRule="auto"/>
              <w:jc w:val="center"/>
              <w:rPr>
                <w:rFonts w:hint="eastAsia"/>
              </w:rPr>
            </w:pPr>
            <w:r>
              <w:rPr>
                <w:rFonts w:hint="eastAsia" w:ascii="Times New Roman" w:hAnsi="Times New Roman" w:eastAsia="宋体" w:cs="Times New Roman"/>
                <w:b/>
                <w:bCs/>
                <w:sz w:val="18"/>
                <w:szCs w:val="18"/>
              </w:rPr>
              <w:t>统计分析</w:t>
            </w:r>
          </w:p>
        </w:tc>
        <w:tc>
          <w:tcPr>
            <w:tcW w:w="1150" w:type="dxa"/>
            <w:tcBorders>
              <w:top w:val="single" w:color="auto" w:sz="12" w:space="0"/>
              <w:left w:val="nil"/>
              <w:right w:val="nil"/>
              <w:bottom w:val="single" w:sz="4" w:color="000000" w:space="0"/>
            </w:tcBorders>
            <w:vAlign w:val="center"/>
          </w:tcPr>
          <w:p w14:paraId="1CD2A405">
            <w:pPr>
              <w:spacing w:before="20" w:after="20" w:line="240" w:lineRule="auto"/>
              <w:jc w:val="center"/>
              <w:rPr>
                <w:rFonts w:hint="eastAsia"/>
              </w:rPr>
            </w:pPr>
            <w:r>
              <w:rPr>
                <w:rFonts w:hint="eastAsia" w:ascii="Times New Roman" w:hAnsi="Times New Roman" w:eastAsia="宋体" w:cs="Times New Roman"/>
                <w:b/>
                <w:bCs/>
                <w:sz w:val="18"/>
                <w:szCs w:val="18"/>
              </w:rPr>
              <w:t>申报审核</w:t>
            </w:r>
          </w:p>
        </w:tc>
        <w:tc>
          <w:tcPr>
            <w:tcW w:w="1150" w:type="dxa"/>
            <w:tcBorders>
              <w:top w:val="single" w:color="auto" w:sz="12" w:space="0"/>
              <w:left w:val="nil"/>
              <w:right w:val="nil"/>
              <w:bottom w:val="single" w:sz="4" w:color="000000" w:space="0"/>
            </w:tcBorders>
            <w:vAlign w:val="center"/>
          </w:tcPr>
          <w:p w14:paraId="57EB06FE">
            <w:pPr>
              <w:spacing w:before="20" w:after="20" w:line="240" w:lineRule="auto"/>
              <w:jc w:val="center"/>
              <w:rPr>
                <w:rFonts w:hint="eastAsia"/>
              </w:rPr>
            </w:pPr>
            <w:r>
              <w:rPr>
                <w:rFonts w:hint="eastAsia" w:ascii="Times New Roman" w:hAnsi="Times New Roman" w:eastAsia="宋体" w:cs="Times New Roman"/>
                <w:b/>
                <w:bCs/>
                <w:sz w:val="18"/>
                <w:szCs w:val="18"/>
              </w:rPr>
              <w:t>系统管理</w:t>
            </w:r>
          </w:p>
        </w:tc>
        <w:tc>
          <w:tcPr>
            <w:tcW w:w="1150" w:type="dxa"/>
            <w:tcBorders>
              <w:top w:val="single" w:color="auto" w:sz="12" w:space="0"/>
              <w:left w:val="nil"/>
              <w:right w:val="nil"/>
              <w:bottom w:val="single" w:sz="4" w:color="000000" w:space="0"/>
            </w:tcBorders>
            <w:vAlign w:val="center"/>
          </w:tcPr>
          <w:p w14:paraId="6E781A6F">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5A7D1D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2516B755">
            <w:pPr>
              <w:spacing w:before="20" w:after="20" w:line="240" w:lineRule="auto"/>
              <w:jc w:val="center"/>
              <w:rPr>
                <w:rFonts w:hint="eastAsia"/>
              </w:rPr>
            </w:pPr>
            <w:r>
              <w:rPr>
                <w:rFonts w:hint="eastAsia" w:ascii="Times New Roman" w:hAnsi="Times New Roman" w:eastAsia="宋体" w:cs="Times New Roman"/>
                <w:sz w:val="18"/>
                <w:szCs w:val="18"/>
              </w:rPr>
              <w:t>用例数</w:t>
            </w:r>
          </w:p>
        </w:tc>
        <w:tc>
          <w:tcPr>
            <w:tcW w:w="1150" w:type="dxa"/>
            <w:tcBorders>
              <w:top w:val="nil"/>
              <w:left w:val="nil"/>
              <w:bottom w:val="nil"/>
              <w:right w:val="nil"/>
            </w:tcBorders>
            <w:vAlign w:val="center"/>
          </w:tcPr>
          <w:p w14:paraId="7383F25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27F427B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5CA3FE3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1A5CEF1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7A4DB83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2A04AC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3CAD63C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nil"/>
              <w:right w:val="nil"/>
            </w:tcBorders>
            <w:vAlign w:val="center"/>
          </w:tcPr>
          <w:p w14:paraId="56FBA5A0">
            <w:pPr>
              <w:spacing w:before="20" w:after="20" w:line="240" w:lineRule="auto"/>
              <w:jc w:val="center"/>
              <w:rPr>
                <w:rFonts w:hint="eastAsia"/>
              </w:rPr>
            </w:pPr>
            <w:r>
              <w:rPr>
                <w:rFonts w:hint="eastAsia" w:ascii="Times New Roman" w:hAnsi="Times New Roman" w:eastAsia="宋体" w:cs="Times New Roman"/>
                <w:sz w:val="18"/>
                <w:szCs w:val="18"/>
              </w:rPr>
              <w:t>通过数</w:t>
            </w:r>
          </w:p>
        </w:tc>
        <w:tc>
          <w:tcPr>
            <w:tcW w:w="1150" w:type="dxa"/>
            <w:tcBorders>
              <w:top w:val="nil"/>
              <w:left w:val="nil"/>
              <w:bottom w:val="nil"/>
              <w:right w:val="nil"/>
            </w:tcBorders>
            <w:vAlign w:val="center"/>
          </w:tcPr>
          <w:p w14:paraId="0F0DCC0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68</w:t>
            </w:r>
          </w:p>
        </w:tc>
        <w:tc>
          <w:tcPr>
            <w:tcW w:w="1150" w:type="dxa"/>
            <w:tcBorders>
              <w:top w:val="nil"/>
              <w:left w:val="nil"/>
              <w:bottom w:val="nil"/>
              <w:right w:val="nil"/>
            </w:tcBorders>
            <w:vAlign w:val="center"/>
          </w:tcPr>
          <w:p w14:paraId="1F583D3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56</w:t>
            </w:r>
          </w:p>
        </w:tc>
        <w:tc>
          <w:tcPr>
            <w:tcW w:w="1150" w:type="dxa"/>
            <w:tcBorders>
              <w:top w:val="nil"/>
              <w:left w:val="nil"/>
              <w:bottom w:val="nil"/>
              <w:right w:val="nil"/>
            </w:tcBorders>
            <w:vAlign w:val="center"/>
          </w:tcPr>
          <w:p w14:paraId="17326F8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47</w:t>
            </w:r>
          </w:p>
        </w:tc>
        <w:tc>
          <w:tcPr>
            <w:tcW w:w="1150" w:type="dxa"/>
            <w:tcBorders>
              <w:top w:val="nil"/>
              <w:left w:val="nil"/>
              <w:bottom w:val="nil"/>
              <w:right w:val="nil"/>
            </w:tcBorders>
            <w:vAlign w:val="center"/>
          </w:tcPr>
          <w:p w14:paraId="04ED7F7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52</w:t>
            </w:r>
          </w:p>
        </w:tc>
        <w:tc>
          <w:tcPr>
            <w:tcW w:w="1150" w:type="dxa"/>
            <w:tcBorders>
              <w:top w:val="nil"/>
              <w:left w:val="nil"/>
              <w:bottom w:val="nil"/>
              <w:right w:val="nil"/>
            </w:tcBorders>
            <w:vAlign w:val="center"/>
          </w:tcPr>
          <w:p w14:paraId="2640920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37</w:t>
            </w:r>
          </w:p>
        </w:tc>
        <w:tc>
          <w:tcPr>
            <w:tcW w:w="1150" w:type="dxa"/>
            <w:tcBorders>
              <w:top w:val="nil"/>
              <w:left w:val="nil"/>
              <w:bottom w:val="nil"/>
              <w:right w:val="nil"/>
            </w:tcBorders>
            <w:vAlign w:val="center"/>
          </w:tcPr>
          <w:p w14:paraId="162F42E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260</w:t>
            </w:r>
          </w:p>
        </w:tc>
      </w:tr>
      <w:tr w14:paraId="454D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406" w:type="dxa"/>
            <w:tcBorders>
              <w:top w:val="nil"/>
              <w:left w:val="nil"/>
              <w:bottom w:val="single" w:color="auto" w:sz="12" w:space="0"/>
              <w:right w:val="nil"/>
            </w:tcBorders>
            <w:vAlign w:val="center"/>
          </w:tcPr>
          <w:p w14:paraId="701B0D70">
            <w:pPr>
              <w:spacing w:before="20" w:after="20" w:line="240" w:lineRule="auto"/>
              <w:jc w:val="center"/>
              <w:rPr>
                <w:rFonts w:hint="eastAsia"/>
              </w:rPr>
            </w:pPr>
            <w:r>
              <w:rPr>
                <w:rFonts w:hint="eastAsia" w:ascii="Times New Roman" w:hAnsi="Times New Roman" w:eastAsia="宋体" w:cs="Times New Roman"/>
                <w:sz w:val="18"/>
                <w:szCs w:val="18"/>
              </w:rPr>
              <w:t>通过率 / %</w:t>
            </w:r>
          </w:p>
        </w:tc>
        <w:tc>
          <w:tcPr>
            <w:tcW w:w="1150" w:type="dxa"/>
            <w:tcBorders>
              <w:top w:val="nil"/>
              <w:left w:val="nil"/>
              <w:bottom w:val="single" w:color="auto" w:sz="12" w:space="0"/>
              <w:right w:val="nil"/>
            </w:tcBorders>
            <w:vAlign w:val="center"/>
          </w:tcPr>
          <w:p w14:paraId="58DF6CC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E5C3E0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03C517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B26F5C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60AF27F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c>
          <w:tcPr>
            <w:tcW w:w="1150" w:type="dxa"/>
            <w:tcBorders>
              <w:top w:val="nil"/>
              <w:left w:val="nil"/>
              <w:bottom w:val="single" w:color="auto" w:sz="12" w:space="0"/>
              <w:right w:val="nil"/>
            </w:tcBorders>
            <w:vAlign w:val="center"/>
          </w:tcPr>
          <w:p w14:paraId="3A9DC8D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100</w:t>
            </w:r>
          </w:p>
        </w:tc>
      </w:tr>
    </w:tbl>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表3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为刻画评价对象的产出结构，对本中心 2024—2025 年归档的 900 份成果佐证材料作了统计：材料覆盖 11 个成果类别、80 名科研人员，人均涉及 3.15 个类别，涉及 3 个以上类别者占 50.0%，仅 22.5% 集中于单一类别；发表论文与项目课题的人员覆盖率分别为 78.8% 与 75.0%，其余类别均低于 40%。该分布表明科研产出结构在人员间差异显著，单一维度的排序难以刻画，构成了多维画像的现实依据。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个月的应用效果对比如表4所示。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表4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由表4可见，系统上线后申报与审核全流程线上化，申报单量增至上线前的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为进一步说明本文工作与同类研究的差异，表5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5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多作者分配采用名义分值制则是管理导向下的取舍，其“挂名”代价由年度上限与职称评审口径两项制度约束承担，而非由算法本身消化。本文工作尚存三点局限：其一，受式(4)(5) 合成的年度保持率（约 0.26）所限，模型刻画的是近三年的科研活跃度而非长期学术积累，亦不评价成果质量，宜与同行评议互补使用；两参数取值对排名的影响程度仍有待更大样本的敏感性分析验证。其二，标签—能力维度映射矩阵由本中心专家标定，跨机构推广时需重新标定。其三，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62A3122D">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季甜甜, 刘冬冬. 基于Vue前端性能的研究与分析[J]. 阜阳师范大学学报(自然科学版), 2024, 41(1): 15-22.</w:t>
      </w:r>
    </w:p>
    <w:p w14:paraId="24FD40C2">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[14] Zhang Y, Li H, Wang J. A lightweight microservice orchestration framework based on Spring Boot for edge-cloud collaborative computing in industrial IoT[J]. IEEE Internet of Things Journal, 2025, 12(4): 5821-5834.</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张岩. 基于Spring Boot的公共卫生服务平台设计[J]. 现代信息科技, 2026, 10(1): 105-110, 116.</w:t>
      </w:r>
    </w:p>
    <w:p w14:paraId="74DA97F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[16] 朱嘉杰, 徐小莲. 基于Flask框架的国家教育考试保密知识测试系统设计与实现[J]. 计算机应用与软件, 2026, 43(4): 35-40.</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来天平, 王永超, 罗盘, 等. 基于角色资源级别的权限控制模型的设计与应用研究[J]. 通信学报, 2024, 45(S2): 153-159.</w:t>
      </w:r>
    </w:p>
    <w:p w14:paraId="506A7D4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Durdag O, Coskunçay A. Reconfiguring role-based access control via role clustering[J]. IEEE Access, 2025, 13: 72984-72993.</w:t>
      </w:r>
    </w:p>
    <w:p w14:paraId="2054A97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魏巍. 基于RBAC模型云资源管理系统访问控制权限的设计与实施[J]. 科学技术创新, 2025(2): 122-125.</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[21]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[22]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[24]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[25]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[26]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[27] 吕玉桂. Spring Security+JWT实现微服务架构中的身份验证和授权[J]. 电脑知识与技术, 2024(22): 60-63.</w:t>
      </w:r>
    </w:p>
    <w:p w14:paraId="35EAD352">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[28] 何立富. 前后端分离环境下Spring Security权限系统构建与实现[J]. 电脑编程技巧与维护, 2025(10): 3-7.</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[29]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