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14:paraId="11C38C3B">
      <w:pPr>
        <w:spacing w:after="56" w:afterLines="18"/>
        <w:jc w:val="center"/>
        <w:rPr>
          <w:rFonts w:ascii="Times New Roman" w:hAnsi="Times New Roman" w:eastAsia="黑体" w:cs="Times New Roman"/>
          <w:sz w:val="32"/>
          <w:szCs w:val="32"/>
          <w:lang w:eastAsia="zh-CN"/>
        </w:rPr>
      </w:pPr>
      <w:r>
        <w:rPr>
          <w:rFonts w:hint="eastAsia" w:ascii="Times New Roman" w:hAnsi="Times New Roman" w:eastAsia="宋体" w:cs="Times New Roman"/>
          <w:sz w:val="44"/>
          <w:szCs w:val="32"/>
          <w:lang w:eastAsia="zh-CN"/>
        </w:rPr>
        <w:t xml:space="preserve">基于动态积分与标签画像的疾控科研人才评价系统</w:t>
      </w:r>
      <w:r>
        <w:rPr>
          <w:rFonts w:hint="eastAsia" w:ascii="Times New Roman" w:hAnsi="Times New Roman" w:eastAsia="宋体" w:cs="Times New Roman"/>
          <w:sz w:val="44"/>
          <w:szCs w:val="32"/>
          <w:vertAlign w:val="superscript"/>
          <w:lang w:eastAsia="zh-CN"/>
        </w:rPr>
        <w:t xml:space="preserve">①</w:t>
      </w:r>
    </w:p>
    <w:p w14:paraId="6274162B">
      <w:pPr>
        <w:spacing w:before="120" w:after="24" w:afterLines="8"/>
        <w:jc w:val="center"/>
        <w:rPr>
          <w:rFonts w:hint="eastAsia"/>
          <w:lang w:eastAsia="zh-CN"/>
        </w:rPr>
      </w:pPr>
      <w:r>
        <w:rPr>
          <w:rFonts w:hint="eastAsia" w:ascii="Times New Roman" w:hAnsi="Times New Roman" w:eastAsia="宋体" w:cs="Times New Roman"/>
          <w:sz w:val="28"/>
          <w:szCs w:val="28"/>
          <w:lang w:eastAsia="zh-CN"/>
        </w:rPr>
        <w:t xml:space="preserve">杨文超, 张卫兵, 练维, 徐小卫, 王秦</w:t>
      </w:r>
    </w:p>
    <w:p w14:paraId="1A835FA4">
      <w:pPr>
        <w:spacing w:after="62" w:afterLines="20"/>
        <w:jc w:val="center"/>
        <w:rPr>
          <w:rFonts w:hint="eastAsia"/>
          <w:lang w:eastAsia="zh-CN"/>
        </w:rPr>
      </w:pPr>
      <w:r>
        <w:rPr>
          <w:rFonts w:hint="eastAsia" w:ascii="Times New Roman" w:hAnsi="Times New Roman" w:eastAsia="楷体" w:cs="Times New Roman"/>
          <w:sz w:val="18"/>
          <w:szCs w:val="18"/>
          <w:lang w:eastAsia="zh-CN"/>
        </w:rPr>
        <w:t xml:space="preserve">(南通市疾病预防控制中心 科研与质量管理科, 南通 226001)</w:t>
      </w:r>
    </w:p>
    <w:p w14:paraId="7F9010A1">
      <w:pPr>
        <w:rPr>
          <w:rFonts w:ascii="Times New Roman" w:hAnsi="Times New Roman" w:eastAsia="楷体" w:cs="Times New Roman"/>
          <w:sz w:val="18"/>
          <w:szCs w:val="18"/>
          <w:lang w:eastAsia="zh-CN"/>
        </w:rPr>
      </w:pPr>
      <w:r>
        <w:rPr>
          <w:rFonts w:hint="eastAsia" w:ascii="Times New Roman" w:hAnsi="Times New Roman" w:eastAsia="楷体" w:cs="Times New Roman"/>
          <w:sz w:val="18"/>
          <w:szCs w:val="18"/>
          <w:lang w:eastAsia="zh-CN"/>
        </w:rPr>
        <w:t xml:space="preserve">通讯作者: 张卫兵, E-mail: yangwecy@gmail.com</w:t>
      </w:r>
    </w:p>
    <w:p w14:paraId="3BCAC742">
      <w:pPr>
        <w:spacing w:after="18" w:afterLines="6" w:line="264" w:lineRule="auto"/>
        <w:jc w:val="both"/>
        <w:rPr>
          <w:rFonts w:hint="eastAsia"/>
          <w:lang w:eastAsia="zh-CN"/>
        </w:rPr>
      </w:pPr>
      <w:r>
        <w:rPr>
          <w:rFonts w:hint="eastAsia" w:ascii="Times New Roman" w:hAnsi="Times New Roman" w:eastAsia="楷体" w:cs="Times New Roman"/>
          <w:b/>
          <w:bCs w:val="1"/>
          <w:sz w:val="18"/>
          <w:szCs w:val="18"/>
          <w:lang w:eastAsia="zh-CN"/>
        </w:rPr>
        <w:t xml:space="preserve">摘　要</w:t>
      </w:r>
      <w:r>
        <w:rPr>
          <w:rFonts w:hint="eastAsia" w:ascii="Times New Roman" w:hAnsi="Times New Roman" w:eastAsia="楷体" w:cs="Times New Roman"/>
          <w:bCs w:val="1"/>
          <w:sz w:val="18"/>
          <w:szCs w:val="18"/>
          <w:lang w:eastAsia="zh-CN"/>
        </w:rPr>
        <w:t xml:space="preserve">: 基层疾控机构的科研人才评价长期依赖人工台账与年终汇总, 难以刻画个体能力的动态演进. 为此设计并实现了一套面向疾控机构的科研人才评价系统. 提出面向多作者成果的分段权重积分分配模型; 构建以一阶指数加权移动平均(</w:t>
      </w:r>
      <w:r>
        <w:rPr>
          <w:rFonts w:hint="eastAsia" w:ascii="Times New Roman" w:hAnsi="Times New Roman" w:eastAsia="楷体" w:cs="Times New Roman"/>
          <w:bCs w:val="1"/>
          <w:i/>
          <w:sz w:val="18"/>
          <w:szCs w:val="18"/>
          <w:lang w:eastAsia="zh-CN"/>
        </w:rPr>
        <w:t xml:space="preserve">α</w:t>
      </w:r>
      <w:r>
        <w:rPr>
          <w:rFonts w:hint="eastAsia" w:ascii="Times New Roman" w:hAnsi="Times New Roman" w:eastAsia="楷体" w:cs="Times New Roman"/>
          <w:bCs w:val="1"/>
          <w:sz w:val="18"/>
          <w:szCs w:val="18"/>
          <w:lang w:eastAsia="zh-CN"/>
        </w:rPr>
        <w:t xml:space="preserve"> = 0.7)为核心的动态标签权重模型, 并将半衰期 4.95 年(</w:t>
      </w:r>
      <w:r>
        <w:rPr>
          <w:rFonts w:hint="eastAsia" w:ascii="Times New Roman" w:hAnsi="Times New Roman" w:eastAsia="楷体" w:cs="Times New Roman"/>
          <w:bCs w:val="1"/>
          <w:i/>
          <w:sz w:val="18"/>
          <w:szCs w:val="18"/>
          <w:lang w:eastAsia="zh-CN"/>
        </w:rPr>
        <w:t xml:space="preserve">λ</w:t>
      </w:r>
      <w:r>
        <w:rPr>
          <w:rFonts w:hint="eastAsia" w:ascii="Times New Roman" w:hAnsi="Times New Roman" w:eastAsia="楷体" w:cs="Times New Roman"/>
          <w:bCs w:val="1"/>
          <w:sz w:val="18"/>
          <w:szCs w:val="18"/>
          <w:lang w:eastAsia="zh-CN"/>
        </w:rPr>
        <w:t xml:space="preserve"> = 0.14)的指数时间衰减前置嵌入行为积分归一化环节, 使标签权重、能力维度得分与人才画像构成量纲一致的计算链路; 基于有限状态机实现无第三方依赖的三级审批工作流引擎. 系统在南通市疾病预防控制中心运行 3 个月, 覆盖 15 个业务科室、270 名科研人员, 审核周期由 7 d 缩短至 2 d, 积分核算差错率由 3.54% 降至 0.08%, 动态能力标签准确率 88.0%、召回率 84.1%、</w:t>
      </w:r>
      <w:r>
        <w:rPr>
          <w:rFonts w:hint="eastAsia" w:ascii="Times New Roman" w:hAnsi="Times New Roman" w:eastAsia="楷体" w:cs="Times New Roman"/>
          <w:bCs w:val="1"/>
          <w:i/>
          <w:sz w:val="18"/>
          <w:szCs w:val="18"/>
          <w:lang w:eastAsia="zh-CN"/>
        </w:rPr>
        <w:t xml:space="preserve">F</w:t>
      </w:r>
      <w:r>
        <w:rPr>
          <w:rFonts w:hint="eastAsia" w:ascii="Times New Roman" w:hAnsi="Times New Roman" w:eastAsia="楷体" w:cs="Times New Roman"/>
          <w:bCs w:val="1"/>
          <w:sz w:val="18"/>
          <w:szCs w:val="18"/>
          <w:lang w:eastAsia="zh-CN"/>
        </w:rPr>
        <w:t xml:space="preserve">1 值 0.86. 压力测试表明, 在 50 并发(约为该规模日常峰值的 2 倍)下平均响应时间 140 ms、错误率为 0. 该系统可提升疾控机构科研人才评价的精细度与审核效率, 为同类公共卫生机构的人才评价信息化建设提供参考.</w:t>
      </w:r>
    </w:p>
    <w:p w14:paraId="6D4AFB8D">
      <w:pPr>
        <w:spacing w:after="18" w:afterLines="6" w:line="264" w:lineRule="auto"/>
        <w:jc w:val="both"/>
        <w:rPr>
          <w:rFonts w:hint="eastAsia"/>
          <w:lang w:eastAsia="zh-CN"/>
        </w:rPr>
      </w:pPr>
      <w:r>
        <w:rPr>
          <w:rFonts w:hint="eastAsia" w:ascii="Times New Roman" w:hAnsi="Times New Roman" w:eastAsia="楷体" w:cs="Times New Roman"/>
          <w:b/>
          <w:bCs w:val="1"/>
          <w:sz w:val="18"/>
          <w:szCs w:val="18"/>
          <w:lang w:eastAsia="zh-CN"/>
        </w:rPr>
        <w:t xml:space="preserve">关键词</w:t>
      </w:r>
      <w:r>
        <w:rPr>
          <w:rFonts w:hint="eastAsia" w:ascii="Times New Roman" w:hAnsi="Times New Roman" w:eastAsia="楷体" w:cs="Times New Roman"/>
          <w:bCs w:val="1"/>
          <w:sz w:val="18"/>
          <w:szCs w:val="18"/>
          <w:lang w:eastAsia="zh-CN"/>
        </w:rPr>
        <w:t xml:space="preserve">: 积分量化评价; 标签权重模型; 时间衰减算法; 工作流引擎; 人才画像</w:t>
      </w:r>
    </w:p>
    <w:p w14:paraId="70A1427C">
      <w:pPr>
        <w:spacing w:after="62" w:afterLines="20" w:line="264" w:lineRule="auto"/>
        <w:rPr>
          <w:rFonts w:hint="eastAsia"/>
          <w:lang w:eastAsia="zh-CN"/>
        </w:rPr>
      </w:pPr>
      <w:r>
        <w:rPr>
          <w:rFonts w:hint="eastAsia" w:ascii="Times New Roman" w:hAnsi="Times New Roman" w:eastAsia="宋体" w:cs="Times New Roman"/>
          <w:b/>
          <w:bCs w:val="1"/>
          <w:sz w:val="18"/>
          <w:szCs w:val="18"/>
          <w:lang w:eastAsia="zh-CN"/>
        </w:rPr>
        <w:t xml:space="preserve">引用格式</w:t>
      </w:r>
      <w:r>
        <w:rPr>
          <w:rFonts w:hint="eastAsia" w:ascii="Times New Roman" w:hAnsi="Times New Roman" w:eastAsia="宋体" w:cs="Times New Roman"/>
          <w:bCs w:val="1"/>
          <w:sz w:val="18"/>
          <w:szCs w:val="18"/>
          <w:lang w:eastAsia="zh-CN"/>
        </w:rPr>
        <w:t xml:space="preserve">: 杨文超,张卫兵,练维,徐小卫,王秦.基于动态积分与标签画像的疾控科研人才评价系统.计算机系统应用,xxxx,xx(x):x−x. http://www.c-s-a.org.cn/1003-3254/xxxx.html</w:t>
      </w:r>
    </w:p>
    <w:p w14:paraId="3CF8DF42">
      <w:pPr>
        <w:spacing w:before="120" w:after="24" w:afterLines="8"/>
        <w:jc w:val="center"/>
        <w:rPr>
          <w:rFonts w:hint="eastAsia"/>
        </w:rPr>
      </w:pPr>
      <w:r>
        <w:rPr>
          <w:rFonts w:ascii="Times New Roman" w:hAnsi="Times New Roman" w:eastAsia="Times New Roman" w:cs="Times New Roman"/>
          <w:bCs w:val="1"/>
          <w:sz w:val="24"/>
          <w:szCs w:val="24"/>
        </w:rPr>
        <w:t xml:space="preserve">A CDC Research Talent Evaluation System Based on Dynamic Points and Tag Profiling</w:t>
      </w:r>
    </w:p>
    <w:p w14:paraId="3299C829">
      <w:pPr>
        <w:spacing w:after="18" w:afterLines="6"/>
        <w:jc w:val="center"/>
        <w:rPr>
          <w:rFonts w:hint="eastAsia"/>
          <w:lang w:eastAsia="zh-CN"/>
        </w:rPr>
      </w:pPr>
      <w:r>
        <w:rPr>
          <w:rFonts w:ascii="Times New Roman" w:hAnsi="Times New Roman" w:eastAsia="Times New Roman" w:cs="Times New Roman"/>
          <w:sz w:val="21"/>
          <w:szCs w:val="21"/>
        </w:rPr>
        <w:t xml:space="preserve">YANG Wen-Chao, ZHANG Wei-Bing, LIAN Wei, XU Xiao-Wei, WANG Qin</w:t>
      </w:r>
    </w:p>
    <w:p w14:paraId="50A096EC">
      <w:pPr>
        <w:spacing w:after="68" w:afterLines="22"/>
        <w:jc w:val="center"/>
        <w:rPr>
          <w:rFonts w:hint="eastAsia"/>
        </w:rPr>
      </w:pPr>
      <w:r>
        <w:rPr>
          <w:rFonts w:ascii="Times New Roman" w:hAnsi="Times New Roman" w:eastAsia="Times New Roman" w:cs="Times New Roman"/>
          <w:iCs w:val="1"/>
          <w:sz w:val="18"/>
          <w:szCs w:val="18"/>
        </w:rPr>
        <w:t xml:space="preserve">(Division of Research and Quality Management, Nantong Center for Disease Control and Prevention, Nantong 226001, China)</w:t>
      </w:r>
    </w:p>
    <w:p w14:paraId="75808F65">
      <w:pPr>
        <w:spacing w:after="18" w:afterLines="6" w:line="264" w:lineRule="auto"/>
        <w:jc w:val="both"/>
        <w:rPr>
          <w:rFonts w:hint="eastAsia"/>
        </w:rPr>
      </w:pPr>
      <w:r>
        <w:rPr>
          <w:rFonts w:ascii="Times New Roman" w:hAnsi="Times New Roman" w:eastAsia="Times New Roman" w:cs="Times New Roman"/>
          <w:b/>
          <w:bCs w:val="1"/>
          <w:sz w:val="18"/>
          <w:szCs w:val="18"/>
        </w:rPr>
        <w:t xml:space="preserve">Abstract</w:t>
      </w:r>
      <w:r>
        <w:rPr>
          <w:rFonts w:ascii="Times New Roman" w:hAnsi="Times New Roman" w:eastAsia="Times New Roman" w:cs="Times New Roman"/>
          <w:bCs w:val="1"/>
          <w:sz w:val="18"/>
          <w:szCs w:val="18"/>
        </w:rPr>
        <w:t xml:space="preserve">: Research talent evaluation in grassroots centers for disease control and prevention (CDC) has long relied on manual ledgers and year-end summaries, which can hardly capture how individual capability evolves. A research talent evaluation system for CDC institutions is therefore designed and implemented. It contributes a piecewise weighting model for multi-author outputs, a dynamic tag weight model built on the first-order exponentially weighted moving average (</w:t>
      </w:r>
      <w:r>
        <w:rPr>
          <w:rFonts w:ascii="Times New Roman" w:hAnsi="Times New Roman" w:eastAsia="Times New Roman" w:cs="Times New Roman"/>
          <w:bCs w:val="1"/>
          <w:i/>
          <w:sz w:val="18"/>
          <w:szCs w:val="18"/>
        </w:rPr>
        <w:t xml:space="preserve">α</w:t>
      </w:r>
      <w:r>
        <w:rPr>
          <w:rFonts w:ascii="Times New Roman" w:hAnsi="Times New Roman" w:eastAsia="Times New Roman" w:cs="Times New Roman"/>
          <w:bCs w:val="1"/>
          <w:sz w:val="18"/>
          <w:szCs w:val="18"/>
        </w:rPr>
        <w:t xml:space="preserve"> = 0.7) that embeds an exponential time decay of a 4.95-year half-life (</w:t>
      </w:r>
      <w:r>
        <w:rPr>
          <w:rFonts w:ascii="Times New Roman" w:hAnsi="Times New Roman" w:eastAsia="Times New Roman" w:cs="Times New Roman"/>
          <w:bCs w:val="1"/>
          <w:i/>
          <w:sz w:val="18"/>
          <w:szCs w:val="18"/>
        </w:rPr>
        <w:t xml:space="preserve">λ</w:t>
      </w:r>
      <w:r>
        <w:rPr>
          <w:rFonts w:ascii="Times New Roman" w:hAnsi="Times New Roman" w:eastAsia="Times New Roman" w:cs="Times New Roman"/>
          <w:bCs w:val="1"/>
          <w:sz w:val="18"/>
          <w:szCs w:val="18"/>
        </w:rPr>
        <w:t xml:space="preserve"> = 0.14) ahead of behaviour-score normalization, so that tag weights, capability scores and the talent profile form one dimensionally consistent chain, and a three-level approval workflow engine implemented as a finite state machine without third-party dependency. After three months of operation at Nantong CDC, covering 15 departments and 270 researchers, the approval cycle is shortened from 7 days to 2 days, the points-accounting error rate drops from 3.54% to 0.08%, and the dynamic capability tagging reaches 88.0% precision, 84.1% recall and 0.86 F1. Under 50 concurrent users, about twice the daily peak at this scale, the average response time is 140 ms with no failed request.</w:t>
      </w:r>
    </w:p>
    <w:p w14:paraId="600A1BBD">
      <w:pPr>
        <w:spacing w:after="62" w:afterLines="20" w:line="264" w:lineRule="auto"/>
        <w:jc w:val="both"/>
        <w:rPr>
          <w:rFonts w:hint="eastAsia"/>
        </w:rPr>
      </w:pPr>
      <w:r>
        <w:rPr>
          <w:rFonts w:ascii="Times New Roman" w:hAnsi="Times New Roman" w:eastAsia="Times New Roman" w:cs="Times New Roman"/>
          <w:b/>
          <w:bCs w:val="1"/>
          <w:sz w:val="18"/>
          <w:szCs w:val="18"/>
        </w:rPr>
        <w:t xml:space="preserve">Key words</w:t>
      </w:r>
      <w:r>
        <w:rPr>
          <w:rFonts w:ascii="Times New Roman" w:hAnsi="Times New Roman" w:eastAsia="Times New Roman" w:cs="Times New Roman"/>
          <w:bCs w:val="1"/>
          <w:sz w:val="18"/>
          <w:szCs w:val="18"/>
        </w:rPr>
        <w:t xml:space="preserve">: points-based evaluation; tag weight model; time decay algorithm; workflow engine; talent profile</w:t>
      </w:r>
    </w:p>
    <w:p w14:paraId="183BF205">
      <w:pPr>
        <w:spacing w:after="0" w:line="300" w:lineRule="exact"/>
        <w:ind w:firstLine="420" w:firstLineChars="20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在“科教兴卫、人才强卫”战略指引下, 各级疾控机构日益重视科研能力建设, 但基层疾控机构的科研人才评价仍存在方式粗放、“四唯”倾向明显、缺少动态量化手段等问题[1-2], 难以支撑科研梯队建设与精准激励.</w:t>
      </w:r>
    </w:p>
    <w:p w14:paraId="4EC06AC7">
      <w:pPr>
        <w:spacing w:after="0" w:line="300" w:lineRule="exact"/>
        <w:ind w:firstLine="420" w:firstLineChars="20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李涛等[1]从指标体系角度探讨了科研评价, 黄钊等[2]与李少琼等[3]分别面向疾控数字化系统与疾控信息化评价指标展开研究, 但均聚焦机构层面而非个人; 杨思洛等[4]梳理了“破五唯”导向下科研成果评价的制度表征, Amaral 等[5]、沈杨阳[6]与 Lei[7]分别从绩效拨款、组织机制与分类绩效角度探讨了科研评价, 但评价对象同样以机构为主; 罗仕鉴等[8]与白菁昊等[9]验证了用户画像与时序动态标签方法的有效性, 胡晓莹等[10]与 Chen 等[11]将指数加权移动平均与时间衰减引入用户兴趣建模, 但均未考虑科研成果的长周期性与时效衰减. 两条线索至今没有接上: 评价指标的研究停在机构层面, 动态标签的研究面向的是消费与学习行为. 本文的做法是把成果积分直接当作行为信号接入标签权重的更新, 再由标签权重映射到能力维度, 让量化与画像共用一条计算通路. 沿着这条通路, 多作者成果的积分如何分配、标签权重如何随时间衰减、审批环节如何免发布调整, 是必须先解决的三个具体问题.</w:t>
      </w:r>
    </w:p>
    <w:p w14:paraId="46CD40A4">
      <w:pPr>
        <w:keepNext w:val="1"/>
        <w:keepLines w:val="1"/>
        <w:spacing w:before="156" w:beforeLines="50" w:after="93" w:afterLines="30" w:line="360" w:lineRule="auto"/>
        <w:outlineLvl w:val="0"/>
        <w:rPr>
          <w:rFonts w:hint="eastAsia"/>
          <w:lang w:eastAsia="zh-CN"/>
        </w:rPr>
      </w:pPr>
      <w:r>
        <w:rPr>
          <w:rFonts w:hint="eastAsia" w:ascii="Times New Roman" w:hAnsi="Times New Roman" w:eastAsia="黑体" w:cs="Times New Roman"/>
          <w:b w:val="1"/>
          <w:sz w:val="28"/>
          <w:szCs w:val="24"/>
          <w:lang w:eastAsia="zh-CN"/>
        </w:rPr>
        <w:t>1  系统总体架构</w:t>
      </w:r>
    </w:p>
    <w:p w14:paraId="4B35A014">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系统采用四层架构. 表现层为 Vue 3 单页应用, 由 Vite 构建为静态资源独立部署, 通过 RESTful API 与后端交互, 二者构成前后端分离结构[12,13]; 业务逻辑层基于 Express 组织路由与中间件, 封装积分计算、审核流程控制、画像生成与排行统计等规则; 数据访问层以预编译语句与参数化 SQL 访问存储, 复杂统计场景直接书写 SQL 而不经 ORM 转换; 数据层采用嵌入式 SQLite, 与应用进程同机部署. 图表渲染由 Apache ECharts 承担[14]. 这样选型的出发点是运维成本——系统面向单机构 270 名科研人员、约 1200 条申报记录, 属典型的读多写少负载, 嵌入式数据库省去了独立数据库服务的部署、备份与调优, 而基层疾控机构通常没有专职数据库管理员. 轻量级框架在教育考试等同类业务系统中已有落地[15]. 分层架构如图1所示.</w:t>
      </w:r>
    </w:p>
    <w:p w14:paraId="634B0A90">
      <w:pPr>
        <w:keepNext w:val="1"/>
        <w:jc w:val="center"/>
        <w:rPr>
          <w:rFonts w:hint="eastAsia"/>
        </w:rPr>
      </w:pPr>
      <w:r>
        <w:rPr>
          <w:rFonts w:ascii="Times New Roman" w:hAnsi="Times New Roman" w:eastAsia="宋体" w:cs="Times New Roman"/>
          <w:noProof w:val="1"/>
          <w:sz w:val="21"/>
          <w:szCs w:val="21"/>
        </w:rPr>
        <w:drawing>
          <wp:inline distT="0" distB="0" distL="0" distR="0">
            <wp:extent cx="2926080" cy="2713355"/>
            <wp:effectExtent l="0" t="0" r="0" b="0"/>
            <wp:docPr id="2" name="图片 1"/>
            <wp:cNvGraphicFramePr>
              <a:graphicFrameLocks noChangeAspect="1"/>
            </wp:cNvGraphicFramePr>
            <a:graphic>
              <a:graphicData uri="http://schemas.openxmlformats.org/drawingml/2006/picture">
                <pic:pic>
                  <pic:nvPicPr>
                    <pic:cNvPr id="3" name="Picture 2"/>
                    <pic:cNvPicPr>
                      <a:picLocks noChangeAspect="1" noChangeArrowheads="1"/>
                    </pic:cNvPicPr>
                  </pic:nvPicPr>
                  <pic:blipFill>
                    <a:blip r:embed="rId7">
                      <a:extLst>
                        <a:ext uri="{28A0092B-C50C-407E-A947-70E740481C1C}"/>
                      </a:extLst>
                    </a:blip>
                    <a:srcRect/>
                    <a:stretch>
                      <a:fillRect/>
                    </a:stretch>
                  </pic:blipFill>
                  <pic:spPr bwMode="auto">
                    <a:xfrm>
                      <a:off x="0" y="0"/>
                      <a:ext cx="2926080" cy="2713355"/>
                    </a:xfrm>
                    <a:prstGeom prst="rect">
                      <a:avLst/>
                    </a:prstGeom>
                    <a:noFill/>
                  </pic:spPr>
                </pic:pic>
              </a:graphicData>
            </a:graphic>
          </wp:inline>
        </w:drawing>
      </w:r>
    </w:p>
    <w:p w14:paraId="50E11459">
      <w:pPr>
        <w:keepNext w:val="1"/>
        <w:keepLines w:val="1"/>
        <w:spacing w:before="31" w:beforeLines="10" w:after="93" w:afterLines="30"/>
        <w:jc w:val="center"/>
        <w:rPr>
          <w:rFonts w:hint="eastAsia"/>
          <w:lang w:eastAsia="zh-CN"/>
        </w:rPr>
      </w:pPr>
      <w:r>
        <w:rPr>
          <w:rFonts w:hint="eastAsia" w:ascii="Times New Roman" w:hAnsi="Times New Roman" w:eastAsia="黑体" w:cs="Times New Roman"/>
          <w:sz w:val="18"/>
          <w:szCs w:val="18"/>
          <w:lang w:eastAsia="zh-CN"/>
        </w:rPr>
        <w:t>图1  系统分层架构</w:t>
      </w:r>
    </w:p>
    <w:p w14:paraId="65D67298">
      <w:pPr>
        <w:keepNext w:val="1"/>
        <w:keepLines w:val="1"/>
        <w:spacing w:before="156" w:beforeLines="50" w:after="93" w:afterLines="30" w:line="360" w:lineRule="auto"/>
        <w:outlineLvl w:val="0"/>
        <w:rPr>
          <w:rFonts w:hint="eastAsia"/>
          <w:lang w:eastAsia="zh-CN"/>
        </w:rPr>
      </w:pPr>
      <w:r>
        <w:rPr>
          <w:rFonts w:hint="eastAsia" w:ascii="Times New Roman" w:hAnsi="Times New Roman" w:eastAsia="黑体" w:cs="Times New Roman"/>
          <w:b w:val="1"/>
          <w:sz w:val="28"/>
          <w:szCs w:val="24"/>
          <w:lang w:eastAsia="zh-CN"/>
        </w:rPr>
        <w:t>2  核心功能模块设计</w:t>
      </w:r>
    </w:p>
    <w:p w14:paraId="6EF7305F">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系统设计了五大功能模块, 构成申报、计算、画像、展示、权限的完整闭环. 积分管理模块支持可视化配置 12 大类 46 项积分规则, 成果提交后由计算引擎自动校验、核算分值并生成积分流水; 人才画像模块构建由基础属性(学历、职称)、专业方向与能力维度(科研能力、项目管理、数据分析)构成的三维动态标签体系[8-9]; 统计分析模块的“人才晴雨表”仪表盘集成 Apache ECharts[14], 支持多维交叉统计与下钻; 申报审核模块内置轻量级工作流引擎驱动三级审批; 系统管理模块采用 RBAC 模型构建用户—角色—权限三层架构[16-19], 并承担基础数据维护与操作日志审计.</w:t>
      </w:r>
    </w:p>
    <w:p w14:paraId="1C078FB8">
      <w:pPr>
        <w:keepNext w:val="1"/>
        <w:keepLines w:val="1"/>
        <w:spacing w:before="156" w:beforeLines="50" w:after="93" w:afterLines="30" w:line="360" w:lineRule="auto"/>
        <w:outlineLvl w:val="0"/>
        <w:rPr>
          <w:rFonts w:hint="eastAsia"/>
          <w:lang w:eastAsia="zh-CN"/>
        </w:rPr>
      </w:pPr>
      <w:r>
        <w:rPr>
          <w:rFonts w:hint="eastAsia" w:ascii="Times New Roman" w:hAnsi="Times New Roman" w:eastAsia="黑体" w:cs="Times New Roman"/>
          <w:b w:val="1"/>
          <w:sz w:val="28"/>
          <w:szCs w:val="24"/>
          <w:lang w:eastAsia="zh-CN"/>
        </w:rPr>
        <w:t>3  关键技术实现</w:t>
      </w:r>
    </w:p>
    <w:p w14:paraId="69214C33">
      <w:pPr>
        <w:keepNext w:val="1"/>
        <w:keepLines w:val="1"/>
        <w:spacing w:before="93" w:beforeLines="30" w:after="62" w:afterLines="20" w:line="360" w:lineRule="auto"/>
        <w:outlineLvl w:val="1"/>
        <w:rPr>
          <w:rFonts w:hint="eastAsia"/>
          <w:lang w:eastAsia="zh-CN"/>
        </w:rPr>
      </w:pPr>
      <w:r>
        <w:rPr>
          <w:rFonts w:hint="eastAsia" w:ascii="Times New Roman" w:hAnsi="Times New Roman" w:eastAsia="黑体" w:cs="Times New Roman"/>
          <w:b w:val="1"/>
          <w:sz w:val="21"/>
          <w:szCs w:val="21"/>
          <w:lang w:eastAsia="zh-CN"/>
        </w:rPr>
        <w:t>3.1  可配置积分规则引擎</w:t>
      </w:r>
    </w:p>
    <w:p w14:paraId="3D752FDF">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传统实现中调整积分规则需修改代码并重新发布. 为此, 系统将全部积分规则存入数据库配置表: points_category 存储 12 个成果大类, points_item 定义分值标准、年度上限、有效期与适用职称范围, points_record 记录积分变动明细, 管理员在后台修改配置即可实时生效. 成果校验、重复申报拦截、年度上限判断、按作者序位分配与流水生成包在同一次事务内, 任一步骤出错整体回滚. SQLite 的写操作本身是串行的, 这一点反倒省去了并发写入下的额外加锁设计.</w:t>
      </w:r>
    </w:p>
    <w:p w14:paraId="53BA54B4">
      <w:pPr>
        <w:keepNext w:val="1"/>
        <w:keepLines w:val="1"/>
        <w:spacing w:before="93" w:beforeLines="30" w:after="62" w:afterLines="20" w:line="360" w:lineRule="auto"/>
        <w:outlineLvl w:val="1"/>
        <w:rPr>
          <w:rFonts w:hint="eastAsia"/>
          <w:lang w:eastAsia="zh-CN"/>
        </w:rPr>
      </w:pPr>
      <w:r>
        <w:rPr>
          <w:rFonts w:hint="eastAsia" w:ascii="Times New Roman" w:hAnsi="Times New Roman" w:eastAsia="黑体" w:cs="Times New Roman"/>
          <w:b w:val="1"/>
          <w:sz w:val="21"/>
          <w:szCs w:val="21"/>
          <w:lang w:eastAsia="zh-CN"/>
        </w:rPr>
        <w:t>3.2  多作者积分权重分配模型</w:t>
      </w:r>
    </w:p>
    <w:p w14:paraId="2E505D4D">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多作者成果的积分分配是量化评价的难点: 长期沿用以第一作者、通讯作者为统计口径的做法会抹杀普通合著者的贡献[20], 而分数分配法、调和计数法等经典方案[21]亦未考虑疾控机构鼓励多科室协作的导向. 本文采用基于 Kronecker δ 函数的分段权重模型统一刻画作者序位与分配系数的映射关系, 如式(1)、式(2)所示.</w:t>
      </w:r>
    </w:p>
    <w:p w14:paraId="5C1819A1">
      <w:pPr>
        <w:keepNext w:val="1"/>
        <w:keepLines w:val="1"/>
        <w:tabs>
          <w:tab w:val="center" w:pos="4153"/>
          <w:tab w:val="right" w:pos="8306"/>
        </w:tabs>
        <w:spacing w:before="46" w:beforeLines="15" w:after="46" w:afterLines="15"/>
        <w:rPr>
          <w:rFonts w:hint="eastAsia"/>
        </w:rPr>
      </w:pPr>
      <w:r>
        <w:rPr>
          <w:lang w:eastAsia="zh-CN"/>
        </w:rPr>
        <w:tab/>
      </w:r>
      <m:oMath>
        <m:sSub>
          <m:sSubPr>
            <m:ctrlPr>
              <w:rPr>
                <w:rFonts w:ascii="Cambria Math" w:hAnsi="Cambria Math"/>
              </w:rPr>
            </m:ctrlPr>
          </m:sSubPr>
          <m:e>
            <m:r>
              <m:rPr/>
              <w:rPr>
                <w:rFonts w:ascii="Cambria Math" w:hAnsi="Cambria Math"/>
                <w:sz w:val="21"/>
                <w:szCs w:val="21"/>
              </w:rPr>
              <m:t>S</m:t>
            </m:r>
          </m:e>
          <m:sub>
            <m:r>
              <m:rPr/>
              <w:rPr>
                <w:rFonts w:ascii="Cambria Math" w:hAnsi="Cambria Math"/>
                <w:sz w:val="21"/>
                <w:szCs w:val="21"/>
              </w:rPr>
              <m:t>i</m:t>
            </m: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S</m:t>
            </m:r>
          </m:e>
          <m:sub>
            <m:r>
              <m:rPr/>
              <w:rPr>
                <w:rFonts w:ascii="Cambria Math" w:hAnsi="Cambria Math"/>
                <w:sz w:val="21"/>
                <w:szCs w:val="21"/>
              </w:rPr>
              <m:t>total</m:t>
            </m:r>
          </m:sub>
        </m:sSub>
        <m:r>
          <m:rPr/>
          <w:rPr>
            <w:rFonts w:ascii="Cambria Math" w:hAnsi="Cambria Math"/>
            <w:sz w:val="21"/>
            <w:szCs w:val="21"/>
          </w:rPr>
          <m:t xml:space="preserve"> × </m:t>
        </m:r>
        <m:d>
          <m:dPr>
            <m:ctrlPr>
              <w:rPr>
                <w:rFonts w:ascii="Cambria Math" w:hAnsi="Cambria Math"/>
              </w:rPr>
            </m:ctrlPr>
          </m:dPr>
          <m:e>
            <m:r>
              <m:rPr/>
              <w:rPr>
                <w:rFonts w:ascii="Cambria Math" w:hAnsi="Cambria Math"/>
                <w:sz w:val="21"/>
                <w:szCs w:val="21"/>
              </w:rPr>
              <m:t>0.2 + 0.8</m:t>
            </m:r>
            <m:sSub>
              <m:sSubPr>
                <m:ctrlPr>
                  <w:rPr>
                    <w:rFonts w:ascii="Cambria Math" w:hAnsi="Cambria Math"/>
                  </w:rPr>
                </m:ctrlPr>
              </m:sSubPr>
              <m:e>
                <m:r>
                  <m:rPr/>
                  <w:rPr>
                    <w:rFonts w:ascii="Cambria Math" w:hAnsi="Cambria Math"/>
                    <w:sz w:val="21"/>
                    <w:szCs w:val="21"/>
                  </w:rPr>
                  <m:t>δ</m:t>
                </m:r>
              </m:e>
              <m:sub>
                <m:r>
                  <m:rPr/>
                  <w:rPr>
                    <w:rFonts w:ascii="Cambria Math" w:hAnsi="Cambria Math"/>
                    <w:sz w:val="21"/>
                    <w:szCs w:val="21"/>
                  </w:rPr>
                  <m:t>i,1</m:t>
                </m:r>
              </m:sub>
            </m:sSub>
            <m:r>
              <m:rPr/>
              <w:rPr>
                <w:rFonts w:ascii="Cambria Math" w:hAnsi="Cambria Math"/>
                <w:sz w:val="21"/>
                <w:szCs w:val="21"/>
              </w:rPr>
              <m:t xml:space="preserve"> + 0.6</m:t>
            </m:r>
            <m:sSub>
              <m:sSubPr>
                <m:ctrlPr>
                  <w:rPr>
                    <w:rFonts w:ascii="Cambria Math" w:hAnsi="Cambria Math"/>
                  </w:rPr>
                </m:ctrlPr>
              </m:sSubPr>
              <m:e>
                <m:r>
                  <m:rPr/>
                  <w:rPr>
                    <w:rFonts w:ascii="Cambria Math" w:hAnsi="Cambria Math"/>
                    <w:sz w:val="21"/>
                    <w:szCs w:val="21"/>
                  </w:rPr>
                  <m:t>δ</m:t>
                </m:r>
              </m:e>
              <m:sub>
                <m:r>
                  <m:rPr/>
                  <w:rPr>
                    <w:rFonts w:ascii="Cambria Math" w:hAnsi="Cambria Math"/>
                    <w:sz w:val="21"/>
                    <w:szCs w:val="21"/>
                  </w:rPr>
                  <m:t>i,2</m:t>
                </m:r>
              </m:sub>
            </m:sSub>
            <m:r>
              <m:rPr/>
              <w:rPr>
                <w:rFonts w:ascii="Cambria Math" w:hAnsi="Cambria Math"/>
                <w:sz w:val="21"/>
                <w:szCs w:val="21"/>
              </w:rPr>
              <m:t xml:space="preserve"> + 0.3</m:t>
            </m:r>
            <m:sSub>
              <m:sSubPr>
                <m:ctrlPr>
                  <w:rPr>
                    <w:rFonts w:ascii="Cambria Math" w:hAnsi="Cambria Math"/>
                  </w:rPr>
                </m:ctrlPr>
              </m:sSubPr>
              <m:e>
                <m:r>
                  <m:rPr/>
                  <w:rPr>
                    <w:rFonts w:ascii="Cambria Math" w:hAnsi="Cambria Math"/>
                    <w:sz w:val="21"/>
                    <w:szCs w:val="21"/>
                  </w:rPr>
                  <m:t>δ</m:t>
                </m:r>
              </m:e>
              <m:sub>
                <m:r>
                  <m:rPr/>
                  <w:rPr>
                    <w:rFonts w:ascii="Cambria Math" w:hAnsi="Cambria Math"/>
                    <w:sz w:val="21"/>
                    <w:szCs w:val="21"/>
                  </w:rPr>
                  <m:t>i,3</m:t>
                </m:r>
              </m:sub>
            </m:sSub>
          </m:e>
        </m:d>
        <m:r>
          <m:rPr/>
          <w:rPr>
            <w:rFonts w:ascii="Cambria Math" w:hAnsi="Cambria Math"/>
            <w:sz w:val="21"/>
            <w:szCs w:val="21"/>
          </w:rPr>
          <m:t>,    i = 1, 2, …, n</m:t>
        </m:r>
      </m:oMath>
      <w:r>
        <w:tab/>
      </w:r>
      <w:r>
        <w:rPr>
          <w:rFonts w:ascii="Times New Roman" w:hAnsi="Times New Roman" w:eastAsia="宋体" w:cs="Times New Roman"/>
          <w:sz w:val="21"/>
          <w:szCs w:val="21"/>
        </w:rPr>
        <w:t>(1)</w:t>
      </w:r>
    </w:p>
    <w:p w14:paraId="239C1A58">
      <w:pPr>
        <w:keepNext w:val="1"/>
        <w:keepLines w:val="1"/>
        <w:tabs>
          <w:tab w:val="center" w:pos="4153"/>
          <w:tab w:val="right" w:pos="8306"/>
        </w:tabs>
        <w:spacing w:before="46" w:beforeLines="15" w:after="46" w:afterLines="15"/>
        <w:rPr>
          <w:rFonts w:hint="eastAsia"/>
          <w:lang w:eastAsia="zh-CN"/>
        </w:rPr>
      </w:pPr>
      <w:r>
        <w:tab/>
      </w:r>
      <m:oMath>
        <m:sSub>
          <m:sSubPr>
            <m:ctrlPr>
              <w:rPr>
                <w:rFonts w:ascii="Cambria Math" w:hAnsi="Cambria Math"/>
              </w:rPr>
            </m:ctrlPr>
          </m:sSubPr>
          <m:e>
            <m:r>
              <m:rPr/>
              <w:rPr>
                <w:rFonts w:ascii="Cambria Math" w:hAnsi="Cambria Math"/>
                <w:sz w:val="21"/>
                <w:szCs w:val="21"/>
                <w:lang w:eastAsia="zh-CN"/>
              </w:rPr>
              <m:t>δ</m:t>
            </m:r>
          </m:e>
          <m:sub>
            <m:r>
              <m:rPr/>
              <w:rPr>
                <w:rFonts w:ascii="Cambria Math" w:hAnsi="Cambria Math"/>
                <w:sz w:val="21"/>
                <w:szCs w:val="21"/>
                <w:lang w:eastAsia="zh-CN"/>
              </w:rPr>
              <m:t>i,j</m:t>
            </m:r>
          </m:sub>
        </m:sSub>
        <m:r>
          <m:rPr/>
          <w:rPr>
            <w:rFonts w:ascii="Cambria Math" w:hAnsi="Cambria Math"/>
            <w:sz w:val="21"/>
            <w:szCs w:val="21"/>
            <w:lang w:eastAsia="zh-CN"/>
          </w:rPr>
          <m:t xml:space="preserve"> = </m:t>
        </m:r>
        <m:d>
          <m:dPr>
            <m:begChr m:val="{"/>
            <m:endChr m:val=""/>
            <m:ctrlPr>
              <w:rPr>
                <w:rFonts w:ascii="Cambria Math" w:hAnsi="Cambria Math"/>
              </w:rPr>
            </m:ctrlPr>
          </m:dPr>
          <m:e>
            <m:m>
              <m:mPr>
                <m:mcs>
                  <m:mc>
                    <m:mcPr>
                      <m:count m:val="2"/>
                      <m:mcJc m:val="left"/>
                    </m:mcPr>
                  </m:mc>
                </m:mcs>
                <m:ctrlPr>
                  <w:rPr>
                    <w:rFonts w:ascii="Cambria Math" w:hAnsi="Cambria Math"/>
                  </w:rPr>
                </m:ctrlPr>
              </m:mPr>
              <m:mr>
                <m:e>
                  <m:r>
                    <m:rPr/>
                    <w:rPr>
                      <w:rFonts w:ascii="Cambria Math" w:hAnsi="Cambria Math"/>
                      <w:sz w:val="21"/>
                      <w:szCs w:val="21"/>
                      <w:lang w:eastAsia="zh-CN"/>
                    </w:rPr>
                    <m:t>1,</m:t>
                  </m:r>
                </m:e>
                <m:e>
                  <m:r>
                    <m:rPr/>
                    <w:rPr>
                      <w:rFonts w:ascii="Cambria Math" w:hAnsi="Cambria Math"/>
                      <w:sz w:val="21"/>
                      <w:szCs w:val="21"/>
                      <w:lang w:eastAsia="zh-CN"/>
                    </w:rPr>
                    <m:t>i = j</m:t>
                  </m:r>
                </m:e>
              </m:mr>
              <m:mr>
                <m:e>
                  <m:r>
                    <m:rPr/>
                    <w:rPr>
                      <w:rFonts w:ascii="Cambria Math" w:hAnsi="Cambria Math"/>
                      <w:sz w:val="21"/>
                      <w:szCs w:val="21"/>
                      <w:lang w:eastAsia="zh-CN"/>
                    </w:rPr>
                    <m:t>0,</m:t>
                  </m:r>
                </m:e>
                <m:e>
                  <m:r>
                    <m:rPr/>
                    <w:rPr>
                      <w:rFonts w:ascii="Cambria Math" w:hAnsi="Cambria Math"/>
                      <w:sz w:val="21"/>
                      <w:szCs w:val="21"/>
                      <w:lang w:eastAsia="zh-CN"/>
                    </w:rPr>
                    <m:t>i ≠ j</m:t>
                  </m:r>
                </m:e>
              </m:mr>
            </m:m>
          </m:e>
        </m:d>
      </m:oMath>
      <w:r>
        <w:rPr>
          <w:lang w:eastAsia="zh-CN"/>
        </w:rPr>
        <w:tab/>
      </w:r>
      <w:r>
        <w:rPr>
          <w:rFonts w:ascii="Times New Roman" w:hAnsi="Times New Roman" w:eastAsia="宋体" w:cs="Times New Roman"/>
          <w:sz w:val="21"/>
          <w:szCs w:val="21"/>
          <w:lang w:eastAsia="zh-CN"/>
        </w:rPr>
        <w:t>(2)</w:t>
      </w:r>
    </w:p>
    <w:p w14:paraId="36AB682D">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式中: </w:t>
      </w:r>
      <w:r>
        <w:rPr>
          <w:rFonts w:ascii="Times New Roman" w:hAnsi="Times New Roman" w:eastAsia="宋体" w:cs="Times New Roman"/>
          <w:i w:val="1"/>
          <w:iCs w:val="1"/>
          <w:sz w:val="21"/>
          <w:szCs w:val="21"/>
          <w:lang w:eastAsia="zh-CN"/>
        </w:rPr>
        <w:t>S</w:t>
      </w:r>
      <w:r>
        <w:rPr>
          <w:rFonts w:ascii="Times New Roman" w:hAnsi="Times New Roman" w:eastAsia="宋体" w:cs="Times New Roman"/>
          <w:sz w:val="21"/>
          <w:szCs w:val="21"/>
          <w:vertAlign w:val="subscript"/>
          <w:lang w:eastAsia="zh-CN"/>
        </w:rPr>
        <w:t>i</w:t>
      </w:r>
      <w:r>
        <w:rPr>
          <w:rFonts w:hint="eastAsia" w:ascii="Times New Roman" w:hAnsi="Times New Roman" w:eastAsia="宋体" w:cs="Times New Roman"/>
          <w:sz w:val="21"/>
          <w:szCs w:val="21"/>
          <w:lang w:eastAsia="zh-CN"/>
        </w:rPr>
        <w:t xml:space="preserve"> 为第 </w:t>
      </w:r>
      <w:r>
        <w:rPr>
          <w:rFonts w:ascii="Times New Roman" w:hAnsi="Times New Roman" w:eastAsia="宋体" w:cs="Times New Roman"/>
          <w:i w:val="1"/>
          <w:iCs w:val="1"/>
          <w:sz w:val="21"/>
          <w:szCs w:val="21"/>
          <w:lang w:eastAsia="zh-CN"/>
        </w:rPr>
        <w:t>i</w:t>
      </w:r>
      <w:r>
        <w:rPr>
          <w:rFonts w:hint="eastAsia" w:ascii="Times New Roman" w:hAnsi="Times New Roman" w:eastAsia="宋体" w:cs="Times New Roman"/>
          <w:sz w:val="21"/>
          <w:szCs w:val="21"/>
          <w:lang w:eastAsia="zh-CN"/>
        </w:rPr>
        <w:t xml:space="preserve"> 作者获得的积分; </w:t>
      </w:r>
      <w:r>
        <w:rPr>
          <w:rFonts w:ascii="Times New Roman" w:hAnsi="Times New Roman" w:eastAsia="宋体" w:cs="Times New Roman"/>
          <w:i w:val="1"/>
          <w:iCs w:val="1"/>
          <w:sz w:val="21"/>
          <w:szCs w:val="21"/>
          <w:lang w:eastAsia="zh-CN"/>
        </w:rPr>
        <w:t>S</w:t>
      </w:r>
      <w:r>
        <w:rPr>
          <w:rFonts w:ascii="Times New Roman" w:hAnsi="Times New Roman" w:eastAsia="宋体" w:cs="Times New Roman"/>
          <w:sz w:val="21"/>
          <w:szCs w:val="21"/>
          <w:vertAlign w:val="subscript"/>
          <w:lang w:eastAsia="zh-CN"/>
        </w:rPr>
        <w:t>total</w:t>
      </w:r>
      <w:r>
        <w:rPr>
          <w:rFonts w:hint="eastAsia" w:ascii="Times New Roman" w:hAnsi="Times New Roman" w:eastAsia="宋体" w:cs="Times New Roman"/>
          <w:sz w:val="21"/>
          <w:szCs w:val="21"/>
          <w:lang w:eastAsia="zh-CN"/>
        </w:rPr>
        <w:t xml:space="preserve"> 为成果标准积分; </w:t>
      </w:r>
      <w:r>
        <w:rPr>
          <w:rFonts w:ascii="Times New Roman" w:hAnsi="Times New Roman" w:eastAsia="宋体" w:cs="Times New Roman"/>
          <w:i w:val="1"/>
          <w:iCs w:val="1"/>
          <w:sz w:val="21"/>
          <w:szCs w:val="21"/>
          <w:lang w:eastAsia="zh-CN"/>
        </w:rPr>
        <w:t>n</w:t>
      </w:r>
      <w:r>
        <w:rPr>
          <w:rFonts w:hint="eastAsia" w:ascii="Times New Roman" w:hAnsi="Times New Roman" w:eastAsia="宋体" w:cs="Times New Roman"/>
          <w:sz w:val="21"/>
          <w:szCs w:val="21"/>
          <w:lang w:eastAsia="zh-CN"/>
        </w:rPr>
        <w:t xml:space="preserve"> 为作者总数. 第 1、2、3 作者的分配系数分别为 1.0、0.8、0.5, 第 4 作者及以后按 0.2 计; 通讯作者按第 1 作者计, 共同第一作者按并列第 1 作者计.</w:t>
      </w:r>
    </w:p>
    <w:p w14:paraId="68C867C1">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式(1)采用名义分值制而非总量守恒制, 即各作者所得之和可能大于成果标准积分(4 位作者时为 2.5 倍), 以契合疾控机构鼓励多科室协作攻关的导向; 其“挂名”风险由 points_item 表的年度上限封顶与第 4 作者及以后积分不计入职称评审口径两项制度约束控制, 与常见守恒型方法的对比如表1所示, 其中调和计数法与算术递减法取自文献[20,21]的归类. 系统默认采用名义分值制以契合协作导向, 需控制年度积分总量的科室可在后台切换为归一化模式(式(3)).</w:t>
      </w:r>
    </w:p>
    <w:p w14:paraId="6B41360C">
      <w:pPr>
        <w:keepNext w:val="1"/>
        <w:keepLines w:val="1"/>
        <w:spacing w:before="37" w:beforeLines="12" w:after="18" w:afterLines="6"/>
        <w:jc w:val="center"/>
        <w:rPr>
          <w:rFonts w:hint="eastAsia"/>
          <w:lang w:eastAsia="zh-CN"/>
        </w:rPr>
      </w:pPr>
      <w:r>
        <w:rPr>
          <w:rFonts w:hint="eastAsia" w:ascii="Times New Roman" w:hAnsi="Times New Roman" w:eastAsia="黑体" w:cs="Times New Roman"/>
          <w:sz w:val="18"/>
          <w:szCs w:val="18"/>
          <w:lang w:eastAsia="zh-CN"/>
        </w:rPr>
        <w:t>表1  多作者积分分配方法对比</w:t>
      </w:r>
    </w:p>
    <w:tbl>
      <w:tblPr>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64" w:type="dxa"/>
          <w:bottom w:w="28" w:type="dxa"/>
          <w:right w:w="64" w:type="dxa"/>
        </w:tblCellMar>
        <w:tblLook w:firstRow="1" w:lastRow="0" w:firstColumn="1" w:lastColumn="0" w:noHBand="0" w:noVBand="1" w:val="04A0"/>
      </w:tblPr>
      <w:tblGrid>
        <w:gridCol w:w="2000"/>
        <w:gridCol w:w="1262"/>
        <w:gridCol w:w="1262"/>
        <w:gridCol w:w="1262"/>
        <w:gridCol w:w="1262"/>
        <w:gridCol w:w="1258"/>
      </w:tblGrid>
      <w:tr>
        <w:trPr>
          <w:cantSplit w:val="1"/>
          <w:tblHeader w:val="1"/>
          <w:jc w:val="center"/>
        </w:trPr>
        <w:tc>
          <w:tcPr>
            <w:tcW w:w="2000" w:type="dxa"/>
            <w:tcBorders>
              <w:top w:val="single" w:color="auto" w:sz="12" w:space="0"/>
              <w:left w:val="nil"/>
              <w:bottom w:val="single" w:color="auto" w:sz="6" w:space="0"/>
              <w:right w:val="nil"/>
            </w:tcBorders>
            <w:vAlign w:val="center"/>
          </w:tcPr>
          <w:p w14:paraId="3FC34985">
            <w:pPr>
              <w:spacing w:before="20" w:after="20" w:line="240" w:lineRule="auto"/>
              <w:jc w:val="center"/>
              <w:rPr>
                <w:rFonts w:hint="eastAsia"/>
              </w:rPr>
            </w:pPr>
            <w:r>
              <w:rPr>
                <w:rFonts w:hint="eastAsia" w:ascii="Times New Roman" w:hAnsi="Times New Roman" w:eastAsia="宋体" w:cs="Times New Roman"/>
                <w:b w:val="1"/>
                <w:bCs w:val="1"/>
                <w:sz w:val="18"/>
                <w:szCs w:val="18"/>
              </w:rPr>
              <w:t>分配方法</w:t>
            </w:r>
          </w:p>
        </w:tc>
        <w:tc>
          <w:tcPr>
            <w:tcW w:w="1262" w:type="dxa"/>
            <w:tcBorders>
              <w:top w:val="single" w:color="auto" w:sz="12" w:space="0"/>
              <w:left w:val="nil"/>
              <w:bottom w:val="single" w:color="auto" w:sz="6" w:space="0"/>
              <w:right w:val="nil"/>
            </w:tcBorders>
            <w:vAlign w:val="center"/>
          </w:tcPr>
          <w:p w14:paraId="41E8412B">
            <w:pPr>
              <w:spacing w:before="20" w:after="20" w:line="240" w:lineRule="auto"/>
              <w:jc w:val="center"/>
              <w:rPr>
                <w:rFonts w:hint="eastAsia"/>
              </w:rPr>
            </w:pPr>
            <w:r>
              <w:rPr>
                <w:rFonts w:hint="eastAsia" w:ascii="Times New Roman" w:hAnsi="Times New Roman" w:eastAsia="宋体" w:cs="Times New Roman"/>
                <w:b w:val="1"/>
                <w:bCs w:val="1"/>
                <w:sz w:val="18"/>
                <w:szCs w:val="18"/>
              </w:rPr>
              <w:t>第 1 作者</w:t>
            </w:r>
          </w:p>
        </w:tc>
        <w:tc>
          <w:tcPr>
            <w:tcW w:w="1262" w:type="dxa"/>
            <w:tcBorders>
              <w:top w:val="single" w:color="auto" w:sz="12" w:space="0"/>
              <w:left w:val="nil"/>
              <w:bottom w:val="single" w:color="auto" w:sz="6" w:space="0"/>
              <w:right w:val="nil"/>
            </w:tcBorders>
            <w:vAlign w:val="center"/>
          </w:tcPr>
          <w:p w14:paraId="0618DDE6">
            <w:pPr>
              <w:spacing w:before="20" w:after="20" w:line="240" w:lineRule="auto"/>
              <w:jc w:val="center"/>
              <w:rPr>
                <w:rFonts w:hint="eastAsia"/>
              </w:rPr>
            </w:pPr>
            <w:r>
              <w:rPr>
                <w:rFonts w:hint="eastAsia" w:ascii="Times New Roman" w:hAnsi="Times New Roman" w:eastAsia="宋体" w:cs="Times New Roman"/>
                <w:b w:val="1"/>
                <w:bCs w:val="1"/>
                <w:sz w:val="18"/>
                <w:szCs w:val="18"/>
              </w:rPr>
              <w:t>第 2 作者</w:t>
            </w:r>
          </w:p>
        </w:tc>
        <w:tc>
          <w:tcPr>
            <w:tcW w:w="1262" w:type="dxa"/>
            <w:tcBorders>
              <w:top w:val="single" w:color="auto" w:sz="12" w:space="0"/>
              <w:left w:val="nil"/>
              <w:bottom w:val="single" w:color="auto" w:sz="6" w:space="0"/>
              <w:right w:val="nil"/>
            </w:tcBorders>
            <w:vAlign w:val="center"/>
          </w:tcPr>
          <w:p w14:paraId="03057AC7">
            <w:pPr>
              <w:spacing w:before="20" w:after="20" w:line="240" w:lineRule="auto"/>
              <w:jc w:val="center"/>
              <w:rPr>
                <w:rFonts w:hint="eastAsia"/>
              </w:rPr>
            </w:pPr>
            <w:r>
              <w:rPr>
                <w:rFonts w:hint="eastAsia" w:ascii="Times New Roman" w:hAnsi="Times New Roman" w:eastAsia="宋体" w:cs="Times New Roman"/>
                <w:b w:val="1"/>
                <w:bCs w:val="1"/>
                <w:sz w:val="18"/>
                <w:szCs w:val="18"/>
              </w:rPr>
              <w:t>第 3 作者</w:t>
            </w:r>
          </w:p>
        </w:tc>
        <w:tc>
          <w:tcPr>
            <w:tcW w:w="1262" w:type="dxa"/>
            <w:tcBorders>
              <w:top w:val="single" w:color="auto" w:sz="12" w:space="0"/>
              <w:left w:val="nil"/>
              <w:bottom w:val="single" w:color="auto" w:sz="6" w:space="0"/>
              <w:right w:val="nil"/>
            </w:tcBorders>
            <w:vAlign w:val="center"/>
          </w:tcPr>
          <w:p w14:paraId="0443DCF1">
            <w:pPr>
              <w:spacing w:before="20" w:after="20" w:line="240" w:lineRule="auto"/>
              <w:jc w:val="center"/>
              <w:rPr>
                <w:rFonts w:hint="eastAsia"/>
              </w:rPr>
            </w:pPr>
            <w:r>
              <w:rPr>
                <w:rFonts w:hint="eastAsia" w:ascii="Times New Roman" w:hAnsi="Times New Roman" w:eastAsia="宋体" w:cs="Times New Roman"/>
                <w:b w:val="1"/>
                <w:bCs w:val="1"/>
                <w:sz w:val="18"/>
                <w:szCs w:val="18"/>
              </w:rPr>
              <w:t>第 4 作者</w:t>
            </w:r>
          </w:p>
        </w:tc>
        <w:tc>
          <w:tcPr>
            <w:tcW w:w="1258" w:type="dxa"/>
            <w:tcBorders>
              <w:top w:val="single" w:color="auto" w:sz="12" w:space="0"/>
              <w:left w:val="nil"/>
              <w:bottom w:val="single" w:color="auto" w:sz="6" w:space="0"/>
              <w:right w:val="nil"/>
            </w:tcBorders>
            <w:vAlign w:val="center"/>
          </w:tcPr>
          <w:p w14:paraId="3A7FC951">
            <w:pPr>
              <w:spacing w:before="20" w:after="20" w:line="240" w:lineRule="auto"/>
              <w:jc w:val="center"/>
              <w:rPr>
                <w:rFonts w:hint="eastAsia"/>
              </w:rPr>
            </w:pPr>
            <w:r>
              <w:rPr>
                <w:rFonts w:hint="eastAsia" w:ascii="Times New Roman" w:hAnsi="Times New Roman" w:eastAsia="宋体" w:cs="Times New Roman"/>
                <w:b w:val="1"/>
                <w:bCs w:val="1"/>
                <w:sz w:val="18"/>
                <w:szCs w:val="18"/>
              </w:rPr>
              <w:t>合计</w:t>
            </w:r>
          </w:p>
        </w:tc>
      </w:tr>
      <w:tr>
        <w:trPr>
          <w:cantSplit w:val="1"/>
          <w:jc w:val="center"/>
        </w:trPr>
        <w:tc>
          <w:tcPr>
            <w:tcW w:w="2000" w:type="dxa"/>
            <w:tcBorders>
              <w:top w:val="nil"/>
              <w:left w:val="nil"/>
              <w:bottom w:val="nil"/>
              <w:right w:val="nil"/>
            </w:tcBorders>
            <w:vAlign w:val="center"/>
          </w:tcPr>
          <w:p w14:paraId="667514B9">
            <w:pPr>
              <w:spacing w:before="20" w:after="20" w:line="240" w:lineRule="auto"/>
              <w:jc w:val="center"/>
              <w:rPr>
                <w:rFonts w:hint="eastAsia"/>
              </w:rPr>
            </w:pPr>
            <w:r>
              <w:rPr>
                <w:rFonts w:hint="eastAsia" w:ascii="Times New Roman" w:hAnsi="Times New Roman" w:eastAsia="宋体" w:cs="Times New Roman"/>
                <w:sz w:val="18"/>
                <w:szCs w:val="18"/>
              </w:rPr>
              <w:t>均分法</w:t>
            </w:r>
          </w:p>
        </w:tc>
        <w:tc>
          <w:tcPr>
            <w:tcW w:w="1262" w:type="dxa"/>
            <w:tcBorders>
              <w:top w:val="nil"/>
              <w:left w:val="nil"/>
              <w:bottom w:val="nil"/>
              <w:right w:val="nil"/>
            </w:tcBorders>
            <w:vAlign w:val="center"/>
          </w:tcPr>
          <w:p w14:paraId="34A8E13D">
            <w:pPr>
              <w:spacing w:before="20" w:after="20" w:line="240" w:lineRule="auto"/>
              <w:jc w:val="center"/>
              <w:rPr>
                <w:rFonts w:hint="eastAsia"/>
              </w:rPr>
            </w:pPr>
            <w:r>
              <w:rPr>
                <w:rFonts w:ascii="Times New Roman" w:hAnsi="Times New Roman" w:eastAsia="宋体" w:cs="Times New Roman"/>
                <w:sz w:val="18"/>
                <w:szCs w:val="18"/>
              </w:rPr>
              <w:t>0.25</w:t>
            </w:r>
          </w:p>
        </w:tc>
        <w:tc>
          <w:tcPr>
            <w:tcW w:w="1262" w:type="dxa"/>
            <w:tcBorders>
              <w:top w:val="nil"/>
              <w:left w:val="nil"/>
              <w:bottom w:val="nil"/>
              <w:right w:val="nil"/>
            </w:tcBorders>
            <w:vAlign w:val="center"/>
          </w:tcPr>
          <w:p w14:paraId="4DD5A771">
            <w:pPr>
              <w:spacing w:before="20" w:after="20" w:line="240" w:lineRule="auto"/>
              <w:jc w:val="center"/>
              <w:rPr>
                <w:rFonts w:hint="eastAsia"/>
              </w:rPr>
            </w:pPr>
            <w:r>
              <w:rPr>
                <w:rFonts w:ascii="Times New Roman" w:hAnsi="Times New Roman" w:eastAsia="宋体" w:cs="Times New Roman"/>
                <w:sz w:val="18"/>
                <w:szCs w:val="18"/>
              </w:rPr>
              <w:t>0.25</w:t>
            </w:r>
          </w:p>
        </w:tc>
        <w:tc>
          <w:tcPr>
            <w:tcW w:w="1262" w:type="dxa"/>
            <w:tcBorders>
              <w:top w:val="nil"/>
              <w:left w:val="nil"/>
              <w:bottom w:val="nil"/>
              <w:right w:val="nil"/>
            </w:tcBorders>
            <w:vAlign w:val="center"/>
          </w:tcPr>
          <w:p w14:paraId="1885826E">
            <w:pPr>
              <w:spacing w:before="20" w:after="20" w:line="240" w:lineRule="auto"/>
              <w:jc w:val="center"/>
              <w:rPr>
                <w:rFonts w:hint="eastAsia"/>
              </w:rPr>
            </w:pPr>
            <w:r>
              <w:rPr>
                <w:rFonts w:ascii="Times New Roman" w:hAnsi="Times New Roman" w:eastAsia="宋体" w:cs="Times New Roman"/>
                <w:sz w:val="18"/>
                <w:szCs w:val="18"/>
              </w:rPr>
              <w:t>0.25</w:t>
            </w:r>
          </w:p>
        </w:tc>
        <w:tc>
          <w:tcPr>
            <w:tcW w:w="1262" w:type="dxa"/>
            <w:tcBorders>
              <w:top w:val="nil"/>
              <w:left w:val="nil"/>
              <w:bottom w:val="nil"/>
              <w:right w:val="nil"/>
            </w:tcBorders>
            <w:vAlign w:val="center"/>
          </w:tcPr>
          <w:p w14:paraId="54E96A69">
            <w:pPr>
              <w:spacing w:before="20" w:after="20" w:line="240" w:lineRule="auto"/>
              <w:jc w:val="center"/>
              <w:rPr>
                <w:rFonts w:hint="eastAsia"/>
              </w:rPr>
            </w:pPr>
            <w:r>
              <w:rPr>
                <w:rFonts w:ascii="Times New Roman" w:hAnsi="Times New Roman" w:eastAsia="宋体" w:cs="Times New Roman"/>
                <w:sz w:val="18"/>
                <w:szCs w:val="18"/>
              </w:rPr>
              <w:t>0.25</w:t>
            </w:r>
          </w:p>
        </w:tc>
        <w:tc>
          <w:tcPr>
            <w:tcW w:w="1258" w:type="dxa"/>
            <w:tcBorders>
              <w:top w:val="nil"/>
              <w:left w:val="nil"/>
              <w:bottom w:val="nil"/>
              <w:right w:val="nil"/>
            </w:tcBorders>
            <w:vAlign w:val="center"/>
          </w:tcPr>
          <w:p w14:paraId="19A41DAE">
            <w:pPr>
              <w:spacing w:before="20" w:after="20" w:line="240" w:lineRule="auto"/>
              <w:jc w:val="center"/>
              <w:rPr>
                <w:rFonts w:hint="eastAsia"/>
              </w:rPr>
            </w:pPr>
            <w:r>
              <w:rPr>
                <w:rFonts w:ascii="Times New Roman" w:hAnsi="Times New Roman" w:eastAsia="宋体" w:cs="Times New Roman"/>
                <w:sz w:val="18"/>
                <w:szCs w:val="18"/>
              </w:rPr>
              <w:t>1.00</w:t>
            </w:r>
          </w:p>
        </w:tc>
      </w:tr>
      <w:tr>
        <w:trPr>
          <w:cantSplit w:val="1"/>
          <w:jc w:val="center"/>
        </w:trPr>
        <w:tc>
          <w:tcPr>
            <w:tcW w:w="2000" w:type="dxa"/>
            <w:tcBorders>
              <w:top w:val="nil"/>
              <w:left w:val="nil"/>
              <w:bottom w:val="nil"/>
              <w:right w:val="nil"/>
            </w:tcBorders>
            <w:vAlign w:val="center"/>
          </w:tcPr>
          <w:p w14:paraId="2B4BDD6D">
            <w:pPr>
              <w:spacing w:before="20" w:after="20" w:line="240" w:lineRule="auto"/>
              <w:jc w:val="center"/>
              <w:rPr>
                <w:rFonts w:hint="eastAsia"/>
              </w:rPr>
            </w:pPr>
            <w:r>
              <w:rPr>
                <w:rFonts w:hint="eastAsia" w:ascii="Times New Roman" w:hAnsi="Times New Roman" w:eastAsia="宋体" w:cs="Times New Roman"/>
                <w:sz w:val="18"/>
                <w:szCs w:val="18"/>
              </w:rPr>
              <w:t>调和计数法</w:t>
            </w:r>
          </w:p>
        </w:tc>
        <w:tc>
          <w:tcPr>
            <w:tcW w:w="1262" w:type="dxa"/>
            <w:tcBorders>
              <w:top w:val="nil"/>
              <w:left w:val="nil"/>
              <w:bottom w:val="nil"/>
              <w:right w:val="nil"/>
            </w:tcBorders>
            <w:vAlign w:val="center"/>
          </w:tcPr>
          <w:p w14:paraId="187A62EF">
            <w:pPr>
              <w:spacing w:before="20" w:after="20" w:line="240" w:lineRule="auto"/>
              <w:jc w:val="center"/>
              <w:rPr>
                <w:rFonts w:hint="eastAsia"/>
              </w:rPr>
            </w:pPr>
            <w:r>
              <w:rPr>
                <w:rFonts w:ascii="Times New Roman" w:hAnsi="Times New Roman" w:eastAsia="宋体" w:cs="Times New Roman"/>
                <w:sz w:val="18"/>
                <w:szCs w:val="18"/>
              </w:rPr>
              <w:t>0.48</w:t>
            </w:r>
          </w:p>
        </w:tc>
        <w:tc>
          <w:tcPr>
            <w:tcW w:w="1262" w:type="dxa"/>
            <w:tcBorders>
              <w:top w:val="nil"/>
              <w:left w:val="nil"/>
              <w:bottom w:val="nil"/>
              <w:right w:val="nil"/>
            </w:tcBorders>
            <w:vAlign w:val="center"/>
          </w:tcPr>
          <w:p w14:paraId="2A32377A">
            <w:pPr>
              <w:spacing w:before="20" w:after="20" w:line="240" w:lineRule="auto"/>
              <w:jc w:val="center"/>
              <w:rPr>
                <w:rFonts w:hint="eastAsia"/>
              </w:rPr>
            </w:pPr>
            <w:r>
              <w:rPr>
                <w:rFonts w:ascii="Times New Roman" w:hAnsi="Times New Roman" w:eastAsia="宋体" w:cs="Times New Roman"/>
                <w:sz w:val="18"/>
                <w:szCs w:val="18"/>
              </w:rPr>
              <w:t>0.24</w:t>
            </w:r>
          </w:p>
        </w:tc>
        <w:tc>
          <w:tcPr>
            <w:tcW w:w="1262" w:type="dxa"/>
            <w:tcBorders>
              <w:top w:val="nil"/>
              <w:left w:val="nil"/>
              <w:bottom w:val="nil"/>
              <w:right w:val="nil"/>
            </w:tcBorders>
            <w:vAlign w:val="center"/>
          </w:tcPr>
          <w:p w14:paraId="63871630">
            <w:pPr>
              <w:spacing w:before="20" w:after="20" w:line="240" w:lineRule="auto"/>
              <w:jc w:val="center"/>
              <w:rPr>
                <w:rFonts w:hint="eastAsia"/>
              </w:rPr>
            </w:pPr>
            <w:r>
              <w:rPr>
                <w:rFonts w:ascii="Times New Roman" w:hAnsi="Times New Roman" w:eastAsia="宋体" w:cs="Times New Roman"/>
                <w:sz w:val="18"/>
                <w:szCs w:val="18"/>
              </w:rPr>
              <w:t>0.16</w:t>
            </w:r>
          </w:p>
        </w:tc>
        <w:tc>
          <w:tcPr>
            <w:tcW w:w="1262" w:type="dxa"/>
            <w:tcBorders>
              <w:top w:val="nil"/>
              <w:left w:val="nil"/>
              <w:bottom w:val="nil"/>
              <w:right w:val="nil"/>
            </w:tcBorders>
            <w:vAlign w:val="center"/>
          </w:tcPr>
          <w:p w14:paraId="506B2B98">
            <w:pPr>
              <w:spacing w:before="20" w:after="20" w:line="240" w:lineRule="auto"/>
              <w:jc w:val="center"/>
              <w:rPr>
                <w:rFonts w:hint="eastAsia"/>
              </w:rPr>
            </w:pPr>
            <w:r>
              <w:rPr>
                <w:rFonts w:ascii="Times New Roman" w:hAnsi="Times New Roman" w:eastAsia="宋体" w:cs="Times New Roman"/>
                <w:sz w:val="18"/>
                <w:szCs w:val="18"/>
              </w:rPr>
              <w:t>0.12</w:t>
            </w:r>
          </w:p>
        </w:tc>
        <w:tc>
          <w:tcPr>
            <w:tcW w:w="1258" w:type="dxa"/>
            <w:tcBorders>
              <w:top w:val="nil"/>
              <w:left w:val="nil"/>
              <w:bottom w:val="nil"/>
              <w:right w:val="nil"/>
            </w:tcBorders>
            <w:vAlign w:val="center"/>
          </w:tcPr>
          <w:p w14:paraId="3A743F3C">
            <w:pPr>
              <w:spacing w:before="20" w:after="20" w:line="240" w:lineRule="auto"/>
              <w:jc w:val="center"/>
              <w:rPr>
                <w:rFonts w:hint="eastAsia"/>
              </w:rPr>
            </w:pPr>
            <w:r>
              <w:rPr>
                <w:rFonts w:ascii="Times New Roman" w:hAnsi="Times New Roman" w:eastAsia="宋体" w:cs="Times New Roman"/>
                <w:sz w:val="18"/>
                <w:szCs w:val="18"/>
              </w:rPr>
              <w:t>1.00</w:t>
            </w:r>
          </w:p>
        </w:tc>
      </w:tr>
      <w:tr>
        <w:trPr>
          <w:cantSplit w:val="1"/>
          <w:jc w:val="center"/>
        </w:trPr>
        <w:tc>
          <w:tcPr>
            <w:tcW w:w="2000" w:type="dxa"/>
            <w:tcBorders>
              <w:top w:val="nil"/>
              <w:left w:val="nil"/>
              <w:bottom w:val="nil"/>
              <w:right w:val="nil"/>
            </w:tcBorders>
            <w:vAlign w:val="center"/>
          </w:tcPr>
          <w:p w14:paraId="67905EDA">
            <w:pPr>
              <w:spacing w:before="20" w:after="20" w:line="240" w:lineRule="auto"/>
              <w:jc w:val="center"/>
              <w:rPr>
                <w:rFonts w:hint="eastAsia"/>
              </w:rPr>
            </w:pPr>
            <w:r>
              <w:rPr>
                <w:rFonts w:hint="eastAsia" w:ascii="Times New Roman" w:hAnsi="Times New Roman" w:eastAsia="宋体" w:cs="Times New Roman"/>
                <w:sz w:val="18"/>
                <w:szCs w:val="18"/>
              </w:rPr>
              <w:t>算术递减法</w:t>
            </w:r>
          </w:p>
        </w:tc>
        <w:tc>
          <w:tcPr>
            <w:tcW w:w="1262" w:type="dxa"/>
            <w:tcBorders>
              <w:top w:val="nil"/>
              <w:left w:val="nil"/>
              <w:bottom w:val="nil"/>
              <w:right w:val="nil"/>
            </w:tcBorders>
            <w:vAlign w:val="center"/>
          </w:tcPr>
          <w:p w14:paraId="2893C1AA">
            <w:pPr>
              <w:spacing w:before="20" w:after="20" w:line="240" w:lineRule="auto"/>
              <w:jc w:val="center"/>
              <w:rPr>
                <w:rFonts w:hint="eastAsia"/>
              </w:rPr>
            </w:pPr>
            <w:r>
              <w:rPr>
                <w:rFonts w:ascii="Times New Roman" w:hAnsi="Times New Roman" w:eastAsia="宋体" w:cs="Times New Roman"/>
                <w:sz w:val="18"/>
                <w:szCs w:val="18"/>
              </w:rPr>
              <w:t>0.40</w:t>
            </w:r>
          </w:p>
        </w:tc>
        <w:tc>
          <w:tcPr>
            <w:tcW w:w="1262" w:type="dxa"/>
            <w:tcBorders>
              <w:top w:val="nil"/>
              <w:left w:val="nil"/>
              <w:bottom w:val="nil"/>
              <w:right w:val="nil"/>
            </w:tcBorders>
            <w:vAlign w:val="center"/>
          </w:tcPr>
          <w:p w14:paraId="477962E3">
            <w:pPr>
              <w:spacing w:before="20" w:after="20" w:line="240" w:lineRule="auto"/>
              <w:jc w:val="center"/>
              <w:rPr>
                <w:rFonts w:hint="eastAsia"/>
              </w:rPr>
            </w:pPr>
            <w:r>
              <w:rPr>
                <w:rFonts w:ascii="Times New Roman" w:hAnsi="Times New Roman" w:eastAsia="宋体" w:cs="Times New Roman"/>
                <w:sz w:val="18"/>
                <w:szCs w:val="18"/>
              </w:rPr>
              <w:t>0.30</w:t>
            </w:r>
          </w:p>
        </w:tc>
        <w:tc>
          <w:tcPr>
            <w:tcW w:w="1262" w:type="dxa"/>
            <w:tcBorders>
              <w:top w:val="nil"/>
              <w:left w:val="nil"/>
              <w:bottom w:val="nil"/>
              <w:right w:val="nil"/>
            </w:tcBorders>
            <w:vAlign w:val="center"/>
          </w:tcPr>
          <w:p w14:paraId="16D366EC">
            <w:pPr>
              <w:spacing w:before="20" w:after="20" w:line="240" w:lineRule="auto"/>
              <w:jc w:val="center"/>
              <w:rPr>
                <w:rFonts w:hint="eastAsia"/>
              </w:rPr>
            </w:pPr>
            <w:r>
              <w:rPr>
                <w:rFonts w:ascii="Times New Roman" w:hAnsi="Times New Roman" w:eastAsia="宋体" w:cs="Times New Roman"/>
                <w:sz w:val="18"/>
                <w:szCs w:val="18"/>
              </w:rPr>
              <w:t>0.20</w:t>
            </w:r>
          </w:p>
        </w:tc>
        <w:tc>
          <w:tcPr>
            <w:tcW w:w="1262" w:type="dxa"/>
            <w:tcBorders>
              <w:top w:val="nil"/>
              <w:left w:val="nil"/>
              <w:bottom w:val="nil"/>
              <w:right w:val="nil"/>
            </w:tcBorders>
            <w:vAlign w:val="center"/>
          </w:tcPr>
          <w:p w14:paraId="47203803">
            <w:pPr>
              <w:spacing w:before="20" w:after="20" w:line="240" w:lineRule="auto"/>
              <w:jc w:val="center"/>
              <w:rPr>
                <w:rFonts w:hint="eastAsia"/>
              </w:rPr>
            </w:pPr>
            <w:r>
              <w:rPr>
                <w:rFonts w:ascii="Times New Roman" w:hAnsi="Times New Roman" w:eastAsia="宋体" w:cs="Times New Roman"/>
                <w:sz w:val="18"/>
                <w:szCs w:val="18"/>
              </w:rPr>
              <w:t>0.10</w:t>
            </w:r>
          </w:p>
        </w:tc>
        <w:tc>
          <w:tcPr>
            <w:tcW w:w="1258" w:type="dxa"/>
            <w:tcBorders>
              <w:top w:val="nil"/>
              <w:left w:val="nil"/>
              <w:bottom w:val="nil"/>
              <w:right w:val="nil"/>
            </w:tcBorders>
            <w:vAlign w:val="center"/>
          </w:tcPr>
          <w:p w14:paraId="3A11A17C">
            <w:pPr>
              <w:spacing w:before="20" w:after="20" w:line="240" w:lineRule="auto"/>
              <w:jc w:val="center"/>
              <w:rPr>
                <w:rFonts w:hint="eastAsia"/>
              </w:rPr>
            </w:pPr>
            <w:r>
              <w:rPr>
                <w:rFonts w:ascii="Times New Roman" w:hAnsi="Times New Roman" w:eastAsia="宋体" w:cs="Times New Roman"/>
                <w:sz w:val="18"/>
                <w:szCs w:val="18"/>
              </w:rPr>
              <w:t>1.00</w:t>
            </w:r>
          </w:p>
        </w:tc>
      </w:tr>
      <w:tr>
        <w:trPr>
          <w:cantSplit w:val="1"/>
          <w:jc w:val="center"/>
        </w:trPr>
        <w:tc>
          <w:tcPr>
            <w:tcW w:w="2000" w:type="dxa"/>
            <w:tcBorders>
              <w:top w:val="nil"/>
              <w:left w:val="nil"/>
              <w:bottom w:val="single" w:color="auto" w:sz="12" w:space="0"/>
              <w:right w:val="nil"/>
            </w:tcBorders>
            <w:vAlign w:val="center"/>
          </w:tcPr>
          <w:p w14:paraId="575DBAC5">
            <w:pPr>
              <w:spacing w:before="20" w:after="20" w:line="240" w:lineRule="auto"/>
              <w:jc w:val="center"/>
              <w:rPr>
                <w:rFonts w:hint="eastAsia"/>
              </w:rPr>
            </w:pPr>
            <w:r>
              <w:rPr>
                <w:rFonts w:hint="eastAsia" w:ascii="Times New Roman" w:hAnsi="Times New Roman" w:eastAsia="宋体" w:cs="Times New Roman"/>
                <w:sz w:val="18"/>
                <w:szCs w:val="18"/>
              </w:rPr>
              <w:t>本文分段权重法</w:t>
            </w:r>
          </w:p>
        </w:tc>
        <w:tc>
          <w:tcPr>
            <w:tcW w:w="1262" w:type="dxa"/>
            <w:tcBorders>
              <w:top w:val="nil"/>
              <w:left w:val="nil"/>
              <w:bottom w:val="single" w:color="auto" w:sz="12" w:space="0"/>
              <w:right w:val="nil"/>
            </w:tcBorders>
            <w:vAlign w:val="center"/>
          </w:tcPr>
          <w:p w14:paraId="41D2FAEC">
            <w:pPr>
              <w:spacing w:before="20" w:after="20" w:line="240" w:lineRule="auto"/>
              <w:jc w:val="center"/>
              <w:rPr>
                <w:rFonts w:hint="eastAsia"/>
              </w:rPr>
            </w:pPr>
            <w:r>
              <w:rPr>
                <w:rFonts w:ascii="Times New Roman" w:hAnsi="Times New Roman" w:eastAsia="宋体" w:cs="Times New Roman"/>
                <w:sz w:val="18"/>
                <w:szCs w:val="18"/>
              </w:rPr>
              <w:t>1.00</w:t>
            </w:r>
          </w:p>
        </w:tc>
        <w:tc>
          <w:tcPr>
            <w:tcW w:w="1262" w:type="dxa"/>
            <w:tcBorders>
              <w:top w:val="nil"/>
              <w:left w:val="nil"/>
              <w:bottom w:val="single" w:color="auto" w:sz="12" w:space="0"/>
              <w:right w:val="nil"/>
            </w:tcBorders>
            <w:vAlign w:val="center"/>
          </w:tcPr>
          <w:p w14:paraId="55F10407">
            <w:pPr>
              <w:spacing w:before="20" w:after="20" w:line="240" w:lineRule="auto"/>
              <w:jc w:val="center"/>
              <w:rPr>
                <w:rFonts w:hint="eastAsia"/>
              </w:rPr>
            </w:pPr>
            <w:r>
              <w:rPr>
                <w:rFonts w:ascii="Times New Roman" w:hAnsi="Times New Roman" w:eastAsia="宋体" w:cs="Times New Roman"/>
                <w:sz w:val="18"/>
                <w:szCs w:val="18"/>
              </w:rPr>
              <w:t>0.80</w:t>
            </w:r>
          </w:p>
        </w:tc>
        <w:tc>
          <w:tcPr>
            <w:tcW w:w="1262" w:type="dxa"/>
            <w:tcBorders>
              <w:top w:val="nil"/>
              <w:left w:val="nil"/>
              <w:bottom w:val="single" w:color="auto" w:sz="12" w:space="0"/>
              <w:right w:val="nil"/>
            </w:tcBorders>
            <w:vAlign w:val="center"/>
          </w:tcPr>
          <w:p w14:paraId="1A3467A6">
            <w:pPr>
              <w:spacing w:before="20" w:after="20" w:line="240" w:lineRule="auto"/>
              <w:jc w:val="center"/>
              <w:rPr>
                <w:rFonts w:hint="eastAsia"/>
              </w:rPr>
            </w:pPr>
            <w:r>
              <w:rPr>
                <w:rFonts w:ascii="Times New Roman" w:hAnsi="Times New Roman" w:eastAsia="宋体" w:cs="Times New Roman"/>
                <w:sz w:val="18"/>
                <w:szCs w:val="18"/>
              </w:rPr>
              <w:t>0.50</w:t>
            </w:r>
          </w:p>
        </w:tc>
        <w:tc>
          <w:tcPr>
            <w:tcW w:w="1262" w:type="dxa"/>
            <w:tcBorders>
              <w:top w:val="nil"/>
              <w:left w:val="nil"/>
              <w:bottom w:val="single" w:color="auto" w:sz="12" w:space="0"/>
              <w:right w:val="nil"/>
            </w:tcBorders>
            <w:vAlign w:val="center"/>
          </w:tcPr>
          <w:p w14:paraId="6778FC61">
            <w:pPr>
              <w:spacing w:before="20" w:after="20" w:line="240" w:lineRule="auto"/>
              <w:jc w:val="center"/>
              <w:rPr>
                <w:rFonts w:hint="eastAsia"/>
              </w:rPr>
            </w:pPr>
            <w:r>
              <w:rPr>
                <w:rFonts w:ascii="Times New Roman" w:hAnsi="Times New Roman" w:eastAsia="宋体" w:cs="Times New Roman"/>
                <w:sz w:val="18"/>
                <w:szCs w:val="18"/>
              </w:rPr>
              <w:t>0.20</w:t>
            </w:r>
          </w:p>
        </w:tc>
        <w:tc>
          <w:tcPr>
            <w:tcW w:w="1258" w:type="dxa"/>
            <w:tcBorders>
              <w:top w:val="nil"/>
              <w:left w:val="nil"/>
              <w:bottom w:val="single" w:color="auto" w:sz="12" w:space="0"/>
              <w:right w:val="nil"/>
            </w:tcBorders>
            <w:vAlign w:val="center"/>
          </w:tcPr>
          <w:p w14:paraId="27771478">
            <w:pPr>
              <w:spacing w:before="20" w:after="20" w:line="240" w:lineRule="auto"/>
              <w:jc w:val="center"/>
              <w:rPr>
                <w:rFonts w:hint="eastAsia"/>
              </w:rPr>
            </w:pPr>
            <w:r>
              <w:rPr>
                <w:rFonts w:ascii="Times New Roman" w:hAnsi="Times New Roman" w:eastAsia="宋体" w:cs="Times New Roman"/>
                <w:sz w:val="18"/>
                <w:szCs w:val="18"/>
              </w:rPr>
              <w:t>2.50</w:t>
            </w:r>
          </w:p>
        </w:tc>
      </w:tr>
    </w:tbl>
    <w:p w14:paraId="57E46F04">
      <w:pPr>
        <w:keepNext w:val="1"/>
        <w:keepLines w:val="1"/>
        <w:tabs>
          <w:tab w:val="center" w:pos="4153"/>
          <w:tab w:val="right" w:pos="8306"/>
        </w:tabs>
        <w:spacing w:before="46" w:beforeLines="15" w:after="46" w:afterLines="15"/>
        <w:rPr>
          <w:rFonts w:hint="eastAsia"/>
        </w:rPr>
      </w:pPr>
      <w:r>
        <w:tab/>
      </w:r>
      <m:oMath>
        <m:sSubSup>
          <m:sSubSupPr>
            <m:ctrlPr>
              <w:rPr>
                <w:rFonts w:ascii="Cambria Math" w:hAnsi="Cambria Math"/>
              </w:rPr>
            </m:ctrlPr>
          </m:sSubSupPr>
          <m:e>
            <m:r>
              <m:rPr/>
              <w:rPr>
                <w:rFonts w:ascii="Cambria Math" w:hAnsi="Cambria Math"/>
                <w:sz w:val="21"/>
                <w:szCs w:val="21"/>
              </w:rPr>
              <m:t>S</m:t>
            </m:r>
          </m:e>
          <m:sub>
            <m:r>
              <m:rPr/>
              <w:rPr>
                <w:rFonts w:ascii="Cambria Math" w:hAnsi="Cambria Math"/>
                <w:sz w:val="21"/>
                <w:szCs w:val="21"/>
              </w:rPr>
              <m:t>i</m:t>
            </m:r>
          </m:sub>
          <m:sup>
            <m:r>
              <m:rPr/>
              <w:rPr>
                <w:rFonts w:ascii="Cambria Math" w:hAnsi="Cambria Math"/>
                <w:sz w:val="21"/>
                <w:szCs w:val="21"/>
              </w:rPr>
              <m:t>norm</m:t>
            </m:r>
          </m:sup>
        </m:sSubSup>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S</m:t>
            </m:r>
          </m:e>
          <m:sub>
            <m:r>
              <m:rPr/>
              <w:rPr>
                <w:rFonts w:ascii="Cambria Math" w:hAnsi="Cambria Math"/>
                <w:sz w:val="21"/>
                <w:szCs w:val="21"/>
              </w:rPr>
              <m:t>total</m:t>
            </m:r>
          </m:sub>
        </m:sSub>
        <m:r>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sz w:val="21"/>
                    <w:szCs w:val="21"/>
                  </w:rPr>
                  <m:t>v</m:t>
                </m:r>
              </m:e>
              <m:sub>
                <m:r>
                  <m:rPr/>
                  <w:rPr>
                    <w:rFonts w:ascii="Cambria Math" w:hAnsi="Cambria Math"/>
                    <w:sz w:val="21"/>
                    <w:szCs w:val="21"/>
                  </w:rPr>
                  <m:t>i</m:t>
                </m:r>
              </m:sub>
            </m:sSub>
          </m:num>
          <m:den>
            <m:nary>
              <m:naryPr>
                <m:chr m:val="∑"/>
                <m:limLoc m:val="subSup"/>
                <m:grow m:val="1"/>
                <m:ctrlPr>
                  <w:rPr>
                    <w:rFonts w:ascii="Cambria Math" w:hAnsi="Cambria Math"/>
                  </w:rPr>
                </m:ctrlPr>
              </m:naryPr>
              <m:sub>
                <m:r>
                  <m:rPr/>
                  <w:rPr>
                    <w:rFonts w:ascii="Cambria Math" w:hAnsi="Cambria Math"/>
                    <w:sz w:val="21"/>
                    <w:szCs w:val="21"/>
                  </w:rPr>
                  <m:t>j = 1</m:t>
                </m:r>
              </m:sub>
              <m:sup>
                <m:r>
                  <m:rPr/>
                  <w:rPr>
                    <w:rFonts w:ascii="Cambria Math" w:hAnsi="Cambria Math"/>
                    <w:sz w:val="21"/>
                    <w:szCs w:val="21"/>
                  </w:rPr>
                  <m:t>n</m:t>
                </m:r>
              </m:sup>
              <m:e>
                <m:sSub>
                  <m:sSubPr>
                    <m:ctrlPr>
                      <w:rPr>
                        <w:rFonts w:ascii="Cambria Math" w:hAnsi="Cambria Math"/>
                      </w:rPr>
                    </m:ctrlPr>
                  </m:sSubPr>
                  <m:e>
                    <m:r>
                      <m:rPr/>
                      <w:rPr>
                        <w:rFonts w:ascii="Cambria Math" w:hAnsi="Cambria Math"/>
                        <w:sz w:val="21"/>
                        <w:szCs w:val="21"/>
                      </w:rPr>
                      <m:t>v</m:t>
                    </m:r>
                  </m:e>
                  <m:sub>
                    <m:r>
                      <m:rPr/>
                      <w:rPr>
                        <w:rFonts w:ascii="Cambria Math" w:hAnsi="Cambria Math"/>
                        <w:sz w:val="21"/>
                        <w:szCs w:val="21"/>
                      </w:rPr>
                      <m:t>j</m:t>
                    </m:r>
                  </m:sub>
                </m:sSub>
              </m:e>
            </m:nary>
          </m:den>
        </m:f>
      </m:oMath>
      <w:r>
        <w:tab/>
      </w:r>
      <w:r>
        <w:rPr>
          <w:rFonts w:ascii="Times New Roman" w:hAnsi="Times New Roman" w:eastAsia="宋体" w:cs="Times New Roman"/>
          <w:sz w:val="21"/>
          <w:szCs w:val="21"/>
        </w:rPr>
        <w:t>(3)</w:t>
      </w:r>
    </w:p>
    <w:p w14:paraId="7183DC2B">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式中: </w:t>
      </w:r>
      <w:r>
        <w:rPr>
          <w:rFonts w:ascii="Times New Roman" w:hAnsi="Times New Roman" w:eastAsia="宋体" w:cs="Times New Roman"/>
          <w:i w:val="1"/>
          <w:iCs w:val="1"/>
          <w:sz w:val="21"/>
          <w:szCs w:val="21"/>
          <w:lang w:eastAsia="zh-CN"/>
        </w:rPr>
        <w:t>v</w:t>
      </w:r>
      <w:r>
        <w:rPr>
          <w:rFonts w:ascii="Times New Roman" w:hAnsi="Times New Roman" w:eastAsia="宋体" w:cs="Times New Roman"/>
          <w:sz w:val="21"/>
          <w:szCs w:val="21"/>
          <w:vertAlign w:val="subscript"/>
          <w:lang w:eastAsia="zh-CN"/>
        </w:rPr>
        <w:t>i</w:t>
      </w:r>
      <w:r>
        <w:rPr>
          <w:rFonts w:hint="eastAsia" w:ascii="Times New Roman" w:hAnsi="Times New Roman" w:eastAsia="宋体" w:cs="Times New Roman"/>
          <w:sz w:val="21"/>
          <w:szCs w:val="21"/>
          <w:lang w:eastAsia="zh-CN"/>
        </w:rPr>
        <w:t xml:space="preserve"> 为式(1)括号中第 </w:t>
      </w:r>
      <w:r>
        <w:rPr>
          <w:rFonts w:ascii="Times New Roman" w:hAnsi="Times New Roman" w:eastAsia="宋体" w:cs="Times New Roman"/>
          <w:i w:val="1"/>
          <w:iCs w:val="1"/>
          <w:sz w:val="21"/>
          <w:szCs w:val="21"/>
          <w:lang w:eastAsia="zh-CN"/>
        </w:rPr>
        <w:t>i</w:t>
      </w:r>
      <w:r>
        <w:rPr>
          <w:rFonts w:hint="eastAsia" w:ascii="Times New Roman" w:hAnsi="Times New Roman" w:eastAsia="宋体" w:cs="Times New Roman"/>
          <w:sz w:val="21"/>
          <w:szCs w:val="21"/>
          <w:lang w:eastAsia="zh-CN"/>
        </w:rPr>
        <w:t xml:space="preserve"> 作者的分配系数.</w:t>
      </w:r>
    </w:p>
    <w:p w14:paraId="6AA25727">
      <w:pPr>
        <w:keepNext w:val="1"/>
        <w:keepLines w:val="1"/>
        <w:spacing w:before="93" w:beforeLines="30" w:after="62" w:afterLines="20" w:line="360" w:lineRule="auto"/>
        <w:outlineLvl w:val="1"/>
        <w:rPr>
          <w:rFonts w:hint="eastAsia"/>
          <w:lang w:eastAsia="zh-CN"/>
        </w:rPr>
      </w:pPr>
      <w:r>
        <w:rPr>
          <w:rFonts w:hint="eastAsia" w:ascii="Times New Roman" w:hAnsi="Times New Roman" w:eastAsia="黑体" w:cs="Times New Roman"/>
          <w:b w:val="1"/>
          <w:sz w:val="21"/>
          <w:szCs w:val="21"/>
          <w:lang w:eastAsia="zh-CN"/>
        </w:rPr>
        <w:t>3.3  动态标签权重模型</w:t>
      </w:r>
    </w:p>
    <w:p w14:paraId="70F664FB">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系统构建了基础属性、能力维度与专业方向三维标签体系[9]. 考虑到科研贡献的时效性, 本文将指数时间衰减因子前置嵌入行为积分归一化环节(式(4)), 标签权重在此基础上按一阶指数加权移动平均更新(式(5)), 指数移动平均在时序建模中用于抑制单期噪声、跟踪近期变化[10,11], 这里用它平滑标签权重的年度波动.</w:t>
      </w:r>
    </w:p>
    <w:p w14:paraId="378CEE04">
      <w:pPr>
        <w:keepNext w:val="1"/>
        <w:keepLines w:val="1"/>
        <w:tabs>
          <w:tab w:val="center" w:pos="4153"/>
          <w:tab w:val="right" w:pos="8306"/>
        </w:tabs>
        <w:spacing w:before="46" w:beforeLines="15" w:after="46" w:afterLines="15"/>
        <w:rPr>
          <w:rFonts w:hint="eastAsia"/>
        </w:rPr>
      </w:pPr>
      <w:r>
        <w:rPr>
          <w:lang w:eastAsia="zh-CN"/>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sz w:val="21"/>
                    <w:szCs w:val="21"/>
                  </w:rPr>
                  <m:t>s</m:t>
                </m:r>
              </m:e>
            </m:acc>
          </m:e>
          <m:sub>
            <m:r>
              <m:rPr/>
              <w:rPr>
                <w:rFonts w:ascii="Cambria Math" w:hAnsi="Cambria Math"/>
                <w:sz w:val="21"/>
                <w:szCs w:val="21"/>
              </w:rPr>
              <m:t>i,u</m:t>
            </m:r>
          </m:sub>
        </m:sSub>
        <m:r>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sz w:val="21"/>
                    <w:szCs w:val="21"/>
                  </w:rPr>
                  <m:t>s</m:t>
                </m:r>
              </m:e>
              <m:sub>
                <m:r>
                  <m:rPr/>
                  <w:rPr>
                    <w:rFonts w:ascii="Cambria Math" w:hAnsi="Cambria Math"/>
                    <w:sz w:val="21"/>
                    <w:szCs w:val="21"/>
                  </w:rPr>
                  <m:t>i,u</m:t>
                </m:r>
              </m:sub>
            </m:sSub>
            <m:r>
              <m:rPr/>
              <w:rPr>
                <w:rFonts w:ascii="Cambria Math" w:hAnsi="Cambria Math"/>
                <w:sz w:val="21"/>
                <w:szCs w:val="21"/>
              </w:rPr>
              <m:t xml:space="preserve"> · </m:t>
            </m:r>
            <m:sSup>
              <m:sSupPr>
                <m:ctrlPr>
                  <w:rPr>
                    <w:rFonts w:ascii="Cambria Math" w:hAnsi="Cambria Math"/>
                  </w:rPr>
                </m:ctrlPr>
              </m:sSupPr>
              <m:e>
                <m:r>
                  <m:rPr/>
                  <w:rPr>
                    <w:rFonts w:ascii="Cambria Math" w:hAnsi="Cambria Math"/>
                    <w:sz w:val="21"/>
                    <w:szCs w:val="21"/>
                  </w:rPr>
                  <m:t>e</m:t>
                </m:r>
              </m:e>
              <m:sup>
                <m:r>
                  <m:rPr/>
                  <w:rPr>
                    <w:rFonts w:ascii="Cambria Math" w:hAnsi="Cambria Math"/>
                    <w:sz w:val="21"/>
                    <w:szCs w:val="21"/>
                  </w:rPr>
                  <m:t>-λ</m:t>
                </m:r>
                <m:d>
                  <m:dPr>
                    <m:ctrlPr>
                      <w:rPr>
                        <w:rFonts w:ascii="Cambria Math" w:hAnsi="Cambria Math"/>
                      </w:rPr>
                    </m:ctrlPr>
                  </m:dPr>
                  <m:e>
                    <m:sSub>
                      <m:sSubPr>
                        <m:ctrlPr>
                          <w:rPr>
                            <w:rFonts w:ascii="Cambria Math" w:hAnsi="Cambria Math"/>
                          </w:rPr>
                        </m:ctrlPr>
                      </m:sSubPr>
                      <m:e>
                        <m:r>
                          <m:rPr/>
                          <w:rPr>
                            <w:rFonts w:ascii="Cambria Math" w:hAnsi="Cambria Math"/>
                            <w:sz w:val="21"/>
                            <w:szCs w:val="21"/>
                          </w:rPr>
                          <m:t>τ</m:t>
                        </m:r>
                      </m:e>
                      <m:sub>
                        <m:r>
                          <m:rPr/>
                          <w:rPr>
                            <w:rFonts w:ascii="Cambria Math" w:hAnsi="Cambria Math"/>
                            <w:sz w:val="21"/>
                            <w:szCs w:val="21"/>
                          </w:rPr>
                          <m:t>now</m:t>
                        </m: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τ</m:t>
                        </m:r>
                      </m:e>
                      <m:sub>
                        <m:r>
                          <m:rPr/>
                          <w:rPr>
                            <w:rFonts w:ascii="Cambria Math" w:hAnsi="Cambria Math"/>
                            <w:sz w:val="21"/>
                            <w:szCs w:val="21"/>
                          </w:rPr>
                          <m:t>i</m:t>
                        </m:r>
                      </m:sub>
                    </m:sSub>
                  </m:e>
                </m:d>
              </m:sup>
            </m:sSup>
          </m:num>
          <m:den>
            <m:sSub>
              <m:sSubPr>
                <m:ctrlPr>
                  <w:rPr>
                    <w:rFonts w:ascii="Cambria Math" w:hAnsi="Cambria Math"/>
                  </w:rPr>
                </m:ctrlPr>
              </m:sSubPr>
              <m:e>
                <m:r>
                  <m:rPr/>
                  <w:rPr>
                    <w:rFonts w:ascii="Cambria Math" w:hAnsi="Cambria Math"/>
                    <w:sz w:val="21"/>
                    <w:szCs w:val="21"/>
                  </w:rPr>
                  <m:t>S</m:t>
                </m:r>
              </m:e>
              <m:sub>
                <m:r>
                  <m:rPr/>
                  <w:rPr>
                    <w:rFonts w:ascii="Cambria Math" w:hAnsi="Cambria Math"/>
                    <w:sz w:val="21"/>
                    <w:szCs w:val="21"/>
                  </w:rPr>
                  <m:t>max,t</m:t>
                </m:r>
              </m:sub>
            </m:sSub>
          </m:den>
        </m:f>
      </m:oMath>
      <w:r>
        <w:tab/>
      </w:r>
      <w:r>
        <w:rPr>
          <w:rFonts w:ascii="Times New Roman" w:hAnsi="Times New Roman" w:eastAsia="宋体" w:cs="Times New Roman"/>
          <w:sz w:val="21"/>
          <w:szCs w:val="21"/>
        </w:rPr>
        <w:t>(4)</w:t>
      </w:r>
    </w:p>
    <w:p w14:paraId="3493DA9B">
      <w:pPr>
        <w:keepNext w:val="1"/>
        <w:keepLines w:val="1"/>
        <w:tabs>
          <w:tab w:val="center" w:pos="4153"/>
          <w:tab w:val="right" w:pos="8306"/>
        </w:tabs>
        <w:spacing w:before="46" w:beforeLines="15" w:after="46" w:afterLines="15"/>
        <w:rPr>
          <w:rFonts w:hint="eastAsia"/>
        </w:rPr>
      </w:pPr>
      <w:r>
        <w:tab/>
      </w:r>
      <m:oMath>
        <m:sSubSup>
          <m:sSubSupPr>
            <m:ctrlPr>
              <w:rPr>
                <w:rFonts w:ascii="Cambria Math" w:hAnsi="Cambria Math"/>
              </w:rPr>
            </m:ctrlPr>
          </m:sSubSupPr>
          <m:e>
            <m:r>
              <m:rPr/>
              <w:rPr>
                <w:rFonts w:ascii="Cambria Math" w:hAnsi="Cambria Math"/>
                <w:sz w:val="21"/>
                <w:szCs w:val="21"/>
              </w:rPr>
              <m:t>W</m:t>
            </m:r>
          </m:e>
          <m:sub>
            <m:r>
              <m:rPr/>
              <w:rPr>
                <w:rFonts w:ascii="Cambria Math" w:hAnsi="Cambria Math"/>
                <w:sz w:val="21"/>
                <w:szCs w:val="21"/>
              </w:rPr>
              <m:t>t,u</m:t>
            </m:r>
          </m:sub>
          <m:sup>
            <m:d>
              <m:dPr>
                <m:ctrlPr>
                  <w:rPr>
                    <w:rFonts w:ascii="Cambria Math" w:hAnsi="Cambria Math"/>
                  </w:rPr>
                </m:ctrlPr>
              </m:dPr>
              <m:e>
                <m:r>
                  <m:rPr/>
                  <w:rPr>
                    <w:rFonts w:ascii="Cambria Math" w:hAnsi="Cambria Math"/>
                    <w:sz w:val="21"/>
                    <w:szCs w:val="21"/>
                  </w:rPr>
                  <m:t>k</m:t>
                </m:r>
              </m:e>
            </m:d>
          </m:sup>
        </m:sSubSup>
        <m:r>
          <m:rPr/>
          <w:rPr>
            <w:rFonts w:ascii="Cambria Math" w:hAnsi="Cambria Math"/>
            <w:sz w:val="21"/>
            <w:szCs w:val="21"/>
          </w:rPr>
          <m:t xml:space="preserve"> = α · </m:t>
        </m:r>
        <m:nary>
          <m:naryPr>
            <m:chr m:val="∑"/>
            <m:limLoc m:val="subSup"/>
            <m:grow m:val="1"/>
            <m:ctrlPr>
              <w:rPr>
                <w:rFonts w:ascii="Cambria Math" w:hAnsi="Cambria Math"/>
              </w:rPr>
            </m:ctrlPr>
          </m:naryPr>
          <m:sub>
            <m:r>
              <m:rPr/>
              <w:rPr>
                <w:rFonts w:ascii="Cambria Math" w:hAnsi="Cambria Math"/>
                <w:sz w:val="21"/>
                <w:szCs w:val="21"/>
              </w:rPr>
              <m:t>i = 1</m:t>
            </m:r>
          </m:sub>
          <m:sup>
            <m:r>
              <m:rPr/>
              <w:rPr>
                <w:rFonts w:ascii="Cambria Math" w:hAnsi="Cambria Math"/>
                <w:sz w:val="21"/>
                <w:szCs w:val="21"/>
              </w:rPr>
              <m:t>m</m:t>
            </m:r>
          </m:sup>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sz w:val="21"/>
                            <w:szCs w:val="21"/>
                          </w:rPr>
                          <m:t>s</m:t>
                        </m:r>
                      </m:e>
                    </m:acc>
                  </m:e>
                  <m:sub>
                    <m:r>
                      <m:rPr/>
                      <w:rPr>
                        <w:rFonts w:ascii="Cambria Math" w:hAnsi="Cambria Math"/>
                        <w:sz w:val="21"/>
                        <w:szCs w:val="21"/>
                      </w:rPr>
                      <m:t>i,u</m:t>
                    </m: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w</m:t>
                    </m:r>
                  </m:e>
                  <m:sub>
                    <m:r>
                      <m:rPr/>
                      <w:rPr>
                        <w:rFonts w:ascii="Cambria Math" w:hAnsi="Cambria Math"/>
                        <w:sz w:val="21"/>
                        <w:szCs w:val="21"/>
                      </w:rPr>
                      <m:t>i</m:t>
                    </m:r>
                  </m:sub>
                </m:sSub>
              </m:e>
            </m:d>
          </m:e>
        </m:nary>
        <m:r>
          <m:rPr/>
          <w:rPr>
            <w:rFonts w:ascii="Cambria Math" w:hAnsi="Cambria Math"/>
            <w:sz w:val="21"/>
            <w:szCs w:val="21"/>
          </w:rPr>
          <m:t xml:space="preserve"> + </m:t>
        </m:r>
        <m:d>
          <m:dPr>
            <m:ctrlPr>
              <w:rPr>
                <w:rFonts w:ascii="Cambria Math" w:hAnsi="Cambria Math"/>
              </w:rPr>
            </m:ctrlPr>
          </m:dPr>
          <m:e>
            <m:r>
              <m:rPr/>
              <w:rPr>
                <w:rFonts w:ascii="Cambria Math" w:hAnsi="Cambria Math"/>
                <w:sz w:val="21"/>
                <w:szCs w:val="21"/>
              </w:rPr>
              <m:t>1 - α</m:t>
            </m:r>
          </m:e>
        </m:d>
        <m:r>
          <m:rPr/>
          <w:rPr>
            <w:rFonts w:ascii="Cambria Math" w:hAnsi="Cambria Math"/>
            <w:sz w:val="21"/>
            <w:szCs w:val="21"/>
          </w:rPr>
          <m:t xml:space="preserve"> · </m:t>
        </m:r>
        <m:sSubSup>
          <m:sSubSupPr>
            <m:ctrlPr>
              <w:rPr>
                <w:rFonts w:ascii="Cambria Math" w:hAnsi="Cambria Math"/>
              </w:rPr>
            </m:ctrlPr>
          </m:sSubSupPr>
          <m:e>
            <m:r>
              <m:rPr/>
              <w:rPr>
                <w:rFonts w:ascii="Cambria Math" w:hAnsi="Cambria Math"/>
                <w:sz w:val="21"/>
                <w:szCs w:val="21"/>
              </w:rPr>
              <m:t>W</m:t>
            </m:r>
          </m:e>
          <m:sub>
            <m:r>
              <m:rPr/>
              <w:rPr>
                <w:rFonts w:ascii="Cambria Math" w:hAnsi="Cambria Math"/>
                <w:sz w:val="21"/>
                <w:szCs w:val="21"/>
              </w:rPr>
              <m:t>t,u</m:t>
            </m:r>
          </m:sub>
          <m:sup>
            <m:d>
              <m:dPr>
                <m:ctrlPr>
                  <w:rPr>
                    <w:rFonts w:ascii="Cambria Math" w:hAnsi="Cambria Math"/>
                  </w:rPr>
                </m:ctrlPr>
              </m:dPr>
              <m:e>
                <m:r>
                  <m:rPr/>
                  <w:rPr>
                    <w:rFonts w:ascii="Cambria Math" w:hAnsi="Cambria Math"/>
                    <w:sz w:val="21"/>
                    <w:szCs w:val="21"/>
                  </w:rPr>
                  <m:t>k - 1</m:t>
                </m:r>
              </m:e>
            </m:d>
          </m:sup>
        </m:sSubSup>
      </m:oMath>
      <w:r>
        <w:tab/>
      </w:r>
      <w:r>
        <w:rPr>
          <w:rFonts w:ascii="Times New Roman" w:hAnsi="Times New Roman" w:eastAsia="宋体" w:cs="Times New Roman"/>
          <w:sz w:val="21"/>
          <w:szCs w:val="21"/>
        </w:rPr>
        <w:t>(5)</w:t>
      </w:r>
    </w:p>
    <w:p w14:paraId="27364D45">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式中: </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i,u</w:t>
      </w:r>
      <w:r>
        <w:rPr>
          <w:rFonts w:hint="eastAsia" w:ascii="Times New Roman" w:hAnsi="Times New Roman" w:eastAsia="宋体" w:cs="Times New Roman"/>
          <w:sz w:val="21"/>
          <w:szCs w:val="21"/>
          <w:lang w:eastAsia="zh-CN"/>
        </w:rPr>
        <w:t xml:space="preserve"> 为行为 </w:t>
      </w:r>
      <w:r>
        <w:rPr>
          <w:rFonts w:hint="eastAsia" w:ascii="Times New Roman" w:hAnsi="Times New Roman" w:eastAsia="宋体" w:cs="Times New Roman"/>
          <w:i/>
          <w:sz w:val="21"/>
          <w:szCs w:val="21"/>
          <w:lang w:eastAsia="zh-CN"/>
        </w:rPr>
        <w:t xml:space="preserve">i</w:t>
      </w:r>
      <w:r>
        <w:rPr>
          <w:rFonts w:hint="eastAsia" w:ascii="Times New Roman" w:hAnsi="Times New Roman" w:eastAsia="宋体" w:cs="Times New Roman"/>
          <w:sz w:val="21"/>
          <w:szCs w:val="21"/>
          <w:lang w:eastAsia="zh-CN"/>
        </w:rPr>
        <w:t xml:space="preserve"> 经时间衰减与归一化后的积分; </w:t>
      </w:r>
      <w:r>
        <w:rPr>
          <w:rFonts w:hint="eastAsia" w:ascii="Times New Roman" w:hAnsi="Times New Roman" w:eastAsia="宋体" w:cs="Times New Roman"/>
          <w:i/>
          <w:sz w:val="21"/>
          <w:szCs w:val="21"/>
          <w:lang w:eastAsia="zh-CN"/>
        </w:rPr>
        <w:t xml:space="preserve">W</w:t>
      </w:r>
      <w:r>
        <w:rPr>
          <w:rFonts w:hint="eastAsia" w:ascii="Times New Roman" w:hAnsi="Times New Roman" w:eastAsia="宋体" w:cs="Times New Roman"/>
          <w:sz w:val="21"/>
          <w:szCs w:val="21"/>
          <w:vertAlign w:val="superscript"/>
          <w:lang w:eastAsia="zh-CN"/>
        </w:rPr>
        <w:t xml:space="preserve">(k)</w:t>
      </w:r>
      <w:r>
        <w:rPr>
          <w:rFonts w:hint="eastAsia" w:ascii="Times New Roman" w:hAnsi="Times New Roman" w:eastAsia="宋体" w:cs="Times New Roman"/>
          <w:sz w:val="21"/>
          <w:szCs w:val="21"/>
          <w:vertAlign w:val="subscript"/>
          <w:lang w:eastAsia="zh-CN"/>
        </w:rPr>
        <w:t xml:space="preserve">t,u</w:t>
      </w:r>
      <w:r>
        <w:rPr>
          <w:rFonts w:hint="eastAsia" w:ascii="Times New Roman" w:hAnsi="Times New Roman" w:eastAsia="宋体" w:cs="Times New Roman"/>
          <w:sz w:val="21"/>
          <w:szCs w:val="21"/>
          <w:lang w:eastAsia="zh-CN"/>
        </w:rPr>
        <w:t xml:space="preserve"> 为用户 </w:t>
      </w:r>
      <w:r>
        <w:rPr>
          <w:rFonts w:hint="eastAsia" w:ascii="Times New Roman" w:hAnsi="Times New Roman" w:eastAsia="宋体" w:cs="Times New Roman"/>
          <w:i/>
          <w:sz w:val="21"/>
          <w:szCs w:val="21"/>
          <w:lang w:eastAsia="zh-CN"/>
        </w:rPr>
        <w:t xml:space="preserve">u</w:t>
      </w:r>
      <w:r>
        <w:rPr>
          <w:rFonts w:hint="eastAsia" w:ascii="Times New Roman" w:hAnsi="Times New Roman" w:eastAsia="宋体" w:cs="Times New Roman"/>
          <w:sz w:val="21"/>
          <w:szCs w:val="21"/>
          <w:lang w:eastAsia="zh-CN"/>
        </w:rPr>
        <w:t xml:space="preserve"> 在标签 </w:t>
      </w:r>
      <w:r>
        <w:rPr>
          <w:rFonts w:hint="eastAsia" w:ascii="Times New Roman" w:hAnsi="Times New Roman" w:eastAsia="宋体" w:cs="Times New Roman"/>
          <w:i/>
          <w:sz w:val="21"/>
          <w:szCs w:val="21"/>
          <w:lang w:eastAsia="zh-CN"/>
        </w:rPr>
        <w:t xml:space="preserve">t</w:t>
      </w:r>
      <w:r>
        <w:rPr>
          <w:rFonts w:hint="eastAsia" w:ascii="Times New Roman" w:hAnsi="Times New Roman" w:eastAsia="宋体" w:cs="Times New Roman"/>
          <w:sz w:val="21"/>
          <w:szCs w:val="21"/>
          <w:lang w:eastAsia="zh-CN"/>
        </w:rPr>
        <w:t xml:space="preserve"> 上第 </w:t>
      </w:r>
      <w:r>
        <w:rPr>
          <w:rFonts w:hint="eastAsia" w:ascii="Times New Roman" w:hAnsi="Times New Roman" w:eastAsia="宋体" w:cs="Times New Roman"/>
          <w:i/>
          <w:sz w:val="21"/>
          <w:szCs w:val="21"/>
          <w:lang w:eastAsia="zh-CN"/>
        </w:rPr>
        <w:t xml:space="preserve">k</w:t>
      </w:r>
      <w:r>
        <w:rPr>
          <w:rFonts w:hint="eastAsia" w:ascii="Times New Roman" w:hAnsi="Times New Roman" w:eastAsia="宋体" w:cs="Times New Roman"/>
          <w:sz w:val="21"/>
          <w:szCs w:val="21"/>
          <w:lang w:eastAsia="zh-CN"/>
        </w:rPr>
        <w:t xml:space="preserve"> 个周期(本文指自然年度)的权重, 初值 </w:t>
      </w:r>
      <w:r>
        <w:rPr>
          <w:rFonts w:hint="eastAsia" w:ascii="Times New Roman" w:hAnsi="Times New Roman" w:eastAsia="宋体" w:cs="Times New Roman"/>
          <w:i/>
          <w:sz w:val="21"/>
          <w:szCs w:val="21"/>
          <w:lang w:eastAsia="zh-CN"/>
        </w:rPr>
        <w:t xml:space="preserve">W</w:t>
      </w:r>
      <w:r>
        <w:rPr>
          <w:rFonts w:hint="eastAsia" w:ascii="Times New Roman" w:hAnsi="Times New Roman" w:eastAsia="宋体" w:cs="Times New Roman"/>
          <w:sz w:val="21"/>
          <w:szCs w:val="21"/>
          <w:vertAlign w:val="superscript"/>
          <w:lang w:eastAsia="zh-CN"/>
        </w:rPr>
        <w:t xml:space="preserve">(0)</w:t>
      </w:r>
      <w:r>
        <w:rPr>
          <w:rFonts w:hint="eastAsia" w:ascii="Times New Roman" w:hAnsi="Times New Roman" w:eastAsia="宋体" w:cs="Times New Roman"/>
          <w:sz w:val="21"/>
          <w:szCs w:val="21"/>
          <w:vertAlign w:val="subscript"/>
          <w:lang w:eastAsia="zh-CN"/>
        </w:rPr>
        <w:t xml:space="preserve">t,u</w:t>
      </w:r>
      <w:r>
        <w:rPr>
          <w:rFonts w:hint="eastAsia" w:ascii="Times New Roman" w:hAnsi="Times New Roman" w:eastAsia="宋体" w:cs="Times New Roman"/>
          <w:sz w:val="21"/>
          <w:szCs w:val="21"/>
          <w:lang w:eastAsia="zh-CN"/>
        </w:rPr>
        <w:t xml:space="preserve"> 取 0; </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i,u</w:t>
      </w:r>
      <w:r>
        <w:rPr>
          <w:rFonts w:hint="eastAsia" w:ascii="Times New Roman" w:hAnsi="Times New Roman" w:eastAsia="宋体" w:cs="Times New Roman"/>
          <w:sz w:val="21"/>
          <w:szCs w:val="21"/>
          <w:lang w:eastAsia="zh-CN"/>
        </w:rPr>
        <w:t xml:space="preserve"> 为其在行为 </w:t>
      </w:r>
      <w:r>
        <w:rPr>
          <w:rFonts w:hint="eastAsia" w:ascii="Times New Roman" w:hAnsi="Times New Roman" w:eastAsia="宋体" w:cs="Times New Roman"/>
          <w:i/>
          <w:sz w:val="21"/>
          <w:szCs w:val="21"/>
          <w:lang w:eastAsia="zh-CN"/>
        </w:rPr>
        <w:t xml:space="preserve">i</w:t>
      </w:r>
      <w:r>
        <w:rPr>
          <w:rFonts w:hint="eastAsia" w:ascii="Times New Roman" w:hAnsi="Times New Roman" w:eastAsia="宋体" w:cs="Times New Roman"/>
          <w:sz w:val="21"/>
          <w:szCs w:val="21"/>
          <w:lang w:eastAsia="zh-CN"/>
        </w:rPr>
        <w:t xml:space="preserve"> 上的原始积分; </w:t>
      </w:r>
      <w:r>
        <w:rPr>
          <w:rFonts w:hint="eastAsia" w:ascii="Times New Roman" w:hAnsi="Times New Roman" w:eastAsia="宋体" w:cs="Times New Roman"/>
          <w:i/>
          <w:sz w:val="21"/>
          <w:szCs w:val="21"/>
          <w:lang w:eastAsia="zh-CN"/>
        </w:rPr>
        <w:t xml:space="preserve">m</w:t>
      </w:r>
      <w:r>
        <w:rPr>
          <w:rFonts w:hint="eastAsia" w:ascii="Times New Roman" w:hAnsi="Times New Roman" w:eastAsia="宋体" w:cs="Times New Roman"/>
          <w:sz w:val="21"/>
          <w:szCs w:val="21"/>
          <w:lang w:eastAsia="zh-CN"/>
        </w:rPr>
        <w:t xml:space="preserve"> 为标签 </w:t>
      </w:r>
      <w:r>
        <w:rPr>
          <w:rFonts w:hint="eastAsia" w:ascii="Times New Roman" w:hAnsi="Times New Roman" w:eastAsia="宋体" w:cs="Times New Roman"/>
          <w:i/>
          <w:sz w:val="21"/>
          <w:szCs w:val="21"/>
          <w:lang w:eastAsia="zh-CN"/>
        </w:rPr>
        <w:t xml:space="preserve">t</w:t>
      </w:r>
      <w:r>
        <w:rPr>
          <w:rFonts w:hint="eastAsia" w:ascii="Times New Roman" w:hAnsi="Times New Roman" w:eastAsia="宋体" w:cs="Times New Roman"/>
          <w:sz w:val="21"/>
          <w:szCs w:val="21"/>
          <w:lang w:eastAsia="zh-CN"/>
        </w:rPr>
        <w:t xml:space="preserve"> 下的行为总数; </w:t>
      </w:r>
      <w:r>
        <w:rPr>
          <w:rFonts w:hint="eastAsia" w:ascii="Times New Roman" w:hAnsi="Times New Roman" w:eastAsia="宋体" w:cs="Times New Roman"/>
          <w:i/>
          <w:sz w:val="21"/>
          <w:szCs w:val="21"/>
          <w:lang w:eastAsia="zh-CN"/>
        </w:rPr>
        <w:t xml:space="preserve">S</w:t>
      </w:r>
      <w:r>
        <w:rPr>
          <w:rFonts w:hint="eastAsia" w:ascii="Times New Roman" w:hAnsi="Times New Roman" w:eastAsia="宋体" w:cs="Times New Roman"/>
          <w:sz w:val="21"/>
          <w:szCs w:val="21"/>
          <w:vertAlign w:val="subscript"/>
          <w:lang w:eastAsia="zh-CN"/>
        </w:rPr>
        <w:t xml:space="preserve">max,t</w:t>
      </w:r>
      <w:r>
        <w:rPr>
          <w:rFonts w:hint="eastAsia" w:ascii="Times New Roman" w:hAnsi="Times New Roman" w:eastAsia="宋体" w:cs="Times New Roman"/>
          <w:sz w:val="21"/>
          <w:szCs w:val="21"/>
          <w:lang w:eastAsia="zh-CN"/>
        </w:rPr>
        <w:t xml:space="preserve"> 为本周期全中心在标签 </w:t>
      </w:r>
      <w:r>
        <w:rPr>
          <w:rFonts w:hint="eastAsia" w:ascii="Times New Roman" w:hAnsi="Times New Roman" w:eastAsia="宋体" w:cs="Times New Roman"/>
          <w:i/>
          <w:sz w:val="21"/>
          <w:szCs w:val="21"/>
          <w:lang w:eastAsia="zh-CN"/>
        </w:rPr>
        <w:t xml:space="preserve">t</w:t>
      </w:r>
      <w:r>
        <w:rPr>
          <w:rFonts w:hint="eastAsia" w:ascii="Times New Roman" w:hAnsi="Times New Roman" w:eastAsia="宋体" w:cs="Times New Roman"/>
          <w:sz w:val="21"/>
          <w:szCs w:val="21"/>
          <w:lang w:eastAsia="zh-CN"/>
        </w:rPr>
        <w:t xml:space="preserve"> 下的最高行为积分, 用于将行为项归一化至 [0, 1]; </w:t>
      </w:r>
      <w:r>
        <w:rPr>
          <w:rFonts w:hint="eastAsia" w:ascii="Times New Roman" w:hAnsi="Times New Roman" w:eastAsia="宋体" w:cs="Times New Roman"/>
          <w:i/>
          <w:sz w:val="21"/>
          <w:szCs w:val="21"/>
          <w:lang w:eastAsia="zh-CN"/>
        </w:rPr>
        <w:t xml:space="preserve">w</w:t>
      </w:r>
      <w:r>
        <w:rPr>
          <w:rFonts w:hint="eastAsia" w:ascii="Times New Roman" w:hAnsi="Times New Roman" w:eastAsia="宋体" w:cs="Times New Roman"/>
          <w:sz w:val="21"/>
          <w:szCs w:val="21"/>
          <w:vertAlign w:val="subscript"/>
          <w:lang w:eastAsia="zh-CN"/>
        </w:rPr>
        <w:t xml:space="preserve">i</w:t>
      </w:r>
      <w:r>
        <w:rPr>
          <w:rFonts w:hint="eastAsia" w:ascii="Times New Roman" w:hAnsi="Times New Roman" w:eastAsia="宋体" w:cs="Times New Roman"/>
          <w:sz w:val="21"/>
          <w:szCs w:val="21"/>
          <w:lang w:eastAsia="zh-CN"/>
        </w:rPr>
        <w:t xml:space="preserve"> 为行为 </w:t>
      </w:r>
      <w:r>
        <w:rPr>
          <w:rFonts w:hint="eastAsia" w:ascii="Times New Roman" w:hAnsi="Times New Roman" w:eastAsia="宋体" w:cs="Times New Roman"/>
          <w:i/>
          <w:sz w:val="21"/>
          <w:szCs w:val="21"/>
          <w:lang w:eastAsia="zh-CN"/>
        </w:rPr>
        <w:t xml:space="preserve">i</w:t>
      </w:r>
      <w:r>
        <w:rPr>
          <w:rFonts w:hint="eastAsia" w:ascii="Times New Roman" w:hAnsi="Times New Roman" w:eastAsia="宋体" w:cs="Times New Roman"/>
          <w:sz w:val="21"/>
          <w:szCs w:val="21"/>
          <w:lang w:eastAsia="zh-CN"/>
        </w:rPr>
        <w:t xml:space="preserve"> 的贡献系数, 满足 Σ</w:t>
      </w:r>
      <w:r>
        <w:rPr>
          <w:rFonts w:hint="eastAsia" w:ascii="Times New Roman" w:hAnsi="Times New Roman" w:eastAsia="宋体" w:cs="Times New Roman"/>
          <w:i/>
          <w:sz w:val="21"/>
          <w:szCs w:val="21"/>
          <w:lang w:eastAsia="zh-CN"/>
        </w:rPr>
        <w:t xml:space="preserve">w</w:t>
      </w:r>
      <w:r>
        <w:rPr>
          <w:rFonts w:hint="eastAsia" w:ascii="Times New Roman" w:hAnsi="Times New Roman" w:eastAsia="宋体" w:cs="Times New Roman"/>
          <w:sz w:val="21"/>
          <w:szCs w:val="21"/>
          <w:vertAlign w:val="subscript"/>
          <w:lang w:eastAsia="zh-CN"/>
        </w:rPr>
        <w:t xml:space="preserve">i</w:t>
      </w:r>
      <w:r>
        <w:rPr>
          <w:rFonts w:hint="eastAsia" w:ascii="Times New Roman" w:hAnsi="Times New Roman" w:eastAsia="宋体" w:cs="Times New Roman"/>
          <w:sz w:val="21"/>
          <w:szCs w:val="21"/>
          <w:lang w:eastAsia="zh-CN"/>
        </w:rPr>
        <w:t xml:space="preserve"> = 1; </w:t>
      </w:r>
      <w:r>
        <w:rPr>
          <w:rFonts w:hint="eastAsia" w:ascii="Times New Roman" w:hAnsi="Times New Roman" w:eastAsia="宋体" w:cs="Times New Roman"/>
          <w:i/>
          <w:sz w:val="21"/>
          <w:szCs w:val="21"/>
          <w:lang w:eastAsia="zh-CN"/>
        </w:rPr>
        <w:t xml:space="preserve">τ</w:t>
      </w:r>
      <w:r>
        <w:rPr>
          <w:rFonts w:hint="eastAsia" w:ascii="Times New Roman" w:hAnsi="Times New Roman" w:eastAsia="宋体" w:cs="Times New Roman"/>
          <w:sz w:val="21"/>
          <w:szCs w:val="21"/>
          <w:vertAlign w:val="subscript"/>
          <w:lang w:eastAsia="zh-CN"/>
        </w:rPr>
        <w:t xml:space="preserve">now</w:t>
      </w:r>
      <w:r>
        <w:rPr>
          <w:rFonts w:hint="eastAsia" w:ascii="Times New Roman" w:hAnsi="Times New Roman" w:eastAsia="宋体" w:cs="Times New Roman"/>
          <w:sz w:val="21"/>
          <w:szCs w:val="21"/>
          <w:lang w:eastAsia="zh-CN"/>
        </w:rPr>
        <w:t xml:space="preserve"> 为本周期期末时刻, </w:t>
      </w:r>
      <w:r>
        <w:rPr>
          <w:rFonts w:hint="eastAsia" w:ascii="Times New Roman" w:hAnsi="Times New Roman" w:eastAsia="宋体" w:cs="Times New Roman"/>
          <w:i/>
          <w:sz w:val="21"/>
          <w:szCs w:val="21"/>
          <w:lang w:eastAsia="zh-CN"/>
        </w:rPr>
        <w:t xml:space="preserve">τ</w:t>
      </w:r>
      <w:r>
        <w:rPr>
          <w:rFonts w:hint="eastAsia" w:ascii="Times New Roman" w:hAnsi="Times New Roman" w:eastAsia="宋体" w:cs="Times New Roman"/>
          <w:sz w:val="21"/>
          <w:szCs w:val="21"/>
          <w:vertAlign w:val="subscript"/>
          <w:lang w:eastAsia="zh-CN"/>
        </w:rPr>
        <w:t xml:space="preserve">i</w:t>
      </w:r>
      <w:r>
        <w:rPr>
          <w:rFonts w:hint="eastAsia" w:ascii="Times New Roman" w:hAnsi="Times New Roman" w:eastAsia="宋体" w:cs="Times New Roman"/>
          <w:sz w:val="21"/>
          <w:szCs w:val="21"/>
          <w:lang w:eastAsia="zh-CN"/>
        </w:rPr>
        <w:t xml:space="preserve"> 为成果完成时间. 需要指出的是, 式(4) 的衰减因子只处理周期内部的时效差异, 跨周期的时效由式(5) 的指数加权承担, 两级衰减各司其职, 不重复计算同一段时间.</w:t>
      </w:r>
    </w:p>
    <w:p w14:paraId="693F0530">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式(5)中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 取 0.7, 即最新周期贡献占 70%、历史累积占 30%, 各期权重按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(1 −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w:t>
      </w:r>
      <w:r>
        <w:rPr>
          <w:rFonts w:hint="eastAsia" w:ascii="Times New Roman" w:hAnsi="Times New Roman" w:eastAsia="宋体" w:cs="Times New Roman"/>
          <w:sz w:val="21"/>
          <w:szCs w:val="21"/>
          <w:vertAlign w:val="superscript"/>
          <w:lang w:eastAsia="zh-CN"/>
        </w:rPr>
        <w:t xml:space="preserve">j</w:t>
      </w:r>
      <w:r>
        <w:rPr>
          <w:rFonts w:hint="eastAsia" w:ascii="Times New Roman" w:hAnsi="Times New Roman" w:eastAsia="宋体" w:cs="Times New Roman"/>
          <w:sz w:val="21"/>
          <w:szCs w:val="21"/>
          <w:lang w:eastAsia="zh-CN"/>
        </w:rPr>
        <w:t xml:space="preserve"> 衰减, 最近 3 个年度周期累计贡献约 97.3%, 与事业单位近三年考核口径相吻合, 兼顾近期活跃度与资深人员的积累; 时间衰减系数取 </w:t>
      </w:r>
      <w:r>
        <w:rPr>
          <w:rFonts w:hint="eastAsia" w:ascii="Times New Roman" w:hAnsi="Times New Roman" w:eastAsia="宋体" w:cs="Times New Roman"/>
          <w:i/>
          <w:sz w:val="21"/>
          <w:szCs w:val="21"/>
          <w:lang w:eastAsia="zh-CN"/>
        </w:rPr>
        <w:t xml:space="preserve">λ</w:t>
      </w:r>
      <w:r>
        <w:rPr>
          <w:rFonts w:hint="eastAsia" w:ascii="Times New Roman" w:hAnsi="Times New Roman" w:eastAsia="宋体" w:cs="Times New Roman"/>
          <w:sz w:val="21"/>
          <w:szCs w:val="21"/>
          <w:lang w:eastAsia="zh-CN"/>
        </w:rPr>
        <w:t xml:space="preserve"> = 0.14, 对应半衰期 ln2</w:t>
      </w:r>
      <w:r>
        <w:rPr>
          <w:rFonts w:hint="eastAsia" w:ascii="Times New Roman" w:hAnsi="Times New Roman" w:eastAsia="宋体" w:cs="Times New Roman"/>
          <w:i/>
          <w:sz w:val="21"/>
          <w:szCs w:val="21"/>
          <w:lang w:eastAsia="zh-CN"/>
        </w:rPr>
        <w:t xml:space="preserve">/λ</w:t>
      </w:r>
      <w:r>
        <w:rPr>
          <w:rFonts w:hint="eastAsia" w:ascii="Times New Roman" w:hAnsi="Times New Roman" w:eastAsia="宋体" w:cs="Times New Roman"/>
          <w:sz w:val="21"/>
          <w:szCs w:val="21"/>
          <w:lang w:eastAsia="zh-CN"/>
        </w:rPr>
        <w:t xml:space="preserve"> ≈ 4.95 年、年衰减约 13.1%, 与事业单位 5 年聘期基本一致(5 年前贡献衰减至约 50%, </w:t>
      </w:r>
      <w:r>
        <w:rPr>
          <w:rFonts w:hint="eastAsia" w:ascii="Times New Roman" w:hAnsi="Times New Roman" w:eastAsia="宋体" w:cs="Times New Roman"/>
          <w:i/>
          <w:sz w:val="21"/>
          <w:szCs w:val="21"/>
          <w:lang w:eastAsia="zh-CN"/>
        </w:rPr>
        <w:t xml:space="preserve">e</w:t>
      </w:r>
      <w:r>
        <w:rPr>
          <w:rFonts w:hint="eastAsia" w:ascii="Times New Roman" w:hAnsi="Times New Roman" w:eastAsia="宋体" w:cs="Times New Roman"/>
          <w:sz w:val="21"/>
          <w:szCs w:val="21"/>
          <w:vertAlign w:val="superscript"/>
          <w:lang w:eastAsia="zh-CN"/>
        </w:rPr>
        <w:t xml:space="preserve">−0.14×5</w:t>
      </w:r>
      <w:r>
        <w:rPr>
          <w:rFonts w:hint="eastAsia" w:ascii="Times New Roman" w:hAnsi="Times New Roman" w:eastAsia="宋体" w:cs="Times New Roman"/>
          <w:sz w:val="21"/>
          <w:szCs w:val="21"/>
          <w:lang w:eastAsia="zh-CN"/>
        </w:rPr>
        <w:t xml:space="preserve"> ≈ 49.7%), 既避免成果永久有效导致评价僵化, 也防止衰减过快挫伤长期积累型科研人员的积极性.</w:t>
      </w:r>
    </w:p>
    <w:p w14:paraId="31B6FA53">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标签权重在积分流水写入后由应用内的事件回调触发准实时微调, 延迟在 1 s 以内; 每日 2:00 的定时任务将当日流水并入, 对活跃用户近 3 年的标签权重做增量重算.</w:t>
      </w:r>
    </w:p>
    <w:p w14:paraId="53AE0D9B">
      <w:pPr>
        <w:keepNext w:val="1"/>
        <w:keepLines w:val="1"/>
        <w:spacing w:before="93" w:beforeLines="30" w:after="62" w:afterLines="20" w:line="360" w:lineRule="auto"/>
        <w:outlineLvl w:val="1"/>
        <w:rPr>
          <w:rFonts w:hint="eastAsia"/>
          <w:lang w:eastAsia="zh-CN"/>
        </w:rPr>
      </w:pPr>
      <w:r>
        <w:rPr>
          <w:rFonts w:hint="eastAsia" w:ascii="Times New Roman" w:hAnsi="Times New Roman" w:eastAsia="黑体" w:cs="Times New Roman"/>
          <w:b w:val="1"/>
          <w:sz w:val="21"/>
          <w:szCs w:val="21"/>
          <w:lang w:eastAsia="zh-CN"/>
        </w:rPr>
        <w:t>3.4  多维能力得分与画像渲染</w:t>
      </w:r>
    </w:p>
    <w:p w14:paraId="574CC9C6">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定义标签—能力维度映射矩阵 M ∈ RT×D, T 为标签总数, D 为能力维度数(本系统取 D = 16, 各维度名称如图2所示). 元素 mt,d ∈ [0, 1] 表示标签 t 对维度 d 的贡献度, 满足 Σdmt,d = 1, 由 3 名科研管理专家按德尔菲法两轮打分确定, 打分流程沿用省级疾控信息化评价指标的构建方式[3]. 各维度原始得分为当前周期标签权重(式(5)中的 W(k)t,u)的加权和(式(6)); 由于式(4)已在行为积分层面完成时间衰减修正, 式(6)无需再次引入衰减因子.</w:t>
      </w:r>
    </w:p>
    <w:p w14:paraId="37E5A24C">
      <w:pPr>
        <w:keepNext w:val="1"/>
        <w:keepLines w:val="1"/>
        <w:tabs>
          <w:tab w:val="center" w:pos="4153"/>
          <w:tab w:val="right" w:pos="8306"/>
        </w:tabs>
        <w:spacing w:before="46" w:beforeLines="15" w:after="46" w:afterLines="15"/>
        <w:rPr>
          <w:rFonts w:hint="eastAsia"/>
        </w:rPr>
      </w:pPr>
      <w:r>
        <w:rPr>
          <w:lang w:eastAsia="zh-CN"/>
        </w:rPr>
        <w:tab/>
      </w:r>
      <m:oMath>
        <m:sSub>
          <m:sSubPr>
            <m:ctrlPr>
              <w:rPr>
                <w:rFonts w:ascii="Cambria Math" w:hAnsi="Cambria Math"/>
              </w:rPr>
            </m:ctrlPr>
          </m:sSubPr>
          <m:e>
            <m:r>
              <m:rPr/>
              <w:rPr>
                <w:rFonts w:ascii="Cambria Math" w:hAnsi="Cambria Math"/>
                <w:sz w:val="21"/>
                <w:szCs w:val="21"/>
              </w:rPr>
              <m:t>C</m:t>
            </m:r>
          </m:e>
          <m:sub>
            <m:r>
              <m:rPr/>
              <w:rPr>
                <w:rFonts w:ascii="Cambria Math" w:hAnsi="Cambria Math"/>
                <w:sz w:val="21"/>
                <w:szCs w:val="21"/>
              </w:rPr>
              <m:t>d,u</m:t>
            </m:r>
          </m:sub>
        </m:sSub>
        <m:r>
          <m:rPr/>
          <w:rPr>
            <w:rFonts w:ascii="Cambria Math" w:hAnsi="Cambria Math"/>
            <w:sz w:val="21"/>
            <w:szCs w:val="21"/>
          </w:rPr>
          <m:t xml:space="preserve"> = </m:t>
        </m:r>
        <m:nary>
          <m:naryPr>
            <m:chr m:val="∑"/>
            <m:limLoc m:val="subSup"/>
            <m:grow m:val="1"/>
            <m:ctrlPr>
              <w:rPr>
                <w:rFonts w:ascii="Cambria Math" w:hAnsi="Cambria Math"/>
              </w:rPr>
            </m:ctrlPr>
          </m:naryPr>
          <m:sub>
            <m:r>
              <m:rPr/>
              <w:rPr>
                <w:rFonts w:ascii="Cambria Math" w:hAnsi="Cambria Math"/>
                <w:sz w:val="21"/>
                <w:szCs w:val="21"/>
              </w:rPr>
              <m:t>t = 1</m:t>
            </m:r>
          </m:sub>
          <m:sup>
            <m:r>
              <m:rPr/>
              <w:rPr>
                <w:rFonts w:ascii="Cambria Math" w:hAnsi="Cambria Math"/>
                <w:sz w:val="21"/>
                <w:szCs w:val="21"/>
              </w:rPr>
              <m:t>T</m:t>
            </m:r>
          </m:sup>
          <m:e>
            <m:d>
              <m:dPr>
                <m:ctrlPr>
                  <w:rPr>
                    <w:rFonts w:ascii="Cambria Math" w:hAnsi="Cambria Math"/>
                  </w:rPr>
                </m:ctrlPr>
              </m:dPr>
              <m:e>
                <m:sSub>
                  <m:sSubPr>
                    <m:ctrlPr>
                      <w:rPr>
                        <w:rFonts w:ascii="Cambria Math" w:hAnsi="Cambria Math"/>
                      </w:rPr>
                    </m:ctrlPr>
                  </m:sSubPr>
                  <m:e>
                    <m:r>
                      <m:rPr/>
                      <w:rPr>
                        <w:rFonts w:ascii="Cambria Math" w:hAnsi="Cambria Math"/>
                        <w:sz w:val="21"/>
                        <w:szCs w:val="21"/>
                      </w:rPr>
                      <m:t>W</m:t>
                    </m:r>
                  </m:e>
                  <m:sub>
                    <m:r>
                      <m:rPr/>
                      <w:rPr>
                        <w:rFonts w:ascii="Cambria Math" w:hAnsi="Cambria Math"/>
                        <w:sz w:val="21"/>
                        <w:szCs w:val="21"/>
                      </w:rPr>
                      <m:t>t,u</m:t>
                    </m: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m</m:t>
                    </m:r>
                  </m:e>
                  <m:sub>
                    <m:r>
                      <m:rPr/>
                      <w:rPr>
                        <w:rFonts w:ascii="Cambria Math" w:hAnsi="Cambria Math"/>
                        <w:sz w:val="21"/>
                        <w:szCs w:val="21"/>
                      </w:rPr>
                      <m:t>t,d</m:t>
                    </m:r>
                  </m:sub>
                </m:sSub>
              </m:e>
            </m:d>
          </m:e>
        </m:nary>
      </m:oMath>
      <w:r>
        <w:tab/>
      </w:r>
      <w:r>
        <w:rPr>
          <w:rFonts w:ascii="Times New Roman" w:hAnsi="Times New Roman" w:eastAsia="宋体" w:cs="Times New Roman"/>
          <w:sz w:val="21"/>
          <w:szCs w:val="21"/>
        </w:rPr>
        <w:t>(6)</w:t>
      </w:r>
    </w:p>
    <w:p w14:paraId="7F9010A0">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为消除量纲差异, 对原始得分作归一化处理(式(7)).</w:t>
      </w:r>
    </w:p>
    <w:p w14:paraId="54DAD438">
      <w:pPr>
        <w:keepNext w:val="1"/>
        <w:keepLines w:val="1"/>
        <w:tabs>
          <w:tab w:val="center" w:pos="4153"/>
          <w:tab w:val="right" w:pos="8306"/>
        </w:tabs>
        <w:spacing w:before="46" w:beforeLines="15" w:after="46" w:afterLines="15"/>
        <w:rPr>
          <w:rFonts w:hint="eastAsia"/>
        </w:rPr>
      </w:pPr>
      <w:r>
        <w:rPr>
          <w:lang w:eastAsia="zh-CN"/>
        </w:rPr>
        <w:tab/>
      </w:r>
      <m:oMath>
        <m:sSubSup>
          <m:sSubSupPr>
            <m:ctrlPr>
              <w:rPr>
                <w:rFonts w:ascii="Cambria Math" w:hAnsi="Cambria Math"/>
              </w:rPr>
            </m:ctrlPr>
          </m:sSubSupPr>
          <m:e>
            <m:r>
              <m:rPr/>
              <w:rPr>
                <w:rFonts w:ascii="Cambria Math" w:hAnsi="Cambria Math"/>
                <w:sz w:val="21"/>
                <w:szCs w:val="21"/>
              </w:rPr>
              <m:t>C</m:t>
            </m:r>
          </m:e>
          <m:sub>
            <m:r>
              <m:rPr/>
              <w:rPr>
                <w:rFonts w:ascii="Cambria Math" w:hAnsi="Cambria Math"/>
                <w:sz w:val="21"/>
                <w:szCs w:val="21"/>
              </w:rPr>
              <m:t>d,u</m:t>
            </m:r>
          </m:sub>
          <m:sup>
            <m:r>
              <m:rPr/>
              <w:rPr>
                <w:rFonts w:ascii="Cambria Math" w:hAnsi="Cambria Math"/>
                <w:sz w:val="21"/>
                <w:szCs w:val="21"/>
              </w:rPr>
              <m:t>'</m:t>
            </m:r>
          </m:sup>
        </m:sSubSup>
        <m:r>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sz w:val="21"/>
                    <w:szCs w:val="21"/>
                  </w:rPr>
                  <m:t>C</m:t>
                </m:r>
              </m:e>
              <m:sub>
                <m:r>
                  <m:rPr/>
                  <w:rPr>
                    <w:rFonts w:ascii="Cambria Math" w:hAnsi="Cambria Math"/>
                    <w:sz w:val="21"/>
                    <w:szCs w:val="21"/>
                  </w:rPr>
                  <m:t>d,u</m:t>
                </m: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C</m:t>
                </m:r>
              </m:e>
              <m:sub>
                <m:r>
                  <m:rPr/>
                  <w:rPr>
                    <w:rFonts w:ascii="Cambria Math" w:hAnsi="Cambria Math"/>
                    <w:sz w:val="21"/>
                    <w:szCs w:val="21"/>
                  </w:rPr>
                  <m:t>d,min</m:t>
                </m:r>
              </m:sub>
            </m:sSub>
          </m:num>
          <m:den>
            <m:sSub>
              <m:sSubPr>
                <m:ctrlPr>
                  <w:rPr>
                    <w:rFonts w:ascii="Cambria Math" w:hAnsi="Cambria Math"/>
                  </w:rPr>
                </m:ctrlPr>
              </m:sSubPr>
              <m:e>
                <m:r>
                  <m:rPr/>
                  <w:rPr>
                    <w:rFonts w:ascii="Cambria Math" w:hAnsi="Cambria Math"/>
                    <w:sz w:val="21"/>
                    <w:szCs w:val="21"/>
                  </w:rPr>
                  <m:t>C</m:t>
                </m:r>
              </m:e>
              <m:sub>
                <m:r>
                  <m:rPr/>
                  <w:rPr>
                    <w:rFonts w:ascii="Cambria Math" w:hAnsi="Cambria Math"/>
                    <w:sz w:val="21"/>
                    <w:szCs w:val="21"/>
                  </w:rPr>
                  <m:t>d,max</m:t>
                </m:r>
              </m:sub>
            </m:sSub>
            <m:r>
              <m:rPr/>
              <w:rPr>
                <w:rFonts w:ascii="Cambria Math" w:hAnsi="Cambria Math"/>
                <w:sz w:val="21"/>
                <w:szCs w:val="21"/>
              </w:rPr>
              <m:t xml:space="preserve"> - </m:t>
            </m:r>
            <m:sSub>
              <m:sSubPr>
                <m:ctrlPr>
                  <w:rPr>
                    <w:rFonts w:ascii="Cambria Math" w:hAnsi="Cambria Math"/>
                  </w:rPr>
                </m:ctrlPr>
              </m:sSubPr>
              <m:e>
                <m:r>
                  <m:rPr/>
                  <w:rPr>
                    <w:rFonts w:ascii="Cambria Math" w:hAnsi="Cambria Math"/>
                    <w:sz w:val="21"/>
                    <w:szCs w:val="21"/>
                  </w:rPr>
                  <m:t>C</m:t>
                </m:r>
              </m:e>
              <m:sub>
                <m:r>
                  <m:rPr/>
                  <w:rPr>
                    <w:rFonts w:ascii="Cambria Math" w:hAnsi="Cambria Math"/>
                    <w:sz w:val="21"/>
                    <w:szCs w:val="21"/>
                  </w:rPr>
                  <m:t>d,min</m:t>
                </m:r>
              </m:sub>
            </m:sSub>
          </m:den>
        </m:f>
        <m:r>
          <m:rPr/>
          <w:rPr>
            <w:rFonts w:ascii="Cambria Math" w:hAnsi="Cambria Math"/>
            <w:sz w:val="21"/>
            <w:szCs w:val="21"/>
          </w:rPr>
          <m:t xml:space="preserve"> × 80 + 20</m:t>
        </m:r>
      </m:oMath>
      <w:r>
        <w:tab/>
      </w:r>
      <w:r>
        <w:rPr>
          <w:rFonts w:ascii="Times New Roman" w:hAnsi="Times New Roman" w:eastAsia="宋体" w:cs="Times New Roman"/>
          <w:sz w:val="21"/>
          <w:szCs w:val="21"/>
        </w:rPr>
        <w:t>(7)</w:t>
      </w:r>
    </w:p>
    <w:p w14:paraId="6A0C3930">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式中: </w:t>
      </w:r>
      <w:r>
        <w:rPr>
          <w:rFonts w:ascii="Times New Roman" w:hAnsi="Times New Roman" w:eastAsia="宋体" w:cs="Times New Roman"/>
          <w:i w:val="1"/>
          <w:iCs w:val="1"/>
          <w:sz w:val="21"/>
          <w:szCs w:val="21"/>
          <w:lang w:eastAsia="zh-CN"/>
        </w:rPr>
        <w:t>C</w:t>
      </w:r>
      <w:r>
        <w:rPr>
          <w:rFonts w:ascii="Times New Roman" w:hAnsi="Times New Roman" w:eastAsia="宋体" w:cs="Times New Roman"/>
          <w:sz w:val="21"/>
          <w:szCs w:val="21"/>
          <w:vertAlign w:val="subscript"/>
          <w:lang w:eastAsia="zh-CN"/>
        </w:rPr>
        <w:t>d,min</w:t>
      </w:r>
      <w:r>
        <w:rPr>
          <w:rFonts w:hint="eastAsia" w:ascii="Times New Roman" w:hAnsi="Times New Roman" w:eastAsia="宋体" w:cs="Times New Roman"/>
          <w:sz w:val="21"/>
          <w:szCs w:val="21"/>
          <w:lang w:eastAsia="zh-CN"/>
        </w:rPr>
        <w:t xml:space="preserve"> 与 </w:t>
      </w:r>
      <w:r>
        <w:rPr>
          <w:rFonts w:ascii="Times New Roman" w:hAnsi="Times New Roman" w:eastAsia="宋体" w:cs="Times New Roman"/>
          <w:i w:val="1"/>
          <w:iCs w:val="1"/>
          <w:sz w:val="21"/>
          <w:szCs w:val="21"/>
          <w:lang w:eastAsia="zh-CN"/>
        </w:rPr>
        <w:t>C</w:t>
      </w:r>
      <w:r>
        <w:rPr>
          <w:rFonts w:ascii="Times New Roman" w:hAnsi="Times New Roman" w:eastAsia="宋体" w:cs="Times New Roman"/>
          <w:sz w:val="21"/>
          <w:szCs w:val="21"/>
          <w:vertAlign w:val="subscript"/>
          <w:lang w:eastAsia="zh-CN"/>
        </w:rPr>
        <w:t>d,max</w:t>
      </w:r>
      <w:r>
        <w:rPr>
          <w:rFonts w:hint="eastAsia" w:ascii="Times New Roman" w:hAnsi="Times New Roman" w:eastAsia="宋体" w:cs="Times New Roman"/>
          <w:sz w:val="21"/>
          <w:szCs w:val="21"/>
          <w:lang w:eastAsia="zh-CN"/>
        </w:rPr>
        <w:t xml:space="preserve"> 分别为全中心用户在维度 </w:t>
      </w:r>
      <w:r>
        <w:rPr>
          <w:rFonts w:ascii="Times New Roman" w:hAnsi="Times New Roman" w:eastAsia="宋体" w:cs="Times New Roman"/>
          <w:i w:val="1"/>
          <w:iCs w:val="1"/>
          <w:sz w:val="21"/>
          <w:szCs w:val="21"/>
          <w:lang w:eastAsia="zh-CN"/>
        </w:rPr>
        <w:t>d</w:t>
      </w:r>
      <w:r>
        <w:rPr>
          <w:rFonts w:hint="eastAsia" w:ascii="Times New Roman" w:hAnsi="Times New Roman" w:eastAsia="宋体" w:cs="Times New Roman"/>
          <w:sz w:val="21"/>
          <w:szCs w:val="21"/>
          <w:lang w:eastAsia="zh-CN"/>
        </w:rPr>
        <w:t xml:space="preserve"> 上的最低与最高原始得分. 映射至 [20, 100] 而非 [0, 100], 可避免最低分用户恒为 0、雷达图退化为尖刺; 当 </w:t>
      </w:r>
      <w:r>
        <w:rPr>
          <w:rFonts w:ascii="Times New Roman" w:hAnsi="Times New Roman" w:eastAsia="宋体" w:cs="Times New Roman"/>
          <w:i w:val="1"/>
          <w:iCs w:val="1"/>
          <w:sz w:val="21"/>
          <w:szCs w:val="21"/>
          <w:lang w:eastAsia="zh-CN"/>
        </w:rPr>
        <w:t>C</w:t>
      </w:r>
      <w:r>
        <w:rPr>
          <w:rFonts w:ascii="Times New Roman" w:hAnsi="Times New Roman" w:eastAsia="宋体" w:cs="Times New Roman"/>
          <w:sz w:val="21"/>
          <w:szCs w:val="21"/>
          <w:vertAlign w:val="subscript"/>
          <w:lang w:eastAsia="zh-CN"/>
        </w:rPr>
        <w:t>d,max</w:t>
      </w:r>
      <w:r>
        <w:rPr>
          <w:rFonts w:ascii="Times New Roman" w:hAnsi="Times New Roman" w:eastAsia="宋体" w:cs="Times New Roman"/>
          <w:sz w:val="21"/>
          <w:szCs w:val="21"/>
          <w:lang w:eastAsia="zh-CN"/>
        </w:rPr>
        <w:t xml:space="preserve"> = </w:t>
      </w:r>
      <w:r>
        <w:rPr>
          <w:rFonts w:ascii="Times New Roman" w:hAnsi="Times New Roman" w:eastAsia="宋体" w:cs="Times New Roman"/>
          <w:i w:val="1"/>
          <w:iCs w:val="1"/>
          <w:sz w:val="21"/>
          <w:szCs w:val="21"/>
          <w:lang w:eastAsia="zh-CN"/>
        </w:rPr>
        <w:t>C</w:t>
      </w:r>
      <w:r>
        <w:rPr>
          <w:rFonts w:ascii="Times New Roman" w:hAnsi="Times New Roman" w:eastAsia="宋体" w:cs="Times New Roman"/>
          <w:sz w:val="21"/>
          <w:szCs w:val="21"/>
          <w:vertAlign w:val="subscript"/>
          <w:lang w:eastAsia="zh-CN"/>
        </w:rPr>
        <w:t>d,min</w:t>
      </w:r>
      <w:r>
        <w:rPr>
          <w:rFonts w:hint="eastAsia" w:ascii="Times New Roman" w:hAnsi="Times New Roman" w:eastAsia="宋体" w:cs="Times New Roman"/>
          <w:sz w:val="21"/>
          <w:szCs w:val="21"/>
          <w:lang w:eastAsia="zh-CN"/>
        </w:rPr>
        <w:t xml:space="preserve"> 时取 </w:t>
      </w:r>
      <w:r>
        <w:rPr>
          <w:rFonts w:ascii="Times New Roman" w:hAnsi="Times New Roman" w:eastAsia="宋体" w:cs="Times New Roman"/>
          <w:i w:val="1"/>
          <w:iCs w:val="1"/>
          <w:sz w:val="21"/>
          <w:szCs w:val="21"/>
          <w:lang w:eastAsia="zh-CN"/>
        </w:rPr>
        <w:t>C</w:t>
      </w:r>
      <w:r>
        <w:rPr>
          <w:rFonts w:ascii="Times New Roman" w:hAnsi="Times New Roman" w:eastAsia="宋体" w:cs="Times New Roman"/>
          <w:sz w:val="21"/>
          <w:szCs w:val="21"/>
          <w:lang w:eastAsia="zh-CN"/>
        </w:rPr>
        <w:t>′</w:t>
      </w:r>
      <w:r>
        <w:rPr>
          <w:rFonts w:ascii="Times New Roman" w:hAnsi="Times New Roman" w:eastAsia="宋体" w:cs="Times New Roman"/>
          <w:sz w:val="21"/>
          <w:szCs w:val="21"/>
          <w:vertAlign w:val="subscript"/>
          <w:lang w:eastAsia="zh-CN"/>
        </w:rPr>
        <w:t>d,u</w:t>
      </w:r>
      <w:r>
        <w:rPr>
          <w:rFonts w:hint="eastAsia" w:ascii="Times New Roman" w:hAnsi="Times New Roman" w:eastAsia="宋体" w:cs="Times New Roman"/>
          <w:sz w:val="21"/>
          <w:szCs w:val="21"/>
          <w:lang w:eastAsia="zh-CN"/>
        </w:rPr>
        <w:t xml:space="preserve"> = 60. 式(7)适用于同一周期内的横向比较, 跨年度比较以上线首年分布为固定基准; 归一化得分直接对应雷达图半径.</w:t>
      </w:r>
    </w:p>
    <w:p w14:paraId="71FAE643">
      <w:pPr>
        <w:keepNext w:val="1"/>
        <w:keepLines w:val="1"/>
        <w:spacing w:before="46" w:beforeLines="15" w:after="15" w:afterLines="5"/>
        <w:jc w:val="center"/>
        <w:rPr>
          <w:rFonts w:hint="eastAsia"/>
        </w:rPr>
      </w:pPr>
      <w:r>
        <w:rPr>
          <w:rFonts w:ascii="Times New Roman" w:hAnsi="Times New Roman" w:eastAsia="宋体" w:cs="Times New Roman"/>
          <w:noProof w:val="1"/>
          <w:sz w:val="21"/>
          <w:szCs w:val="21"/>
        </w:rPr>
        <w:drawing>
          <wp:inline distT="0" distB="0" distL="0" distR="0">
            <wp:extent cx="2834640" cy="2834640"/>
            <wp:effectExtent l="0" t="0" r="0" b="0"/>
            <wp:docPr id="5" name="fig3"/>
            <wp:cNvGraphicFramePr>
              <a:graphicFrameLocks noChangeAspect="1"/>
            </wp:cNvGraphicFramePr>
            <a:graphic>
              <a:graphicData uri="http://schemas.openxmlformats.org/drawingml/2006/picture">
                <pic:pic>
                  <pic:nvPicPr>
                    <pic:cNvPr id="6" name="fig3"/>
                    <pic:cNvPicPr/>
                  </pic:nvPicPr>
                  <pic:blipFill>
                    <a:blip r:embed="rId8"/>
                    <a:stretch>
                      <a:fillRect/>
                    </a:stretch>
                  </pic:blipFill>
                  <pic:spPr>
                    <a:xfrm>
                      <a:off x="0" y="0"/>
                      <a:ext cx="2834640" cy="2834640"/>
                    </a:xfrm>
                    <a:prstGeom prst="rect">
                      <a:avLst/>
                    </a:prstGeom>
                  </pic:spPr>
                </pic:pic>
              </a:graphicData>
            </a:graphic>
          </wp:inline>
        </w:drawing>
      </w:r>
    </w:p>
    <w:p w14:paraId="416093E6">
      <w:pPr>
        <w:keepNext w:val="1"/>
        <w:keepLines w:val="1"/>
        <w:spacing w:before="31" w:beforeLines="10" w:after="93" w:afterLines="30"/>
        <w:jc w:val="center"/>
        <w:rPr>
          <w:rFonts w:hint="eastAsia"/>
          <w:lang w:eastAsia="zh-CN"/>
        </w:rPr>
      </w:pPr>
      <w:r>
        <w:rPr>
          <w:rFonts w:hint="eastAsia" w:ascii="Times New Roman" w:hAnsi="Times New Roman" w:eastAsia="黑体" w:cs="Times New Roman"/>
          <w:sz w:val="18"/>
          <w:szCs w:val="18"/>
          <w:lang w:eastAsia="zh-CN"/>
        </w:rPr>
        <w:t>图2  人才画像能力雷达图</w:t>
      </w:r>
    </w:p>
    <w:p w14:paraId="3116A643">
      <w:pPr>
        <w:keepNext w:val="1"/>
        <w:keepLines w:val="1"/>
        <w:spacing w:before="93" w:beforeLines="30" w:after="62" w:afterLines="20" w:line="360" w:lineRule="auto"/>
        <w:outlineLvl w:val="1"/>
        <w:rPr>
          <w:rFonts w:hint="eastAsia"/>
          <w:lang w:eastAsia="zh-CN"/>
        </w:rPr>
      </w:pPr>
      <w:r>
        <w:rPr>
          <w:rFonts w:hint="eastAsia" w:ascii="Times New Roman" w:hAnsi="Times New Roman" w:eastAsia="黑体" w:cs="Times New Roman"/>
          <w:b w:val="1"/>
          <w:sz w:val="21"/>
          <w:szCs w:val="21"/>
          <w:lang w:eastAsia="zh-CN"/>
        </w:rPr>
        <w:t>3.5  轻量级状态机工作流引擎</w:t>
      </w:r>
    </w:p>
    <w:p w14:paraId="4CF52BA9">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针对疾控中心审核流程相对固定但存在微调需求的特点, 本文实现了无第三方框架依赖的状态机工作流引擎. 相比基于 BPMN 2.0 的全流程引擎或依赖 Drools 等规则引擎的方案[22-23], 本引擎仅保留流程定义、实例管理与状态流转三类职责, 以状态机为核心驱动. 引擎定义草稿、待初审、初审驳回、待复核、复核驳回、待终审、终审驳回与终审通过 8 种状态及 7 种转换事件: 草稿经提交进入待初审, 初审、复核通过后依次进入待复核、待终审, 任一环节驳回则回退至对应驳回态. 各状态的处理人、处理时限与下一状态由 workflow_config 表配置; 事件触发时引擎依次校验权限、更新状态、记录日志并通知下一处理人, 终审通过时触发积分计算. 管理员修改配置即可调整审核环节, 无需重启系统.</w:t>
      </w:r>
    </w:p>
    <w:p w14:paraId="7498CBA2">
      <w:pPr>
        <w:keepNext w:val="1"/>
        <w:keepLines w:val="1"/>
        <w:spacing w:before="93" w:beforeLines="30" w:after="62" w:afterLines="20" w:line="360" w:lineRule="auto"/>
        <w:outlineLvl w:val="1"/>
        <w:rPr>
          <w:rFonts w:hint="eastAsia"/>
          <w:lang w:eastAsia="zh-CN"/>
        </w:rPr>
      </w:pPr>
      <w:r>
        <w:rPr>
          <w:rFonts w:hint="eastAsia" w:ascii="Times New Roman" w:hAnsi="Times New Roman" w:eastAsia="黑体" w:cs="Times New Roman"/>
          <w:b w:val="1"/>
          <w:sz w:val="21"/>
          <w:szCs w:val="21"/>
          <w:lang w:eastAsia="zh-CN"/>
        </w:rPr>
        <w:t>3.6  性能优化与安全设计</w:t>
      </w:r>
    </w:p>
    <w:p w14:paraId="24C8EC81">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数据层与应用同机部署, 省去了网络往返, 代价是写入能力受单机磁盘约束. 系统的负载特征是读多写少: 积分查询、排名与画像渲染占请求总量的绝大部分, 写入集中在申报提交与审核两个环节. 压力测试显示, SQLite 的单写锁使写入事务串行化, 这是高并发下响应时间上升的主要来源(4 节表3); 读请求不受此约束, 因而系统在 200 并发下仍可提供服务. 进一步抬高并发上限的办法是把申报提交这类写入密集的操作异步化, 这是后续的工作.</w:t>
      </w:r>
    </w:p>
    <w:p w14:paraId="24C8EC81">
      <w:pPr>
        <w:spacing w:before="18" w:beforeLines="6"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安全方面, 登录环节引入算术图形验证码抵御自动化撞库, 会话空闲超过 3 h 自动登出. 接口访问由 RBAC 模型校验, 前端路由守卫与后端权限拦截双重生效, 越权请求返回 403. 系统涉及 270 名科研人员的学历、职称与成果数据, 按《中华人民共和国个人信息保护法》实施最小必要采集与分级授权访问, 敏感字段脱敏并留存审计日志.</w:t>
      </w:r>
    </w:p>
    <w:p w14:paraId="4B25E502">
      <w:pPr>
        <w:keepNext w:val="1"/>
        <w:keepLines w:val="1"/>
        <w:spacing w:before="156" w:beforeLines="50" w:after="93" w:afterLines="30" w:line="360" w:lineRule="auto"/>
        <w:outlineLvl w:val="0"/>
        <w:rPr>
          <w:rFonts w:hint="eastAsia"/>
          <w:lang w:eastAsia="zh-CN"/>
        </w:rPr>
      </w:pPr>
      <w:bookmarkStart w:id="1" w:name="OLE_LINK15"/>
      <w:r>
        <w:rPr>
          <w:rFonts w:hint="eastAsia" w:ascii="Times New Roman" w:hAnsi="Times New Roman" w:eastAsia="黑体" w:cs="Times New Roman"/>
          <w:b w:val="1"/>
          <w:sz w:val="28"/>
          <w:szCs w:val="24"/>
          <w:lang w:eastAsia="zh-CN"/>
        </w:rPr>
        <w:t>4  系统测试与应用效果</w:t>
      </w:r>
    </w:p>
    <w:p w14:paraId="07CF56E5">
      <w:pPr>
        <w:spacing w:after="0" w:line="300" w:lineRule="exact"/>
        <w:ind w:firstLine="420" w:firstLineChars="200"/>
        <w:jc w:val="both"/>
        <w:rPr>
          <w:rFonts w:hint="eastAsia"/>
          <w:lang w:eastAsia="zh-CN"/>
        </w:rPr>
      </w:pPr>
      <w:bookmarkStart w:id="2" w:name="OLE_LINK14"/>
      <w:bookmarkEnd w:id="2"/>
      <w:r>
        <w:rPr>
          <w:rFonts w:hint="eastAsia" w:ascii="Times New Roman" w:hAnsi="Times New Roman" w:eastAsia="宋体" w:cs="Times New Roman"/>
          <w:sz w:val="21"/>
          <w:szCs w:val="21"/>
          <w:lang w:eastAsia="zh-CN"/>
        </w:rPr>
        <w:t xml:space="preserve">测试环境为 Intel Xeon E5-2678 v3 @2.5 GHz(4 vCPU)/8 GB 内存、Windows Server 2019、Node.js v22、Express 4 与 SQLite 3, 前端为 Vue 3 + Vite 5 + Element Plus 2; 客户端与服务端处于同一千兆局域网内, 往返时延小于 1 ms; 测试数据集含 253 个用户账号与约 1200 条积分申报记录. 压力测试工具为 Apache JMeter 5.6.1, 并发梯度按开源 Web 项目性能测试的常见做法设置[24]. 功能测试按五大模块设计用例 20 个, 覆盖正常流程、边界条件与权限越界, 结果全部通过, 代表性用例如表2所示. 性能测试共 7 组场景, 结果如表3所示; 达标判据取内网业务系统的常规 SLA, 即平均响应时间小于 500 ms 且错误率低于 1%.</w:t>
      </w:r>
    </w:p>
    <w:p w14:paraId="38454883">
      <w:pPr>
        <w:keepNext w:val="1"/>
        <w:keepLines w:val="1"/>
        <w:spacing w:before="37" w:beforeLines="12" w:after="18" w:afterLines="6"/>
        <w:jc w:val="center"/>
        <w:rPr>
          <w:rFonts w:hint="eastAsia"/>
        </w:rPr>
      </w:pPr>
      <w:r>
        <w:rPr>
          <w:rFonts w:hint="eastAsia" w:ascii="Times New Roman" w:hAnsi="Times New Roman" w:eastAsia="黑体" w:cs="Times New Roman"/>
          <w:b/>
          <w:sz w:val="18"/>
          <w:szCs w:val="18"/>
        </w:rPr>
        <w:t xml:space="preserve">表2</w:t>
      </w:r>
      <w:r>
        <w:rPr>
          <w:rFonts w:hint="eastAsia" w:ascii="Times New Roman" w:hAnsi="Times New Roman" w:eastAsia="黑体" w:cs="Times New Roman"/>
          <w:sz w:val="18"/>
          <w:szCs w:val="18"/>
        </w:rPr>
        <w:t xml:space="preserve">  功能测试代表性用例</w:t>
      </w:r>
    </w:p>
    <w:tbl>
      <w:tblPr>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64" w:type="dxa"/>
          <w:bottom w:w="28" w:type="dxa"/>
          <w:right w:w="64" w:type="dxa"/>
        </w:tblCellMar>
        <w:tblLook w:firstRow="1" w:lastRow="0" w:firstColumn="1" w:lastColumn="0" w:noHBand="0" w:noVBand="1" w:val="04A0"/>
      </w:tblPr>
      <w:tblGrid>
        <w:gridCol w:w="820"/>
        <w:gridCol w:w="2100"/>
        <w:gridCol w:w="3380"/>
        <w:gridCol w:w="2006"/>
      </w:tblGrid>
      <w:tr>
        <w:trPr>
          <w:cantSplit w:val="1"/>
          <w:tblHeader w:val="1"/>
          <w:jc w:val="center"/>
        </w:trPr>
        <w:tc>
          <w:tcPr>
            <w:tcW w:w="820" w:type="dxa"/>
            <w:tcBorders>
              <w:top w:val="single" w:color="auto" w:sz="12" w:space="0"/>
              <w:left w:val="nil"/>
              <w:bottom w:val="single" w:color="auto" w:sz="6" w:space="0"/>
              <w:right w:val="nil"/>
            </w:tcBorders>
            <w:vAlign w:val="center"/>
          </w:tcPr>
          <w:p w14:paraId="54FBA1B4">
            <w:pPr>
              <w:spacing w:before="20" w:after="20" w:line="240" w:lineRule="auto"/>
              <w:jc w:val="center"/>
              <w:rPr>
                <w:rFonts w:hint="eastAsia"/>
              </w:rPr>
            </w:pPr>
            <w:r>
              <w:rPr>
                <w:rFonts w:hint="eastAsia" w:ascii="Times New Roman" w:hAnsi="Times New Roman" w:eastAsia="宋体" w:cs="Times New Roman"/>
                <w:b w:val="1"/>
                <w:bCs w:val="1"/>
                <w:sz w:val="18"/>
                <w:szCs w:val="18"/>
              </w:rPr>
              <w:t xml:space="preserve">编号</w:t>
            </w:r>
          </w:p>
        </w:tc>
        <w:tc>
          <w:tcPr>
            <w:tcW w:w="2100" w:type="dxa"/>
            <w:tcBorders>
              <w:top w:val="single" w:color="auto" w:sz="12" w:space="0"/>
              <w:left w:val="nil"/>
              <w:bottom w:val="single" w:color="auto" w:sz="6" w:space="0"/>
              <w:right w:val="nil"/>
            </w:tcBorders>
            <w:vAlign w:val="center"/>
          </w:tcPr>
          <w:p w14:paraId="5477679B">
            <w:pPr>
              <w:spacing w:before="20" w:after="20" w:line="240" w:lineRule="auto"/>
              <w:jc w:val="center"/>
              <w:rPr>
                <w:rFonts w:hint="eastAsia"/>
              </w:rPr>
            </w:pPr>
            <w:r>
              <w:rPr>
                <w:rFonts w:hint="eastAsia" w:ascii="Times New Roman" w:hAnsi="Times New Roman" w:eastAsia="宋体" w:cs="Times New Roman"/>
                <w:b w:val="1"/>
                <w:bCs w:val="1"/>
                <w:sz w:val="18"/>
                <w:szCs w:val="18"/>
              </w:rPr>
              <w:t xml:space="preserve">测试功能</w:t>
            </w:r>
          </w:p>
        </w:tc>
        <w:tc>
          <w:tcPr>
            <w:tcW w:w="3380" w:type="dxa"/>
            <w:tcBorders>
              <w:top w:val="single" w:color="auto" w:sz="12" w:space="0"/>
              <w:left w:val="nil"/>
              <w:bottom w:val="single" w:color="auto" w:sz="6" w:space="0"/>
              <w:right w:val="nil"/>
            </w:tcBorders>
            <w:vAlign w:val="center"/>
          </w:tcPr>
          <w:p w14:paraId="03CE90C2">
            <w:pPr>
              <w:spacing w:before="20" w:after="20" w:line="240" w:lineRule="auto"/>
              <w:jc w:val="center"/>
              <w:rPr>
                <w:rFonts w:hint="eastAsia"/>
              </w:rPr>
            </w:pPr>
            <w:r>
              <w:rPr>
                <w:rFonts w:hint="eastAsia" w:ascii="Times New Roman" w:hAnsi="Times New Roman" w:eastAsia="宋体" w:cs="Times New Roman"/>
                <w:b w:val="1"/>
                <w:bCs w:val="1"/>
                <w:sz w:val="18"/>
                <w:szCs w:val="18"/>
              </w:rPr>
              <w:t xml:space="preserve">预期结果</w:t>
            </w:r>
          </w:p>
        </w:tc>
        <w:tc>
          <w:tcPr>
            <w:tcW w:w="2006" w:type="dxa"/>
            <w:tcBorders>
              <w:top w:val="single" w:color="auto" w:sz="12" w:space="0"/>
              <w:left w:val="nil"/>
              <w:bottom w:val="single" w:color="auto" w:sz="6" w:space="0"/>
              <w:right w:val="nil"/>
            </w:tcBorders>
            <w:vAlign w:val="center"/>
          </w:tcPr>
          <w:p w14:paraId="26942816">
            <w:pPr>
              <w:spacing w:before="20" w:after="20" w:line="240" w:lineRule="auto"/>
              <w:jc w:val="center"/>
              <w:rPr>
                <w:rFonts w:hint="eastAsia"/>
              </w:rPr>
            </w:pPr>
            <w:r>
              <w:rPr>
                <w:rFonts w:hint="eastAsia" w:ascii="Times New Roman" w:hAnsi="Times New Roman" w:eastAsia="宋体" w:cs="Times New Roman"/>
                <w:b w:val="1"/>
                <w:bCs w:val="1"/>
                <w:sz w:val="18"/>
                <w:szCs w:val="18"/>
              </w:rPr>
              <w:t xml:space="preserve">实际结果</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ST-02</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登录时验证码填写错误</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提示“答案错误, 请重试”并阻止登录</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ST-04</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登录后静置超过 3 h</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自动登出并跳转登录页</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ST-05</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积分填报页保存草稿</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记录置为草稿态, 可再次进入编辑</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ST-06</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将草稿提交审核</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记录置为待审核态, 进入审核队列</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ST-08</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查看一条已审核记录</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显示审核人、审核时间与审核意见</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ST-10</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导出积分排名 PDF</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排名正确, PDF 含单位水印且不重叠</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ST-11</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查看个人能力画像</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雷达图与各维度得分正确渲染</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ST-13</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审核员驳回并填写意见</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记录置为已驳回态, 意见被保存</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nil"/>
              <w:right w:val="nil"/>
            </w:tcBorders>
            <w:vAlign w:val="center"/>
          </w:tcPr>
          <w:p w14:paraId="2516B755">
            <w:pPr>
              <w:spacing w:before="20" w:after="20" w:line="240" w:lineRule="auto"/>
              <w:jc w:val="center"/>
              <w:rPr>
                <w:rFonts w:hint="eastAsia"/>
              </w:rPr>
            </w:pPr>
            <w:r>
              <w:rPr>
                <w:rFonts w:hint="eastAsia" w:ascii="Times New Roman" w:hAnsi="Times New Roman" w:eastAsia="宋体" w:cs="Times New Roman"/>
                <w:sz w:val="18"/>
                <w:szCs w:val="18"/>
              </w:rPr>
              <w:t xml:space="preserve">ST-17</w:t>
            </w:r>
          </w:p>
        </w:tc>
        <w:tc>
          <w:tcPr>
            <w:tcW w:w="2100" w:type="dxa"/>
            <w:tcBorders>
              <w:top w:val="nil"/>
              <w:left w:val="nil"/>
              <w:bottom w:val="nil"/>
              <w:right w:val="nil"/>
            </w:tcBorders>
            <w:vAlign w:val="center"/>
          </w:tcPr>
          <w:p w14:paraId="7383F25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维护积分项目与评分规则</w:t>
            </w:r>
          </w:p>
        </w:tc>
        <w:tc>
          <w:tcPr>
            <w:tcW w:w="3380" w:type="dxa"/>
            <w:tcBorders>
              <w:top w:val="nil"/>
              <w:left w:val="nil"/>
              <w:bottom w:val="nil"/>
              <w:right w:val="nil"/>
            </w:tcBorders>
            <w:vAlign w:val="center"/>
          </w:tcPr>
          <w:p w14:paraId="27F427B4">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填报页选项与计分规则实时同步</w:t>
            </w:r>
          </w:p>
        </w:tc>
        <w:tc>
          <w:tcPr>
            <w:tcW w:w="2006" w:type="dxa"/>
            <w:tcBorders>
              <w:top w:val="nil"/>
              <w:left w:val="nil"/>
              <w:bottom w:val="nil"/>
              <w:right w:val="nil"/>
            </w:tcBorders>
            <w:vAlign w:val="center"/>
          </w:tcPr>
          <w:p w14:paraId="5CA3FE3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同预期</w:t>
            </w:r>
          </w:p>
        </w:tc>
      </w:tr>
      <w:tr>
        <w:trPr>
          <w:cantSplit w:val="1"/>
          <w:jc w:val="center"/>
        </w:trPr>
        <w:tc>
          <w:tcPr>
            <w:tcW w:w="820" w:type="dxa"/>
            <w:tcBorders>
              <w:top w:val="nil"/>
              <w:left w:val="nil"/>
              <w:bottom w:val="single" w:color="auto" w:sz="12" w:space="0"/>
              <w:right w:val="nil"/>
            </w:tcBorders>
            <w:vAlign w:val="center"/>
          </w:tcPr>
          <w:p w14:paraId="701B0D70">
            <w:pPr>
              <w:spacing w:before="20" w:after="20" w:line="240" w:lineRule="auto"/>
              <w:jc w:val="center"/>
              <w:rPr>
                <w:rFonts w:hint="eastAsia"/>
              </w:rPr>
            </w:pPr>
            <w:r>
              <w:rPr>
                <w:rFonts w:hint="eastAsia" w:ascii="Times New Roman" w:hAnsi="Times New Roman" w:eastAsia="宋体" w:cs="Times New Roman"/>
                <w:sz w:val="18"/>
                <w:szCs w:val="18"/>
              </w:rPr>
              <w:t xml:space="preserve">ST-19</w:t>
            </w:r>
          </w:p>
        </w:tc>
        <w:tc>
          <w:tcPr>
            <w:tcW w:w="2100" w:type="dxa"/>
            <w:tcBorders>
              <w:top w:val="nil"/>
              <w:left w:val="nil"/>
              <w:bottom w:val="single" w:color="auto" w:sz="12" w:space="0"/>
              <w:right w:val="nil"/>
            </w:tcBorders>
            <w:vAlign w:val="center"/>
          </w:tcPr>
          <w:p w14:paraId="58DF6CC2">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审核员调用删除审核记录接口</w:t>
            </w:r>
          </w:p>
        </w:tc>
        <w:tc>
          <w:tcPr>
            <w:tcW w:w="3380" w:type="dxa"/>
            <w:tcBorders>
              <w:top w:val="nil"/>
              <w:left w:val="nil"/>
              <w:bottom w:val="single" w:color="auto" w:sz="12" w:space="0"/>
              <w:right w:val="nil"/>
            </w:tcBorders>
            <w:vAlign w:val="center"/>
          </w:tcPr>
          <w:p w14:paraId="0E5C3E0C">
            <w:pPr>
              <w:spacing w:before="20" w:after="20" w:line="240" w:lineRule="auto"/>
              <w:jc w:val="left"/>
              <w:rPr>
                <w:rFonts w:hint="eastAsia"/>
                <w:lang w:eastAsia="zh-CN"/>
              </w:rPr>
            </w:pPr>
            <w:r>
              <w:rPr>
                <w:rFonts w:hint="eastAsia" w:ascii="Times New Roman" w:hAnsi="Times New Roman" w:eastAsia="宋体" w:cs="Times New Roman"/>
                <w:sz w:val="18"/>
                <w:szCs w:val="18"/>
                <w:lang w:eastAsia="zh-CN"/>
              </w:rPr>
              <w:t xml:space="preserve">后端拒绝并返回 403</w:t>
            </w:r>
          </w:p>
        </w:tc>
        <w:tc>
          <w:tcPr>
            <w:tcW w:w="2006" w:type="dxa"/>
            <w:tcBorders>
              <w:top w:val="nil"/>
              <w:left w:val="nil"/>
              <w:bottom w:val="single" w:color="auto" w:sz="12" w:space="0"/>
              <w:right w:val="nil"/>
            </w:tcBorders>
            <w:vAlign w:val="center"/>
          </w:tcPr>
          <w:p w14:paraId="03C51799">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返回 403</w:t>
            </w:r>
          </w:p>
        </w:tc>
      </w:tr>
    </w:tbl>
    <w:p w14:paraId="5F2B74F2">
      <w:pPr>
        <w:keepNext w:val="1"/>
        <w:keepLines w:val="1"/>
        <w:spacing w:before="37" w:beforeLines="12" w:after="18" w:afterLines="6"/>
        <w:jc w:val="center"/>
        <w:rPr>
          <w:rFonts w:hint="eastAsia"/>
          <w:lang w:eastAsia="zh-CN"/>
        </w:rPr>
      </w:pPr>
      <w:r>
        <w:rPr>
          <w:rFonts w:hint="eastAsia" w:ascii="Times New Roman" w:hAnsi="Times New Roman" w:eastAsia="黑体" w:cs="Times New Roman"/>
          <w:b/>
          <w:sz w:val="18"/>
          <w:szCs w:val="18"/>
          <w:lang w:eastAsia="zh-CN"/>
        </w:rPr>
        <w:t xml:space="preserve">表3</w:t>
      </w:r>
      <w:r>
        <w:rPr>
          <w:rFonts w:hint="eastAsia" w:ascii="Times New Roman" w:hAnsi="Times New Roman" w:eastAsia="黑体" w:cs="Times New Roman"/>
          <w:sz w:val="18"/>
          <w:szCs w:val="18"/>
          <w:lang w:eastAsia="zh-CN"/>
        </w:rPr>
        <w:t xml:space="preserve">  性能测试结果</w:t>
      </w:r>
    </w:p>
    <w:tbl>
      <w:tblPr>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64" w:type="dxa"/>
          <w:bottom w:w="28" w:type="dxa"/>
          <w:right w:w="64" w:type="dxa"/>
        </w:tblCellMar>
        <w:tblLook w:firstRow="1" w:lastRow="0" w:firstColumn="1" w:lastColumn="0" w:noHBand="0" w:noVBand="1" w:val="04A0"/>
      </w:tblPr>
      <w:tblGrid>
        <w:gridCol w:w="1700"/>
        <w:gridCol w:w="1000"/>
        <w:gridCol w:w="1100"/>
        <w:gridCol w:w="1100"/>
        <w:gridCol w:w="1300"/>
        <w:gridCol w:w="1000"/>
        <w:gridCol w:w="1106"/>
      </w:tblGrid>
      <w:tr>
        <w:trPr>
          <w:cantSplit w:val="1"/>
          <w:tblHeader w:val="1"/>
          <w:jc w:val="center"/>
        </w:trPr>
        <w:tc>
          <w:tcPr>
            <w:tcW w:w="1700" w:type="dxa"/>
            <w:tcBorders>
              <w:top w:val="single" w:color="auto" w:sz="12" w:space="0"/>
              <w:left w:val="nil"/>
              <w:bottom w:val="single" w:color="auto" w:sz="6" w:space="0"/>
              <w:right w:val="nil"/>
            </w:tcBorders>
            <w:vAlign w:val="center"/>
          </w:tcPr>
          <w:p w14:paraId="21325EC1">
            <w:pPr>
              <w:spacing w:before="20" w:after="20" w:line="240" w:lineRule="auto"/>
              <w:jc w:val="center"/>
              <w:rPr>
                <w:rFonts w:hint="eastAsia"/>
              </w:rPr>
            </w:pPr>
            <w:r>
              <w:rPr>
                <w:rFonts w:hint="eastAsia" w:ascii="Times New Roman" w:hAnsi="Times New Roman" w:eastAsia="宋体" w:cs="Times New Roman"/>
                <w:b w:val="1"/>
                <w:bCs w:val="1"/>
                <w:sz w:val="18"/>
                <w:szCs w:val="18"/>
              </w:rPr>
              <w:t xml:space="preserve">测试场景</w:t>
            </w:r>
          </w:p>
        </w:tc>
        <w:tc>
          <w:tcPr>
            <w:tcW w:w="1000" w:type="dxa"/>
            <w:tcBorders>
              <w:top w:val="single" w:color="auto" w:sz="12" w:space="0"/>
              <w:left w:val="nil"/>
              <w:bottom w:val="single" w:color="auto" w:sz="6" w:space="0"/>
              <w:right w:val="nil"/>
            </w:tcBorders>
            <w:vAlign w:val="center"/>
          </w:tcPr>
          <w:p w14:paraId="2469C8BD">
            <w:pPr>
              <w:spacing w:before="20" w:after="20" w:line="240" w:lineRule="auto"/>
              <w:jc w:val="center"/>
              <w:rPr>
                <w:rFonts w:hint="eastAsia"/>
              </w:rPr>
            </w:pPr>
            <w:r>
              <w:rPr>
                <w:rFonts w:hint="eastAsia" w:ascii="Times New Roman" w:hAnsi="Times New Roman" w:eastAsia="宋体" w:cs="Times New Roman"/>
                <w:b w:val="1"/>
                <w:bCs w:val="1"/>
                <w:sz w:val="18"/>
                <w:szCs w:val="18"/>
              </w:rPr>
              <w:t xml:space="preserve">并发 用户数</w:t>
            </w:r>
          </w:p>
        </w:tc>
        <w:tc>
          <w:tcPr>
            <w:tcW w:w="1100" w:type="dxa"/>
            <w:tcBorders>
              <w:top w:val="single" w:color="auto" w:sz="12" w:space="0"/>
              <w:left w:val="nil"/>
              <w:bottom w:val="single" w:color="auto" w:sz="6" w:space="0"/>
              <w:right w:val="nil"/>
            </w:tcBorders>
            <w:vAlign w:val="center"/>
          </w:tcPr>
          <w:p w14:paraId="0946BE19">
            <w:pPr>
              <w:spacing w:before="20" w:after="20" w:line="240" w:lineRule="auto"/>
              <w:jc w:val="center"/>
              <w:rPr>
                <w:rFonts w:hint="eastAsia"/>
              </w:rPr>
            </w:pPr>
            <w:r>
              <w:rPr>
                <w:rFonts w:hint="eastAsia" w:ascii="Times New Roman" w:hAnsi="Times New Roman" w:eastAsia="宋体" w:cs="Times New Roman"/>
                <w:b w:val="1"/>
                <w:bCs w:val="1"/>
                <w:sz w:val="18"/>
                <w:szCs w:val="18"/>
              </w:rPr>
              <w:t xml:space="preserve">平均响应 /ms</w:t>
            </w:r>
          </w:p>
        </w:tc>
        <w:tc>
          <w:tcPr>
            <w:tcW w:w="1100" w:type="dxa"/>
            <w:tcBorders>
              <w:top w:val="single" w:color="auto" w:sz="12" w:space="0"/>
              <w:left w:val="nil"/>
              <w:bottom w:val="single" w:color="auto" w:sz="6" w:space="0"/>
              <w:right w:val="nil"/>
            </w:tcBorders>
            <w:vAlign w:val="center"/>
          </w:tcPr>
          <w:p w14:paraId="28963811">
            <w:pPr>
              <w:spacing w:before="20" w:after="20" w:line="240" w:lineRule="auto"/>
              <w:jc w:val="center"/>
              <w:rPr>
                <w:rFonts w:hint="eastAsia"/>
              </w:rPr>
            </w:pPr>
            <w:r>
              <w:rPr>
                <w:rFonts w:hint="eastAsia" w:ascii="Times New Roman" w:hAnsi="Times New Roman" w:eastAsia="宋体" w:cs="Times New Roman"/>
                <w:b w:val="1"/>
                <w:bCs w:val="1"/>
                <w:sz w:val="18"/>
                <w:szCs w:val="18"/>
              </w:rPr>
              <w:t xml:space="preserve">90% 响应 /ms</w:t>
            </w:r>
          </w:p>
        </w:tc>
        <w:tc>
          <w:tcPr>
            <w:tcW w:w="1300" w:type="dxa"/>
            <w:tcBorders>
              <w:top w:val="single" w:color="auto" w:sz="12" w:space="0"/>
              <w:left w:val="nil"/>
              <w:bottom w:val="single" w:color="auto" w:sz="6" w:space="0"/>
              <w:right w:val="nil"/>
            </w:tcBorders>
            <w:vAlign w:val="center"/>
          </w:tcPr>
          <w:p w14:paraId="25F1B5A0">
            <w:pPr>
              <w:spacing w:before="20" w:after="20" w:line="240" w:lineRule="auto"/>
              <w:jc w:val="center"/>
              <w:rPr>
                <w:rFonts w:hint="eastAsia"/>
                <w:lang w:eastAsia="zh-CN"/>
              </w:rPr>
            </w:pPr>
            <w:r>
              <w:rPr>
                <w:rFonts w:hint="eastAsia" w:ascii="Times New Roman" w:hAnsi="Times New Roman" w:eastAsia="宋体" w:cs="Times New Roman"/>
                <w:b w:val="1"/>
                <w:bCs w:val="1"/>
                <w:sz w:val="18"/>
                <w:szCs w:val="18"/>
                <w:lang w:eastAsia="zh-CN"/>
              </w:rPr>
              <w:t xml:space="preserve">吞吐量 /(次·s⁻¹)</w:t>
            </w:r>
          </w:p>
        </w:tc>
        <w:tc>
          <w:tcPr>
            <w:tcW w:w="1000" w:type="dxa"/>
            <w:tcBorders>
              <w:top w:val="single" w:color="auto" w:sz="12" w:space="0"/>
              <w:left w:val="nil"/>
              <w:bottom w:val="single" w:color="auto" w:sz="6" w:space="0"/>
              <w:right w:val="nil"/>
            </w:tcBorders>
            <w:vAlign w:val="center"/>
          </w:tcPr>
          <w:p w14:paraId="25F1B5A0">
            <w:pPr>
              <w:spacing w:before="20" w:after="20" w:line="240" w:lineRule="auto"/>
              <w:jc w:val="center"/>
              <w:rPr>
                <w:rFonts w:hint="eastAsia"/>
                <w:lang w:eastAsia="zh-CN"/>
              </w:rPr>
            </w:pPr>
            <w:r>
              <w:rPr>
                <w:rFonts w:hint="eastAsia" w:ascii="Times New Roman" w:hAnsi="Times New Roman" w:eastAsia="宋体" w:cs="Times New Roman"/>
                <w:b w:val="1"/>
                <w:bCs w:val="1"/>
                <w:sz w:val="18"/>
                <w:szCs w:val="18"/>
                <w:lang w:eastAsia="zh-CN"/>
              </w:rPr>
              <w:t xml:space="preserve">错误率 /%</w:t>
            </w:r>
          </w:p>
        </w:tc>
        <w:tc>
          <w:tcPr>
            <w:tcW w:w="1106" w:type="dxa"/>
            <w:tcBorders>
              <w:top w:val="single" w:color="auto" w:sz="12" w:space="0"/>
              <w:left w:val="nil"/>
              <w:bottom w:val="single" w:color="auto" w:sz="6" w:space="0"/>
              <w:right w:val="nil"/>
            </w:tcBorders>
            <w:vAlign w:val="center"/>
          </w:tcPr>
          <w:p w14:paraId="25F1B5A0">
            <w:pPr>
              <w:spacing w:before="20" w:after="20" w:line="240" w:lineRule="auto"/>
              <w:jc w:val="center"/>
              <w:rPr>
                <w:rFonts w:hint="eastAsia"/>
                <w:lang w:eastAsia="zh-CN"/>
              </w:rPr>
            </w:pPr>
            <w:r>
              <w:rPr>
                <w:rFonts w:hint="eastAsia" w:ascii="Times New Roman" w:hAnsi="Times New Roman" w:eastAsia="宋体" w:cs="Times New Roman"/>
                <w:b w:val="1"/>
                <w:bCs w:val="1"/>
                <w:sz w:val="18"/>
                <w:szCs w:val="18"/>
                <w:lang w:eastAsia="zh-CN"/>
              </w:rPr>
              <w:t xml:space="preserve">CPU 占用 /%</w:t>
            </w:r>
          </w:p>
        </w:tc>
      </w:tr>
      <w:tr>
        <w:trPr>
          <w:cantSplit w:val="1"/>
          <w:jc w:val="center"/>
        </w:trPr>
        <w:tc>
          <w:tcPr>
            <w:tcW w:w="1700" w:type="dxa"/>
            <w:tcBorders>
              <w:top w:val="nil"/>
              <w:left w:val="nil"/>
              <w:bottom w:val="nil"/>
              <w:right w:val="nil"/>
            </w:tcBorders>
            <w:vAlign w:val="center"/>
          </w:tcPr>
          <w:p w14:paraId="34195E43">
            <w:pPr>
              <w:spacing w:before="20" w:after="20" w:line="240" w:lineRule="auto"/>
              <w:jc w:val="left"/>
              <w:rPr>
                <w:rFonts w:hint="eastAsia"/>
              </w:rPr>
            </w:pPr>
            <w:r>
              <w:rPr>
                <w:rFonts w:ascii="Times New Roman" w:hAnsi="Times New Roman" w:eastAsia="宋体" w:cs="Times New Roman"/>
                <w:sz w:val="18"/>
                <w:szCs w:val="18"/>
              </w:rPr>
              <w:t xml:space="preserve">单用户基准</w:t>
            </w:r>
          </w:p>
        </w:tc>
        <w:tc>
          <w:tcPr>
            <w:tcW w:w="1000" w:type="dxa"/>
            <w:tcBorders>
              <w:top w:val="nil"/>
              <w:left w:val="nil"/>
              <w:bottom w:val="nil"/>
              <w:right w:val="nil"/>
            </w:tcBorders>
            <w:vAlign w:val="center"/>
          </w:tcPr>
          <w:p w14:paraId="4C41FAF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w:t>
            </w:r>
          </w:p>
        </w:tc>
        <w:tc>
          <w:tcPr>
            <w:tcW w:w="1100" w:type="dxa"/>
            <w:tcBorders>
              <w:top w:val="nil"/>
              <w:left w:val="nil"/>
              <w:bottom w:val="nil"/>
              <w:right w:val="nil"/>
            </w:tcBorders>
            <w:vAlign w:val="center"/>
          </w:tcPr>
          <w:p w14:paraId="1A45D2A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42</w:t>
            </w:r>
          </w:p>
        </w:tc>
        <w:tc>
          <w:tcPr>
            <w:tcW w:w="1100" w:type="dxa"/>
            <w:tcBorders>
              <w:top w:val="nil"/>
              <w:left w:val="nil"/>
              <w:bottom w:val="nil"/>
              <w:right w:val="nil"/>
            </w:tcBorders>
            <w:vAlign w:val="center"/>
          </w:tcPr>
          <w:p w14:paraId="59D1C55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60</w:t>
            </w:r>
          </w:p>
        </w:tc>
        <w:tc>
          <w:tcPr>
            <w:tcW w:w="13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23</w:t>
            </w:r>
          </w:p>
        </w:tc>
        <w:tc>
          <w:tcPr>
            <w:tcW w:w="10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0</w:t>
            </w:r>
          </w:p>
        </w:tc>
        <w:tc>
          <w:tcPr>
            <w:tcW w:w="1106"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8</w:t>
            </w:r>
          </w:p>
        </w:tc>
      </w:tr>
      <w:tr>
        <w:trPr>
          <w:cantSplit w:val="1"/>
          <w:jc w:val="center"/>
        </w:trPr>
        <w:tc>
          <w:tcPr>
            <w:tcW w:w="1700" w:type="dxa"/>
            <w:tcBorders>
              <w:top w:val="nil"/>
              <w:left w:val="nil"/>
              <w:bottom w:val="nil"/>
              <w:right w:val="nil"/>
            </w:tcBorders>
            <w:vAlign w:val="center"/>
          </w:tcPr>
          <w:p w14:paraId="34195E43">
            <w:pPr>
              <w:spacing w:before="20" w:after="20" w:line="240" w:lineRule="auto"/>
              <w:jc w:val="left"/>
              <w:rPr>
                <w:rFonts w:hint="eastAsia"/>
              </w:rPr>
            </w:pPr>
            <w:r>
              <w:rPr>
                <w:rFonts w:ascii="Times New Roman" w:hAnsi="Times New Roman" w:eastAsia="宋体" w:cs="Times New Roman"/>
                <w:sz w:val="18"/>
                <w:szCs w:val="18"/>
              </w:rPr>
              <w:t xml:space="preserve">低并发登录</w:t>
            </w:r>
          </w:p>
        </w:tc>
        <w:tc>
          <w:tcPr>
            <w:tcW w:w="1000" w:type="dxa"/>
            <w:tcBorders>
              <w:top w:val="nil"/>
              <w:left w:val="nil"/>
              <w:bottom w:val="nil"/>
              <w:right w:val="nil"/>
            </w:tcBorders>
            <w:vAlign w:val="center"/>
          </w:tcPr>
          <w:p w14:paraId="4C41FAF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20</w:t>
            </w:r>
          </w:p>
        </w:tc>
        <w:tc>
          <w:tcPr>
            <w:tcW w:w="1100" w:type="dxa"/>
            <w:tcBorders>
              <w:top w:val="nil"/>
              <w:left w:val="nil"/>
              <w:bottom w:val="nil"/>
              <w:right w:val="nil"/>
            </w:tcBorders>
            <w:vAlign w:val="center"/>
          </w:tcPr>
          <w:p w14:paraId="1A45D2A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85</w:t>
            </w:r>
          </w:p>
        </w:tc>
        <w:tc>
          <w:tcPr>
            <w:tcW w:w="1100" w:type="dxa"/>
            <w:tcBorders>
              <w:top w:val="nil"/>
              <w:left w:val="nil"/>
              <w:bottom w:val="nil"/>
              <w:right w:val="nil"/>
            </w:tcBorders>
            <w:vAlign w:val="center"/>
          </w:tcPr>
          <w:p w14:paraId="59D1C55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120</w:t>
            </w:r>
          </w:p>
        </w:tc>
        <w:tc>
          <w:tcPr>
            <w:tcW w:w="13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186</w:t>
            </w:r>
          </w:p>
        </w:tc>
        <w:tc>
          <w:tcPr>
            <w:tcW w:w="10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0</w:t>
            </w:r>
          </w:p>
        </w:tc>
        <w:tc>
          <w:tcPr>
            <w:tcW w:w="1106"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24</w:t>
            </w:r>
          </w:p>
        </w:tc>
      </w:tr>
      <w:tr>
        <w:trPr>
          <w:cantSplit w:val="1"/>
          <w:jc w:val="center"/>
        </w:trPr>
        <w:tc>
          <w:tcPr>
            <w:tcW w:w="1700" w:type="dxa"/>
            <w:tcBorders>
              <w:top w:val="nil"/>
              <w:left w:val="nil"/>
              <w:bottom w:val="nil"/>
              <w:right w:val="nil"/>
            </w:tcBorders>
            <w:vAlign w:val="center"/>
          </w:tcPr>
          <w:p w14:paraId="34195E43">
            <w:pPr>
              <w:spacing w:before="20" w:after="20" w:line="240" w:lineRule="auto"/>
              <w:jc w:val="left"/>
              <w:rPr>
                <w:rFonts w:hint="eastAsia"/>
              </w:rPr>
            </w:pPr>
            <w:r>
              <w:rPr>
                <w:rFonts w:ascii="Times New Roman" w:hAnsi="Times New Roman" w:eastAsia="宋体" w:cs="Times New Roman"/>
                <w:sz w:val="18"/>
                <w:szCs w:val="18"/>
              </w:rPr>
              <w:t xml:space="preserve">中并发混合业务</w:t>
            </w:r>
          </w:p>
        </w:tc>
        <w:tc>
          <w:tcPr>
            <w:tcW w:w="1000" w:type="dxa"/>
            <w:tcBorders>
              <w:top w:val="nil"/>
              <w:left w:val="nil"/>
              <w:bottom w:val="nil"/>
              <w:right w:val="nil"/>
            </w:tcBorders>
            <w:vAlign w:val="center"/>
          </w:tcPr>
          <w:p w14:paraId="4C41FAF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50</w:t>
            </w:r>
          </w:p>
        </w:tc>
        <w:tc>
          <w:tcPr>
            <w:tcW w:w="1100" w:type="dxa"/>
            <w:tcBorders>
              <w:top w:val="nil"/>
              <w:left w:val="nil"/>
              <w:bottom w:val="nil"/>
              <w:right w:val="nil"/>
            </w:tcBorders>
            <w:vAlign w:val="center"/>
          </w:tcPr>
          <w:p w14:paraId="1A45D2A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140</w:t>
            </w:r>
          </w:p>
        </w:tc>
        <w:tc>
          <w:tcPr>
            <w:tcW w:w="1100" w:type="dxa"/>
            <w:tcBorders>
              <w:top w:val="nil"/>
              <w:left w:val="nil"/>
              <w:bottom w:val="nil"/>
              <w:right w:val="nil"/>
            </w:tcBorders>
            <w:vAlign w:val="center"/>
          </w:tcPr>
          <w:p w14:paraId="59D1C55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220</w:t>
            </w:r>
          </w:p>
        </w:tc>
        <w:tc>
          <w:tcPr>
            <w:tcW w:w="13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322</w:t>
            </w:r>
          </w:p>
        </w:tc>
        <w:tc>
          <w:tcPr>
            <w:tcW w:w="10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0</w:t>
            </w:r>
          </w:p>
        </w:tc>
        <w:tc>
          <w:tcPr>
            <w:tcW w:w="1106"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46</w:t>
            </w:r>
          </w:p>
        </w:tc>
      </w:tr>
      <w:tr>
        <w:trPr>
          <w:cantSplit w:val="1"/>
          <w:jc w:val="center"/>
        </w:trPr>
        <w:tc>
          <w:tcPr>
            <w:tcW w:w="1700" w:type="dxa"/>
            <w:tcBorders>
              <w:top w:val="nil"/>
              <w:left w:val="nil"/>
              <w:bottom w:val="nil"/>
              <w:right w:val="nil"/>
            </w:tcBorders>
            <w:vAlign w:val="center"/>
          </w:tcPr>
          <w:p w14:paraId="34195E43">
            <w:pPr>
              <w:spacing w:before="20" w:after="20" w:line="240" w:lineRule="auto"/>
              <w:jc w:val="left"/>
              <w:rPr>
                <w:rFonts w:hint="eastAsia"/>
              </w:rPr>
            </w:pPr>
            <w:r>
              <w:rPr>
                <w:rFonts w:ascii="Times New Roman" w:hAnsi="Times New Roman" w:eastAsia="宋体" w:cs="Times New Roman"/>
                <w:sz w:val="18"/>
                <w:szCs w:val="18"/>
              </w:rPr>
              <w:t xml:space="preserve">高并发查询</w:t>
            </w:r>
          </w:p>
        </w:tc>
        <w:tc>
          <w:tcPr>
            <w:tcW w:w="1000" w:type="dxa"/>
            <w:tcBorders>
              <w:top w:val="nil"/>
              <w:left w:val="nil"/>
              <w:bottom w:val="nil"/>
              <w:right w:val="nil"/>
            </w:tcBorders>
            <w:vAlign w:val="center"/>
          </w:tcPr>
          <w:p w14:paraId="4C41FAF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100</w:t>
            </w:r>
          </w:p>
        </w:tc>
        <w:tc>
          <w:tcPr>
            <w:tcW w:w="1100" w:type="dxa"/>
            <w:tcBorders>
              <w:top w:val="nil"/>
              <w:left w:val="nil"/>
              <w:bottom w:val="nil"/>
              <w:right w:val="nil"/>
            </w:tcBorders>
            <w:vAlign w:val="center"/>
          </w:tcPr>
          <w:p w14:paraId="1A45D2A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255</w:t>
            </w:r>
          </w:p>
        </w:tc>
        <w:tc>
          <w:tcPr>
            <w:tcW w:w="1100" w:type="dxa"/>
            <w:tcBorders>
              <w:top w:val="nil"/>
              <w:left w:val="nil"/>
              <w:bottom w:val="nil"/>
              <w:right w:val="nil"/>
            </w:tcBorders>
            <w:vAlign w:val="center"/>
          </w:tcPr>
          <w:p w14:paraId="59D1C55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420</w:t>
            </w:r>
          </w:p>
        </w:tc>
        <w:tc>
          <w:tcPr>
            <w:tcW w:w="13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386</w:t>
            </w:r>
          </w:p>
        </w:tc>
        <w:tc>
          <w:tcPr>
            <w:tcW w:w="10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0.2</w:t>
            </w:r>
          </w:p>
        </w:tc>
        <w:tc>
          <w:tcPr>
            <w:tcW w:w="1106"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78</w:t>
            </w:r>
          </w:p>
        </w:tc>
      </w:tr>
      <w:tr>
        <w:trPr>
          <w:cantSplit w:val="1"/>
          <w:jc w:val="center"/>
        </w:trPr>
        <w:tc>
          <w:tcPr>
            <w:tcW w:w="1700" w:type="dxa"/>
            <w:tcBorders>
              <w:top w:val="nil"/>
              <w:left w:val="nil"/>
              <w:bottom w:val="nil"/>
              <w:right w:val="nil"/>
            </w:tcBorders>
            <w:vAlign w:val="center"/>
          </w:tcPr>
          <w:p w14:paraId="34195E43">
            <w:pPr>
              <w:spacing w:before="20" w:after="20" w:line="240" w:lineRule="auto"/>
              <w:jc w:val="left"/>
              <w:rPr>
                <w:rFonts w:hint="eastAsia"/>
              </w:rPr>
            </w:pPr>
            <w:r>
              <w:rPr>
                <w:rFonts w:ascii="Times New Roman" w:hAnsi="Times New Roman" w:eastAsia="宋体" w:cs="Times New Roman"/>
                <w:sz w:val="18"/>
                <w:szCs w:val="18"/>
              </w:rPr>
              <w:t xml:space="preserve">峰值并发</w:t>
            </w:r>
          </w:p>
        </w:tc>
        <w:tc>
          <w:tcPr>
            <w:tcW w:w="1000" w:type="dxa"/>
            <w:tcBorders>
              <w:top w:val="nil"/>
              <w:left w:val="nil"/>
              <w:bottom w:val="nil"/>
              <w:right w:val="nil"/>
            </w:tcBorders>
            <w:vAlign w:val="center"/>
          </w:tcPr>
          <w:p w14:paraId="4C41FAF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200</w:t>
            </w:r>
          </w:p>
        </w:tc>
        <w:tc>
          <w:tcPr>
            <w:tcW w:w="1100" w:type="dxa"/>
            <w:tcBorders>
              <w:top w:val="nil"/>
              <w:left w:val="nil"/>
              <w:bottom w:val="nil"/>
              <w:right w:val="nil"/>
            </w:tcBorders>
            <w:vAlign w:val="center"/>
          </w:tcPr>
          <w:p w14:paraId="1A45D2A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520</w:t>
            </w:r>
          </w:p>
        </w:tc>
        <w:tc>
          <w:tcPr>
            <w:tcW w:w="1100" w:type="dxa"/>
            <w:tcBorders>
              <w:top w:val="nil"/>
              <w:left w:val="nil"/>
              <w:bottom w:val="nil"/>
              <w:right w:val="nil"/>
            </w:tcBorders>
            <w:vAlign w:val="center"/>
          </w:tcPr>
          <w:p w14:paraId="59D1C55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850</w:t>
            </w:r>
          </w:p>
        </w:tc>
        <w:tc>
          <w:tcPr>
            <w:tcW w:w="13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408</w:t>
            </w:r>
          </w:p>
        </w:tc>
        <w:tc>
          <w:tcPr>
            <w:tcW w:w="10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1.5</w:t>
            </w:r>
          </w:p>
        </w:tc>
        <w:tc>
          <w:tcPr>
            <w:tcW w:w="1106"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88</w:t>
            </w:r>
          </w:p>
        </w:tc>
      </w:tr>
      <w:tr>
        <w:trPr>
          <w:cantSplit w:val="1"/>
          <w:jc w:val="center"/>
        </w:trPr>
        <w:tc>
          <w:tcPr>
            <w:tcW w:w="1700" w:type="dxa"/>
            <w:tcBorders>
              <w:top w:val="nil"/>
              <w:left w:val="nil"/>
              <w:bottom w:val="nil"/>
              <w:right w:val="nil"/>
            </w:tcBorders>
            <w:vAlign w:val="center"/>
          </w:tcPr>
          <w:p w14:paraId="34195E43">
            <w:pPr>
              <w:spacing w:before="20" w:after="20" w:line="240" w:lineRule="auto"/>
              <w:jc w:val="left"/>
              <w:rPr>
                <w:rFonts w:hint="eastAsia"/>
              </w:rPr>
            </w:pPr>
            <w:r>
              <w:rPr>
                <w:rFonts w:ascii="Times New Roman" w:hAnsi="Times New Roman" w:eastAsia="宋体" w:cs="Times New Roman"/>
                <w:sz w:val="18"/>
                <w:szCs w:val="18"/>
              </w:rPr>
              <w:t xml:space="preserve">排名 PDF 导出</w:t>
            </w:r>
          </w:p>
        </w:tc>
        <w:tc>
          <w:tcPr>
            <w:tcW w:w="1000" w:type="dxa"/>
            <w:tcBorders>
              <w:top w:val="nil"/>
              <w:left w:val="nil"/>
              <w:bottom w:val="nil"/>
              <w:right w:val="nil"/>
            </w:tcBorders>
            <w:vAlign w:val="center"/>
          </w:tcPr>
          <w:p w14:paraId="4C41FAF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w:t>
            </w:r>
          </w:p>
        </w:tc>
        <w:tc>
          <w:tcPr>
            <w:tcW w:w="1100" w:type="dxa"/>
            <w:tcBorders>
              <w:top w:val="nil"/>
              <w:left w:val="nil"/>
              <w:bottom w:val="nil"/>
              <w:right w:val="nil"/>
            </w:tcBorders>
            <w:vAlign w:val="center"/>
          </w:tcPr>
          <w:p w14:paraId="1A45D2A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1480</w:t>
            </w:r>
          </w:p>
        </w:tc>
        <w:tc>
          <w:tcPr>
            <w:tcW w:w="1100" w:type="dxa"/>
            <w:tcBorders>
              <w:top w:val="nil"/>
              <w:left w:val="nil"/>
              <w:bottom w:val="nil"/>
              <w:right w:val="nil"/>
            </w:tcBorders>
            <w:vAlign w:val="center"/>
          </w:tcPr>
          <w:p w14:paraId="59D1C55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2100</w:t>
            </w:r>
          </w:p>
        </w:tc>
        <w:tc>
          <w:tcPr>
            <w:tcW w:w="13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0.68</w:t>
            </w:r>
          </w:p>
        </w:tc>
        <w:tc>
          <w:tcPr>
            <w:tcW w:w="1000"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0</w:t>
            </w:r>
          </w:p>
        </w:tc>
        <w:tc>
          <w:tcPr>
            <w:tcW w:w="1106" w:type="dxa"/>
            <w:tcBorders>
              <w:top w:val="nil"/>
              <w:left w:val="nil"/>
              <w:bottom w:val="nil"/>
              <w:right w:val="nil"/>
            </w:tcBorders>
            <w:vAlign w:val="center"/>
          </w:tcPr>
          <w:p w14:paraId="5F8C5858">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12</w:t>
            </w:r>
          </w:p>
        </w:tc>
      </w:tr>
      <w:tr>
        <w:trPr>
          <w:cantSplit w:val="1"/>
          <w:jc w:val="center"/>
        </w:trPr>
        <w:tc>
          <w:tcPr>
            <w:tcW w:w="1700" w:type="dxa"/>
            <w:tcBorders>
              <w:top w:val="nil"/>
              <w:left w:val="nil"/>
              <w:bottom w:val="single" w:color="auto" w:sz="12" w:space="0"/>
              <w:right w:val="nil"/>
            </w:tcBorders>
            <w:vAlign w:val="center"/>
          </w:tcPr>
          <w:p w14:paraId="71BBC733">
            <w:pPr>
              <w:spacing w:before="20" w:after="20" w:line="240" w:lineRule="auto"/>
              <w:jc w:val="left"/>
              <w:rPr>
                <w:rFonts w:hint="eastAsia"/>
              </w:rPr>
            </w:pPr>
            <w:r>
              <w:rPr>
                <w:rFonts w:ascii="Times New Roman" w:hAnsi="Times New Roman" w:eastAsia="宋体" w:cs="Times New Roman"/>
                <w:sz w:val="18"/>
                <w:szCs w:val="18"/>
              </w:rPr>
              <w:t xml:space="preserve">疲劳测试(30 min)</w:t>
            </w:r>
          </w:p>
        </w:tc>
        <w:tc>
          <w:tcPr>
            <w:tcW w:w="1000" w:type="dxa"/>
            <w:tcBorders>
              <w:top w:val="nil"/>
              <w:left w:val="nil"/>
              <w:bottom w:val="single" w:color="auto" w:sz="12" w:space="0"/>
              <w:right w:val="nil"/>
            </w:tcBorders>
            <w:vAlign w:val="center"/>
          </w:tcPr>
          <w:p w14:paraId="4BD5DB3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50</w:t>
            </w:r>
          </w:p>
        </w:tc>
        <w:tc>
          <w:tcPr>
            <w:tcW w:w="1100" w:type="dxa"/>
            <w:tcBorders>
              <w:top w:val="nil"/>
              <w:left w:val="nil"/>
              <w:bottom w:val="single" w:color="auto" w:sz="12" w:space="0"/>
              <w:right w:val="nil"/>
            </w:tcBorders>
            <w:vAlign w:val="center"/>
          </w:tcPr>
          <w:p w14:paraId="66470E1D">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152</w:t>
            </w:r>
          </w:p>
        </w:tc>
        <w:tc>
          <w:tcPr>
            <w:tcW w:w="1100" w:type="dxa"/>
            <w:tcBorders>
              <w:top w:val="nil"/>
              <w:left w:val="nil"/>
              <w:bottom w:val="single" w:color="auto" w:sz="12" w:space="0"/>
              <w:right w:val="nil"/>
            </w:tcBorders>
            <w:vAlign w:val="center"/>
          </w:tcPr>
          <w:p w14:paraId="365E949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240</w:t>
            </w:r>
          </w:p>
        </w:tc>
        <w:tc>
          <w:tcPr>
            <w:tcW w:w="1300" w:type="dxa"/>
            <w:tcBorders>
              <w:top w:val="nil"/>
              <w:left w:val="nil"/>
              <w:bottom w:val="single" w:color="auto" w:sz="12" w:space="0"/>
              <w:right w:val="nil"/>
            </w:tcBorders>
            <w:vAlign w:val="center"/>
          </w:tcPr>
          <w:p w14:paraId="6577107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315</w:t>
            </w:r>
          </w:p>
        </w:tc>
        <w:tc>
          <w:tcPr>
            <w:tcW w:w="1000" w:type="dxa"/>
            <w:tcBorders>
              <w:top w:val="nil"/>
              <w:left w:val="nil"/>
              <w:bottom w:val="single" w:color="auto" w:sz="12" w:space="0"/>
              <w:right w:val="nil"/>
            </w:tcBorders>
            <w:vAlign w:val="center"/>
          </w:tcPr>
          <w:p w14:paraId="6577107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0</w:t>
            </w:r>
          </w:p>
        </w:tc>
        <w:tc>
          <w:tcPr>
            <w:tcW w:w="1106" w:type="dxa"/>
            <w:tcBorders>
              <w:top w:val="nil"/>
              <w:left w:val="nil"/>
              <w:bottom w:val="single" w:color="auto" w:sz="12" w:space="0"/>
              <w:right w:val="nil"/>
            </w:tcBorders>
            <w:vAlign w:val="center"/>
          </w:tcPr>
          <w:p w14:paraId="65771076">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 xml:space="preserve">47</w:t>
            </w:r>
          </w:p>
        </w:tc>
      </w:tr>
    </w:tbl>
    <w:p w14:paraId="02D6FA19">
      <w:pPr>
        <w:spacing w:before="18" w:beforeLines="6" w:after="0" w:line="300" w:lineRule="exact"/>
        <w:ind w:firstLine="420" w:firstLineChars="200"/>
        <w:jc w:val="both"/>
        <w:rPr>
          <w:rFonts w:hint="eastAsia"/>
          <w:lang w:eastAsia="zh-CN"/>
        </w:rPr>
      </w:pPr>
      <w:bookmarkStart w:id="3" w:name="OLE_LINK16"/>
      <w:r>
        <w:rPr>
          <w:rFonts w:hint="eastAsia" w:ascii="Times New Roman" w:hAnsi="Times New Roman" w:eastAsia="宋体" w:cs="Times New Roman"/>
          <w:sz w:val="21"/>
          <w:szCs w:val="21"/>
          <w:lang w:eastAsia="zh-CN"/>
        </w:rPr>
        <w:t xml:space="preserve">注: 导出场景的吞吐量单位为次·s⁻¹, 其余场景为请求·s⁻¹.</w:t>
      </w:r>
    </w:p>
    <w:p w14:paraId="02D6FA19">
      <w:pPr>
        <w:spacing w:before="18" w:beforeLines="6" w:after="0" w:line="300" w:lineRule="exact"/>
        <w:ind w:firstLine="420" w:firstLineChars="200"/>
        <w:jc w:val="both"/>
        <w:rPr>
          <w:rFonts w:hint="eastAsia"/>
          <w:lang w:eastAsia="zh-CN"/>
        </w:rPr>
      </w:pPr>
      <w:bookmarkStart w:id="9001" w:name="OLE_LINK16"/>
      <w:r>
        <w:rPr>
          <w:rFonts w:hint="eastAsia" w:ascii="Times New Roman" w:hAnsi="Times New Roman" w:eastAsia="宋体" w:cs="Times New Roman"/>
          <w:sz w:val="21"/>
          <w:szCs w:val="21"/>
          <w:lang w:eastAsia="zh-CN"/>
        </w:rPr>
        <w:t xml:space="preserve">由表3可见, 50 并发下平均响应 140 ms、错误率为 0; 并发升至 200 时平均响应 520 ms、错误率 1.5%、CPU 占用 88%, 系统达到容量上限. 按 270 人的机构规模估算, 活跃时段的并发量约为 27, 申报截止日约为 54, 200 并发已相当于日常峰值的 7 倍, 系统在该压力下仍能提供服务. 30 min 疲劳测试的平均响应 152 ms 与 50 并发基准场景基本持平, 未观察到性能衰减.</w:t>
      </w:r>
    </w:p>
    <w:p w14:paraId="02D6FA19">
      <w:pPr>
        <w:spacing w:before="18" w:beforeLines="6" w:after="0" w:line="300" w:lineRule="exact"/>
        <w:ind w:firstLine="420" w:firstLineChars="200"/>
        <w:jc w:val="both"/>
        <w:rPr>
          <w:rFonts w:hint="eastAsia"/>
          <w:lang w:eastAsia="zh-CN"/>
        </w:rPr>
      </w:pPr>
      <w:bookmarkStart w:id="9002" w:name="OLE_LINK16"/>
      <w:r>
        <w:rPr>
          <w:rFonts w:hint="eastAsia" w:ascii="Times New Roman" w:hAnsi="Times New Roman" w:eastAsia="宋体" w:cs="Times New Roman"/>
          <w:sz w:val="21"/>
          <w:szCs w:val="21"/>
          <w:lang w:eastAsia="zh-CN"/>
        </w:rPr>
        <w:t xml:space="preserve">为评价标签准确性, 从 270 名科研人员中随机抽取 90 名, 由 3 名专家依据其近三年科研档案独立标注, 以三人一致的结果为金标准与系统输出比对. 系统共生成 32 个动态能力标签, 准确率 88.0%、召回率 84.1%、</w:t>
      </w:r>
      <w:r>
        <w:rPr>
          <w:rFonts w:hint="eastAsia" w:ascii="Times New Roman" w:hAnsi="Times New Roman" w:eastAsia="宋体" w:cs="Times New Roman"/>
          <w:i/>
          <w:sz w:val="21"/>
          <w:szCs w:val="21"/>
          <w:lang w:eastAsia="zh-CN"/>
        </w:rPr>
        <w:t xml:space="preserve">F</w:t>
      </w:r>
      <w:r>
        <w:rPr>
          <w:rFonts w:hint="eastAsia" w:ascii="Times New Roman" w:hAnsi="Times New Roman" w:eastAsia="宋体" w:cs="Times New Roman"/>
          <w:sz w:val="21"/>
          <w:szCs w:val="21"/>
          <w:lang w:eastAsia="zh-CN"/>
        </w:rPr>
        <w:t xml:space="preserve">1 值 0.86, 专家标注 Kappa 系数 0.81. 上线前后各 3 个月的应用效果对比如表4所示.</w:t>
      </w:r>
    </w:p>
    <w:p w14:paraId="0C4537F9">
      <w:pPr>
        <w:keepNext w:val="1"/>
        <w:keepLines w:val="1"/>
        <w:spacing w:before="37" w:beforeLines="12" w:after="18" w:afterLines="6"/>
        <w:jc w:val="center"/>
        <w:rPr>
          <w:rFonts w:hint="eastAsia"/>
          <w:lang w:eastAsia="zh-CN"/>
        </w:rPr>
      </w:pPr>
      <w:bookmarkEnd w:id="3"/>
      <w:r>
        <w:rPr>
          <w:rFonts w:hint="eastAsia" w:ascii="Times New Roman" w:hAnsi="Times New Roman" w:eastAsia="黑体" w:cs="Times New Roman"/>
          <w:sz w:val="18"/>
          <w:szCs w:val="18"/>
          <w:lang w:eastAsia="zh-CN"/>
        </w:rPr>
        <w:t>表4  系统上线前后应用效果对比</w:t>
      </w:r>
    </w:p>
    <w:tbl>
      <w:tblPr>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64" w:type="dxa"/>
          <w:bottom w:w="28" w:type="dxa"/>
          <w:right w:w="64" w:type="dxa"/>
        </w:tblCellMar>
        <w:tblLook w:firstRow="1" w:lastRow="0" w:firstColumn="1" w:lastColumn="0" w:noHBand="0" w:noVBand="1" w:val="04A0"/>
      </w:tblPr>
      <w:tblGrid>
        <w:gridCol w:w="2046"/>
        <w:gridCol w:w="1540"/>
        <w:gridCol w:w="1740"/>
        <w:gridCol w:w="1540"/>
        <w:gridCol w:w="1440"/>
      </w:tblGrid>
      <w:tr>
        <w:trPr>
          <w:cantSplit w:val="1"/>
          <w:tblHeader w:val="1"/>
          <w:jc w:val="center"/>
        </w:trPr>
        <w:tc>
          <w:tcPr>
            <w:tcW w:w="2046" w:type="dxa"/>
            <w:tcBorders>
              <w:top w:val="single" w:color="auto" w:sz="12" w:space="0"/>
              <w:left w:val="nil"/>
              <w:bottom w:val="single" w:color="auto" w:sz="6" w:space="0"/>
              <w:right w:val="nil"/>
            </w:tcBorders>
            <w:vAlign w:val="center"/>
          </w:tcPr>
          <w:p w14:paraId="56810959">
            <w:pPr>
              <w:spacing w:before="20" w:after="20" w:line="240" w:lineRule="auto"/>
              <w:jc w:val="center"/>
              <w:rPr>
                <w:rFonts w:hint="eastAsia"/>
              </w:rPr>
            </w:pPr>
            <w:r>
              <w:rPr>
                <w:rFonts w:hint="eastAsia" w:ascii="Times New Roman" w:hAnsi="Times New Roman" w:eastAsia="宋体" w:cs="Times New Roman"/>
                <w:b w:val="1"/>
                <w:bCs w:val="1"/>
                <w:sz w:val="18"/>
                <w:szCs w:val="18"/>
              </w:rPr>
              <w:t>指标</w:t>
            </w:r>
          </w:p>
        </w:tc>
        <w:tc>
          <w:tcPr>
            <w:tcW w:w="1540" w:type="dxa"/>
            <w:tcBorders>
              <w:top w:val="single" w:color="auto" w:sz="12" w:space="0"/>
              <w:left w:val="nil"/>
              <w:bottom w:val="single" w:color="auto" w:sz="6" w:space="0"/>
              <w:right w:val="nil"/>
            </w:tcBorders>
            <w:vAlign w:val="center"/>
          </w:tcPr>
          <w:p w14:paraId="2F508D84">
            <w:pPr>
              <w:spacing w:before="20" w:after="20" w:line="240" w:lineRule="auto"/>
              <w:jc w:val="center"/>
              <w:rPr>
                <w:rFonts w:hint="eastAsia"/>
              </w:rPr>
            </w:pPr>
            <w:r>
              <w:rPr>
                <w:rFonts w:hint="eastAsia" w:ascii="Times New Roman" w:hAnsi="Times New Roman" w:eastAsia="宋体" w:cs="Times New Roman"/>
                <w:b w:val="1"/>
                <w:bCs w:val="1"/>
                <w:sz w:val="18"/>
                <w:szCs w:val="18"/>
              </w:rPr>
              <w:t>申报单量 / 件</w:t>
            </w:r>
          </w:p>
        </w:tc>
        <w:tc>
          <w:tcPr>
            <w:tcW w:w="1740" w:type="dxa"/>
            <w:tcBorders>
              <w:top w:val="single" w:color="auto" w:sz="12" w:space="0"/>
              <w:left w:val="nil"/>
              <w:bottom w:val="single" w:color="auto" w:sz="6" w:space="0"/>
              <w:right w:val="nil"/>
            </w:tcBorders>
            <w:vAlign w:val="center"/>
          </w:tcPr>
          <w:p w14:paraId="4051C49D">
            <w:pPr>
              <w:spacing w:before="20" w:after="20" w:line="240" w:lineRule="auto"/>
              <w:jc w:val="center"/>
              <w:rPr>
                <w:rFonts w:hint="eastAsia"/>
              </w:rPr>
            </w:pPr>
            <w:r>
              <w:rPr>
                <w:rFonts w:hint="eastAsia" w:ascii="Times New Roman" w:hAnsi="Times New Roman" w:eastAsia="宋体" w:cs="Times New Roman"/>
                <w:b w:val="1"/>
                <w:bCs w:val="1"/>
                <w:sz w:val="18"/>
                <w:szCs w:val="18"/>
              </w:rPr>
              <w:t>平均审核周期 / d</w:t>
            </w:r>
          </w:p>
        </w:tc>
        <w:tc>
          <w:tcPr>
            <w:tcW w:w="1540" w:type="dxa"/>
            <w:tcBorders>
              <w:top w:val="single" w:color="auto" w:sz="12" w:space="0"/>
              <w:left w:val="nil"/>
              <w:bottom w:val="single" w:color="auto" w:sz="6" w:space="0"/>
              <w:right w:val="nil"/>
            </w:tcBorders>
            <w:vAlign w:val="center"/>
          </w:tcPr>
          <w:p w14:paraId="1BF095B3">
            <w:pPr>
              <w:spacing w:before="20" w:after="20" w:line="240" w:lineRule="auto"/>
              <w:jc w:val="center"/>
              <w:rPr>
                <w:rFonts w:hint="eastAsia"/>
              </w:rPr>
            </w:pPr>
            <w:r>
              <w:rPr>
                <w:rFonts w:hint="eastAsia" w:ascii="Times New Roman" w:hAnsi="Times New Roman" w:eastAsia="宋体" w:cs="Times New Roman"/>
                <w:b w:val="1"/>
                <w:bCs w:val="1"/>
                <w:sz w:val="18"/>
                <w:szCs w:val="18"/>
              </w:rPr>
              <w:t>超时未办结 / 件</w:t>
            </w:r>
          </w:p>
        </w:tc>
        <w:tc>
          <w:tcPr>
            <w:tcW w:w="1440" w:type="dxa"/>
            <w:tcBorders>
              <w:top w:val="single" w:color="auto" w:sz="12" w:space="0"/>
              <w:left w:val="nil"/>
              <w:bottom w:val="single" w:color="auto" w:sz="6" w:space="0"/>
              <w:right w:val="nil"/>
            </w:tcBorders>
            <w:vAlign w:val="center"/>
          </w:tcPr>
          <w:p w14:paraId="77ABC59F">
            <w:pPr>
              <w:spacing w:before="20" w:after="20" w:line="240" w:lineRule="auto"/>
              <w:jc w:val="center"/>
              <w:rPr>
                <w:rFonts w:hint="eastAsia"/>
              </w:rPr>
            </w:pPr>
            <w:r>
              <w:rPr>
                <w:rFonts w:hint="eastAsia" w:ascii="Times New Roman" w:hAnsi="Times New Roman" w:eastAsia="宋体" w:cs="Times New Roman"/>
                <w:b w:val="1"/>
                <w:bCs w:val="1"/>
                <w:sz w:val="18"/>
                <w:szCs w:val="18"/>
              </w:rPr>
              <w:t>核算差错率 / %</w:t>
            </w:r>
          </w:p>
        </w:tc>
      </w:tr>
      <w:tr>
        <w:trPr>
          <w:cantSplit w:val="1"/>
          <w:jc w:val="center"/>
        </w:trPr>
        <w:tc>
          <w:tcPr>
            <w:tcW w:w="2046" w:type="dxa"/>
            <w:tcBorders>
              <w:top w:val="nil"/>
              <w:left w:val="nil"/>
              <w:bottom w:val="nil"/>
              <w:right w:val="nil"/>
            </w:tcBorders>
            <w:vAlign w:val="center"/>
          </w:tcPr>
          <w:p w14:paraId="108D3AA3">
            <w:pPr>
              <w:spacing w:before="20" w:after="20" w:line="240" w:lineRule="auto"/>
              <w:jc w:val="center"/>
              <w:rPr>
                <w:rFonts w:hint="eastAsia"/>
              </w:rPr>
            </w:pPr>
            <w:r>
              <w:rPr>
                <w:rFonts w:hint="eastAsia" w:ascii="Times New Roman" w:hAnsi="Times New Roman" w:eastAsia="宋体" w:cs="Times New Roman"/>
                <w:sz w:val="18"/>
                <w:szCs w:val="18"/>
              </w:rPr>
              <w:t>上线前(线下)</w:t>
            </w:r>
          </w:p>
        </w:tc>
        <w:tc>
          <w:tcPr>
            <w:tcW w:w="1540" w:type="dxa"/>
            <w:tcBorders>
              <w:top w:val="nil"/>
              <w:left w:val="nil"/>
              <w:bottom w:val="nil"/>
              <w:right w:val="nil"/>
            </w:tcBorders>
            <w:vAlign w:val="center"/>
          </w:tcPr>
          <w:p w14:paraId="150F285A">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192</w:t>
            </w:r>
          </w:p>
        </w:tc>
        <w:tc>
          <w:tcPr>
            <w:tcW w:w="1740" w:type="dxa"/>
            <w:tcBorders>
              <w:top w:val="nil"/>
              <w:left w:val="nil"/>
              <w:bottom w:val="nil"/>
              <w:right w:val="nil"/>
            </w:tcBorders>
            <w:vAlign w:val="center"/>
          </w:tcPr>
          <w:p w14:paraId="018BD3D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7</w:t>
            </w:r>
          </w:p>
        </w:tc>
        <w:tc>
          <w:tcPr>
            <w:tcW w:w="1540" w:type="dxa"/>
            <w:tcBorders>
              <w:top w:val="nil"/>
              <w:left w:val="nil"/>
              <w:bottom w:val="nil"/>
              <w:right w:val="nil"/>
            </w:tcBorders>
            <w:vAlign w:val="center"/>
          </w:tcPr>
          <w:p w14:paraId="6C49F1EF">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23</w:t>
            </w:r>
          </w:p>
        </w:tc>
        <w:tc>
          <w:tcPr>
            <w:tcW w:w="1440" w:type="dxa"/>
            <w:tcBorders>
              <w:top w:val="nil"/>
              <w:left w:val="nil"/>
              <w:bottom w:val="nil"/>
              <w:right w:val="nil"/>
            </w:tcBorders>
            <w:vAlign w:val="center"/>
          </w:tcPr>
          <w:p w14:paraId="6BD3451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3.54</w:t>
            </w:r>
          </w:p>
        </w:tc>
      </w:tr>
      <w:tr>
        <w:trPr>
          <w:cantSplit w:val="1"/>
          <w:jc w:val="center"/>
        </w:trPr>
        <w:tc>
          <w:tcPr>
            <w:tcW w:w="2046" w:type="dxa"/>
            <w:tcBorders>
              <w:top w:val="nil"/>
              <w:left w:val="nil"/>
              <w:bottom w:val="single" w:color="auto" w:sz="12" w:space="0"/>
              <w:right w:val="nil"/>
            </w:tcBorders>
            <w:vAlign w:val="center"/>
          </w:tcPr>
          <w:p w14:paraId="72A2C93F">
            <w:pPr>
              <w:spacing w:before="20" w:after="20" w:line="240" w:lineRule="auto"/>
              <w:jc w:val="center"/>
              <w:rPr>
                <w:rFonts w:hint="eastAsia"/>
              </w:rPr>
            </w:pPr>
            <w:r>
              <w:rPr>
                <w:rFonts w:hint="eastAsia" w:ascii="Times New Roman" w:hAnsi="Times New Roman" w:eastAsia="宋体" w:cs="Times New Roman"/>
                <w:sz w:val="18"/>
                <w:szCs w:val="18"/>
              </w:rPr>
              <w:t>上线后(系统)</w:t>
            </w:r>
          </w:p>
        </w:tc>
        <w:tc>
          <w:tcPr>
            <w:tcW w:w="1540" w:type="dxa"/>
            <w:tcBorders>
              <w:top w:val="nil"/>
              <w:left w:val="nil"/>
              <w:bottom w:val="single" w:color="auto" w:sz="12" w:space="0"/>
              <w:right w:val="nil"/>
            </w:tcBorders>
            <w:vAlign w:val="center"/>
          </w:tcPr>
          <w:p w14:paraId="6A0F66A7">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1420</w:t>
            </w:r>
          </w:p>
        </w:tc>
        <w:tc>
          <w:tcPr>
            <w:tcW w:w="1740" w:type="dxa"/>
            <w:tcBorders>
              <w:top w:val="nil"/>
              <w:left w:val="nil"/>
              <w:bottom w:val="single" w:color="auto" w:sz="12" w:space="0"/>
              <w:right w:val="nil"/>
            </w:tcBorders>
            <w:vAlign w:val="center"/>
          </w:tcPr>
          <w:p w14:paraId="6BE1FCBE">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2</w:t>
            </w:r>
          </w:p>
        </w:tc>
        <w:tc>
          <w:tcPr>
            <w:tcW w:w="1540" w:type="dxa"/>
            <w:tcBorders>
              <w:top w:val="nil"/>
              <w:left w:val="nil"/>
              <w:bottom w:val="single" w:color="auto" w:sz="12" w:space="0"/>
              <w:right w:val="nil"/>
            </w:tcBorders>
            <w:vAlign w:val="center"/>
          </w:tcPr>
          <w:p w14:paraId="57A9EA53">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2</w:t>
            </w:r>
          </w:p>
        </w:tc>
        <w:tc>
          <w:tcPr>
            <w:tcW w:w="1440" w:type="dxa"/>
            <w:tcBorders>
              <w:top w:val="nil"/>
              <w:left w:val="nil"/>
              <w:bottom w:val="single" w:color="auto" w:sz="12" w:space="0"/>
              <w:right w:val="nil"/>
            </w:tcBorders>
            <w:vAlign w:val="center"/>
          </w:tcPr>
          <w:p w14:paraId="2C8F622C">
            <w:pPr>
              <w:spacing w:before="20" w:after="20" w:line="240" w:lineRule="auto"/>
              <w:jc w:val="center"/>
              <w:rPr>
                <w:rFonts w:hint="eastAsia"/>
                <w:lang w:eastAsia="zh-CN"/>
              </w:rPr>
            </w:pPr>
            <w:r>
              <w:rPr>
                <w:rFonts w:hint="eastAsia" w:ascii="Times New Roman" w:hAnsi="Times New Roman" w:eastAsia="宋体" w:cs="Times New Roman"/>
                <w:sz w:val="18"/>
                <w:szCs w:val="18"/>
                <w:lang w:eastAsia="zh-CN"/>
              </w:rPr>
              <w:t>0.08</w:t>
            </w:r>
          </w:p>
        </w:tc>
      </w:tr>
    </w:tbl>
    <w:p w14:paraId="219D904A">
      <w:pPr>
        <w:spacing w:before="18" w:beforeLines="6" w:after="0" w:line="300" w:lineRule="exact"/>
        <w:ind w:firstLine="420" w:firstLineChars="200"/>
        <w:jc w:val="both"/>
        <w:rPr>
          <w:rFonts w:hint="eastAsia"/>
          <w:lang w:eastAsia="zh-CN"/>
        </w:rPr>
      </w:pPr>
      <w:bookmarkEnd w:id="1"/>
      <w:r>
        <w:rPr>
          <w:rFonts w:hint="eastAsia" w:ascii="Times New Roman" w:hAnsi="Times New Roman" w:eastAsia="宋体" w:cs="Times New Roman"/>
          <w:sz w:val="21"/>
          <w:szCs w:val="21"/>
          <w:lang w:eastAsia="zh-CN"/>
        </w:rPr>
        <w:t>由表4可见, 系统上线后申报与审核全流程线上化, 申报单量增至上线前的 7.4 倍, 平均审核周期由 7 d 降至 2 d, 科研人员参与度明显提升.</w:t>
      </w:r>
    </w:p>
    <w:p w14:paraId="34B53376">
      <w:pPr>
        <w:keepNext w:val="1"/>
        <w:keepLines w:val="1"/>
        <w:spacing w:before="156" w:beforeLines="50" w:after="93" w:afterLines="30" w:line="360" w:lineRule="auto"/>
        <w:outlineLvl w:val="0"/>
        <w:rPr>
          <w:rFonts w:hint="eastAsia"/>
          <w:lang w:eastAsia="zh-CN"/>
        </w:rPr>
      </w:pPr>
      <w:r>
        <w:rPr>
          <w:rFonts w:hint="eastAsia" w:ascii="Times New Roman" w:hAnsi="Times New Roman" w:eastAsia="黑体" w:cs="Times New Roman"/>
          <w:b w:val="1"/>
          <w:sz w:val="28"/>
          <w:szCs w:val="24"/>
          <w:lang w:eastAsia="zh-CN"/>
        </w:rPr>
        <w:t>5  结论与展望</w:t>
      </w:r>
    </w:p>
    <w:p w14:paraId="268418C6">
      <w:pPr>
        <w:spacing w:after="0" w:line="300" w:lineRule="exact"/>
        <w:ind w:firstLine="420" w:firstLineChars="200"/>
        <w:jc w:val="both"/>
        <w:rPr>
          <w:rFonts w:hint="eastAsia"/>
          <w:lang w:eastAsia="zh-CN"/>
        </w:rPr>
      </w:pPr>
      <w:r>
        <w:rPr>
          <w:rFonts w:hint="eastAsia" w:ascii="Times New Roman" w:hAnsi="Times New Roman" w:eastAsia="宋体" w:cs="Times New Roman"/>
          <w:sz w:val="21"/>
          <w:szCs w:val="21"/>
          <w:lang w:eastAsia="zh-CN"/>
        </w:rPr>
        <w:t xml:space="preserve">系统在南通市疾控中心运行 3 个月, 平均审核周期由 7 d 降至 2 d, 积分核算差错率由 3.54% 降至 0.08%, 动态能力标签与专家标注的 </w:t>
      </w:r>
      <w:r>
        <w:rPr>
          <w:rFonts w:hint="eastAsia" w:ascii="Times New Roman" w:hAnsi="Times New Roman" w:eastAsia="宋体" w:cs="Times New Roman"/>
          <w:i/>
          <w:sz w:val="21"/>
          <w:szCs w:val="21"/>
          <w:lang w:eastAsia="zh-CN"/>
        </w:rPr>
        <w:t xml:space="preserve">F</w:t>
      </w:r>
      <w:r>
        <w:rPr>
          <w:rFonts w:hint="eastAsia" w:ascii="Times New Roman" w:hAnsi="Times New Roman" w:eastAsia="宋体" w:cs="Times New Roman"/>
          <w:sz w:val="21"/>
          <w:szCs w:val="21"/>
          <w:lang w:eastAsia="zh-CN"/>
        </w:rPr>
        <w:t xml:space="preserve">1 值为 0.86. 把时间衰减放在行为积分层而不是能力得分层, 是让标签权重、能力维度得分与画像共用一条量纲一致通路的关键; 多作者分配采用名义分值制则是管理导向下的取舍, 其“挂名”代价由年度上限与职称评审口径两项制度约束承担, 而非由算法本身消化. 需要说明的是, 本系统度量的是科研活跃度而不是成果质量, 与同行评议互补而非替代; </w:t>
      </w:r>
      <w:r>
        <w:rPr>
          <w:rFonts w:hint="eastAsia" w:ascii="Times New Roman" w:hAnsi="Times New Roman" w:eastAsia="宋体" w:cs="Times New Roman"/>
          <w:i/>
          <w:sz w:val="21"/>
          <w:szCs w:val="21"/>
          <w:lang w:eastAsia="zh-CN"/>
        </w:rPr>
        <w:t xml:space="preserve">α</w:t>
      </w:r>
      <w:r>
        <w:rPr>
          <w:rFonts w:hint="eastAsia" w:ascii="Times New Roman" w:hAnsi="Times New Roman" w:eastAsia="宋体" w:cs="Times New Roman"/>
          <w:sz w:val="21"/>
          <w:szCs w:val="21"/>
          <w:lang w:eastAsia="zh-CN"/>
        </w:rPr>
        <w:t xml:space="preserve"> 与 </w:t>
      </w:r>
      <w:r>
        <w:rPr>
          <w:rFonts w:hint="eastAsia" w:ascii="Times New Roman" w:hAnsi="Times New Roman" w:eastAsia="宋体" w:cs="Times New Roman"/>
          <w:i/>
          <w:sz w:val="21"/>
          <w:szCs w:val="21"/>
          <w:lang w:eastAsia="zh-CN"/>
        </w:rPr>
        <w:t xml:space="preserve">λ</w:t>
      </w:r>
      <w:r>
        <w:rPr>
          <w:rFonts w:hint="eastAsia" w:ascii="Times New Roman" w:hAnsi="Times New Roman" w:eastAsia="宋体" w:cs="Times New Roman"/>
          <w:sz w:val="21"/>
          <w:szCs w:val="21"/>
          <w:lang w:eastAsia="zh-CN"/>
        </w:rPr>
        <w:t xml:space="preserve"> 目前取自经验值, 尚缺少敏感性分析的支撑. 后续将补齐这部分实验, 并与人事、财务等系统打通数据.</w:t>
      </w:r>
    </w:p>
    <w:p w14:paraId="34B734C7">
      <w:pPr>
        <w:spacing w:before="109" w:beforeLines="35" w:after="56" w:afterLines="18"/>
        <w:rPr>
          <w:rFonts w:hint="eastAsia"/>
          <w:lang w:eastAsia="zh-CN"/>
        </w:rPr>
      </w:pPr>
      <w:r>
        <w:rPr>
          <w:rFonts w:hint="eastAsia" w:ascii="Times New Roman" w:hAnsi="Times New Roman" w:eastAsia="黑体" w:cs="Times New Roman"/>
          <w:b w:val="1"/>
          <w:sz w:val="18"/>
          <w:szCs w:val="24"/>
          <w:lang w:eastAsia="zh-CN"/>
        </w:rPr>
        <w:t xml:space="preserve">参考文献</w:t>
      </w:r>
    </w:p>
    <w:p w14:paraId="73708FC1">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 李涛, 关健, 吴沛新. 卫生政策与管理研究领域科技评价体系的思考和建议. 中华医学科研管理杂志, 2023, 36(4): 259–265.</w:t>
      </w:r>
    </w:p>
    <w:p w14:paraId="4047DAAC">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2 黄钊, 袁元, 陶震寰, 等. 疾病预防控制数字化系统的设计与应用. 中国数字医学, 2025, 20(11): 8–13.</w:t>
      </w:r>
    </w:p>
    <w:p w14:paraId="1F9CC031">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3 李少琼, 杜雪杰, 金丽珠, 等. 基于德尔菲法构建全国省级疾控中心信息化建设评价指标. 中国数字医学, 2024, 19(10): 111–114.</w:t>
      </w:r>
    </w:p>
    <w:p w14:paraId="5B85EB1F">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4 杨思洛, 周展伊, 丁敏. “破五唯”导向下高校科研成果评价: 制度表征与变革路径. 知识管理论坛, 2025, 10(3): 218–231.</w:t>
      </w:r>
    </w:p>
    <w:p w14:paraId="18D35E28">
      <w:pPr>
        <w:spacing w:after="3" w:afterLines="1"/>
        <w:ind w:left="324" w:hanging="324"/>
        <w:jc w:val="both"/>
        <w:rPr>
          <w:rFonts w:hint="eastAsia"/>
          <w:lang w:eastAsia="zh-CN"/>
        </w:rPr>
      </w:pPr>
      <w:r>
        <w:rPr>
          <w:rFonts w:ascii="Times New Roman" w:hAnsi="Times New Roman" w:eastAsia="宋体" w:cs="Times New Roman"/>
          <w:sz w:val="18"/>
          <w:szCs w:val="18"/>
        </w:rPr>
        <w:t xml:space="preserve">5 Amaral P, Magalhães P. Performance-based funding and research productivity: A longitudinal analysis of European universities. Scientometrics, 2024, 129(3): 1587–1612.</w:t>
      </w:r>
    </w:p>
    <w:p w14:paraId="62BE607C">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6 沈杨阳. 国家科研管理机构组织颠覆性技术创新的实践路径. 中国科技论坛, 2026(5): 1–11.</w:t>
      </w:r>
    </w:p>
    <w:p w14:paraId="3C885CF9">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7 Lei F. Design and implementation assurance of a dynamic indicator system for classified faculty performance evaluation in the post-"breaking the five onlys" era. World Journal of Educational Studies, 2025, 3(9): 16–31.</w:t>
      </w:r>
    </w:p>
    <w:p w14:paraId="566393D3">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8 罗仕鉴, 郭和睿, 钟素萍, 等. 智能体驱动的产品设计用户画像生成方法. 计算机集成制造系统, 2025, 31(11): 3919–3931.</w:t>
      </w:r>
    </w:p>
    <w:p w14:paraId="452AD78D">
      <w:pPr>
        <w:spacing w:after="3" w:afterLines="1"/>
        <w:ind w:left="324" w:hanging="324"/>
        <w:jc w:val="both"/>
        <w:rPr>
          <w:rFonts w:hint="eastAsia"/>
          <w:lang w:eastAsia="zh-CN"/>
        </w:rPr>
      </w:pPr>
      <w:bookmarkStart w:id="4" w:name="OLE_LINK17"/>
      <w:bookmarkEnd w:id="4"/>
      <w:r>
        <w:rPr>
          <w:rFonts w:hint="eastAsia" w:ascii="Times New Roman" w:hAnsi="Times New Roman" w:eastAsia="宋体" w:cs="Times New Roman"/>
          <w:sz w:val="18"/>
          <w:szCs w:val="18"/>
          <w:lang w:eastAsia="zh-CN"/>
        </w:rPr>
        <w:t xml:space="preserve">9 白菁昊, 庄俊玺. 面向学习者画像的时序动态标签构建及预测方法. 计算机科学, 2026, 53(5): 79–89.</w:t>
      </w:r>
    </w:p>
    <w:p w14:paraId="6DDED391">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10 胡晓莹, 荀亚玲, 李砚峰. 基于项目流行度和用户动态兴趣的纠偏推荐. 计算机技术与发展, 2024, 34(8): 135–142.</w:t>
      </w:r>
    </w:p>
    <w:p w14:paraId="5FDE8AF5">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11 Chen R, Wang ZL, Tang CD, et al. EMARec: A sequential recommendation with exponential moving average. Neural Computing and Applications, 2024, 36(21): 12917–12933.</w:t>
      </w:r>
    </w:p>
    <w:p w14:paraId="7785C9FE">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12 刘盛, 王占云. 基于SpringBoot+Vue微服务架构的科研样本库管理系统的设计与实现. 信息系统工程, 2025(4): 4–7.</w:t>
      </w:r>
    </w:p>
    <w:p w14:paraId="62A3122D">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13 季甜甜, 刘冬冬. 基于Vue前端性能的研究与分析. 阜阳师范大学学报(自然科学版), 2024, 41(1): 15–22.</w:t>
      </w:r>
    </w:p>
    <w:p w14:paraId="74DA97F3">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14 廖凤露, 许毅, 汤伟. 图书馆数据可视化大屏系统的设计与实现. 电脑与信息技术, 2025(3): 79–83, 97.</w:t>
      </w:r>
    </w:p>
    <w:p w14:paraId="01043945">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15 朱嘉杰, 徐小莲. 基于Flask框架的国家教育考试保密知识测试系统设计与实现. 计算机应用与软件, 2026(4): 35–40.</w:t>
      </w:r>
    </w:p>
    <w:p w14:paraId="1A15C670">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16 来天平, 王永超, 罗盘, 等. 基于角色资源级别的权限控制模型的设计与应用研究. 通信学报, 2024, 45(S2): 153–159.</w:t>
      </w:r>
    </w:p>
    <w:p w14:paraId="506A7D45">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17 Durdag O, Coskunçay A. Reconfiguring role-based access control via role clustering. IEEE Access, 2025, 13: 72984–72993.</w:t>
      </w:r>
    </w:p>
    <w:p w14:paraId="2054A975">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18 魏巍. 基于RBAC模型云资源管理系统访问控制权限的设计与实施. 科学技术创新, 2025(2): 122–125.</w:t>
      </w:r>
    </w:p>
    <w:p w14:paraId="6AF5A027">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19 Zhang YW, Chen LX, Zhu YZ, et al. Privacy-enhanced role-based access control for IoT systems. IEEE Internet of Things Journal, 2025, 12(14): 27269–27279.</w:t>
      </w:r>
    </w:p>
    <w:p w14:paraId="6DC7B439">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20 韩颖霄, 张均胜, 郑明, 等. 一种覆盖所有作者的论文荣誉分配方法——缓解署名分歧的量化锚点. 中国科技资源导刊, 2025(6): 48–63.</w:t>
      </w:r>
    </w:p>
    <w:p w14:paraId="2159E638">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21 Xu S, Li L, Wang CC, et al. An improved author-topic (AT) model with authorship credit allocation schemes. Journal of Information Science, 2025, 51(1): 184–204.</w:t>
      </w:r>
    </w:p>
    <w:p w14:paraId="10E1C165">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22 蒙立东, 林乃斌, 韦文嵚, 等. 基于JSON的轻量级工作流引擎设计与实现. 大众科技, 2025, 27(2): 20–24.</w:t>
      </w:r>
    </w:p>
    <w:p w14:paraId="3FC50B5F">
      <w:pPr>
        <w:spacing w:after="3" w:afterLines="1"/>
        <w:ind w:left="324" w:hanging="324"/>
        <w:jc w:val="both"/>
        <w:rPr>
          <w:rFonts w:hint="eastAsia"/>
          <w:lang w:eastAsia="zh-CN"/>
        </w:rPr>
      </w:pPr>
      <w:r>
        <w:rPr>
          <w:rFonts w:hint="eastAsia" w:ascii="Times New Roman" w:hAnsi="Times New Roman" w:eastAsia="宋体" w:cs="Times New Roman"/>
          <w:sz w:val="18"/>
          <w:szCs w:val="18"/>
          <w:lang w:eastAsia="zh-CN"/>
        </w:rPr>
        <w:t xml:space="preserve">23 郭圣伟, 张洋. 轻量级工作流系统的设计与应用. 电脑知识与技术, 2025(36): 48–51, 55.</w:t>
      </w:r>
    </w:p>
    <w:p w14:paraId="4DC4DDFD">
      <w:pPr>
        <w:spacing w:after="3" w:afterLines="1"/>
        <w:ind w:left="324" w:hanging="324"/>
        <w:jc w:val="both"/>
        <w:rPr>
          <w:rFonts w:hint="eastAsia"/>
          <w:lang w:eastAsia="zh-CN"/>
        </w:rPr>
      </w:pPr>
      <w:r>
        <w:rPr>
          <w:rFonts w:ascii="Times New Roman" w:hAnsi="Times New Roman" w:eastAsia="宋体" w:cs="Times New Roman"/>
          <w:sz w:val="18"/>
          <w:szCs w:val="18"/>
          <w:lang w:eastAsia="zh-CN"/>
        </w:rPr>
        <w:t xml:space="preserve">24 Di Meglio S, Starace LLL, Pontillo V, et al. Performance testing in open-source web projects: Adoption, maintenance, and a change taxonomy. Proc. of the 2025 IEEE International Conference on Software Maintenance and Evolution (ICSME). IEEE, 2025. 199–210.</w:t>
      </w:r>
    </w:p>
    <w:p w14:paraId="507A8B0C">
      <w:pPr>
        <w:pBdr>
          <w:bottom w:val="single" w:color="auto" w:sz="6" w:space="1"/>
        </w:pBdr>
        <w:spacing w:before="56" w:beforeLines="18"/>
        <w:rPr>
          <w:rFonts w:hint="eastAsia"/>
          <w:lang w:eastAsia="zh-CN"/>
        </w:rPr>
      </w:pPr>
    </w:p>
    <w:p w14:paraId="2DA9AC18">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b/>
          <w:bCs w:val="1"/>
          <w:sz w:val="21"/>
          <w:szCs w:val="21"/>
          <w:lang w:eastAsia="zh-CN"/>
        </w:rPr>
        <w:t xml:space="preserve">①</w:t>
      </w:r>
      <w:r>
        <w:rPr>
          <w:rFonts w:hint="eastAsia" w:ascii="Times New Roman" w:hAnsi="Times New Roman" w:eastAsia="宋体" w:cs="Times New Roman"/>
          <w:bCs w:val="1"/>
          <w:sz w:val="21"/>
          <w:szCs w:val="21"/>
          <w:lang w:eastAsia="zh-CN"/>
        </w:rPr>
        <w:t xml:space="preserve"> 基金项目: 南通市社科研究课题(网信专项)(WA25-6)</w:t>
      </w:r>
    </w:p>
    <w:p w14:paraId="2DA9AC18">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bCs w:val="1"/>
          <w:sz w:val="21"/>
          <w:szCs w:val="21"/>
          <w:lang w:eastAsia="zh-CN"/>
        </w:rPr>
        <w:t xml:space="preserve">收稿时间: </w:t>
      </w:r>
      <w:r>
        <w:rPr>
          <w:rFonts w:hint="eastAsia" w:ascii="Times New Roman" w:hAnsi="Times New Roman" w:eastAsia="宋体" w:cs="Times New Roman"/>
          <w:bCs w:val="1"/>
          <w:sz w:val="21"/>
          <w:szCs w:val="21"/>
          <w:highlight w:val="yellow"/>
          <w:lang w:eastAsia="zh-CN"/>
        </w:rPr>
        <w:t xml:space="preserve">xxxx-xx-xx</w:t>
      </w:r>
      <w:r>
        <w:rPr>
          <w:rFonts w:hint="eastAsia" w:ascii="Times New Roman" w:hAnsi="Times New Roman" w:eastAsia="宋体" w:cs="Times New Roman"/>
          <w:bCs w:val="1"/>
          <w:sz w:val="21"/>
          <w:szCs w:val="21"/>
          <w:lang w:eastAsia="zh-CN"/>
        </w:rPr>
        <w:t xml:space="preserve">; 收到修改稿时间: </w:t>
      </w:r>
      <w:r>
        <w:rPr>
          <w:rFonts w:hint="eastAsia" w:ascii="Times New Roman" w:hAnsi="Times New Roman" w:eastAsia="宋体" w:cs="Times New Roman"/>
          <w:bCs w:val="1"/>
          <w:sz w:val="21"/>
          <w:szCs w:val="21"/>
          <w:highlight w:val="yellow"/>
          <w:lang w:eastAsia="zh-CN"/>
        </w:rPr>
        <w:t xml:space="preserve">xxxx-xx-xx</w:t>
      </w:r>
    </w:p>
    <w:p w14:paraId="2DA9AC18">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bCs w:val="1"/>
          <w:sz w:val="21"/>
          <w:szCs w:val="21"/>
          <w:lang w:eastAsia="zh-CN"/>
        </w:rPr>
        <w:t xml:space="preserve">作者简介: 杨文超(1988—), 男, </w:t>
      </w:r>
      <w:r>
        <w:rPr>
          <w:rFonts w:hint="eastAsia" w:ascii="Times New Roman" w:hAnsi="Times New Roman" w:eastAsia="宋体" w:cs="Times New Roman"/>
          <w:bCs w:val="1"/>
          <w:sz w:val="21"/>
          <w:szCs w:val="21"/>
          <w:lang w:eastAsia="zh-CN"/>
        </w:rPr>
        <w:t>江苏如东</w:t>
      </w:r>
      <w:r>
        <w:rPr>
          <w:rFonts w:hint="eastAsia" w:ascii="Times New Roman" w:hAnsi="Times New Roman" w:eastAsia="宋体" w:cs="Times New Roman"/>
          <w:bCs w:val="1"/>
          <w:sz w:val="21"/>
          <w:szCs w:val="21"/>
          <w:lang w:eastAsia="zh-CN"/>
        </w:rPr>
        <w:t>, 高级工程师, 硕士, 主要研究方向为科研管理信息化、公共卫生数据分析, E-mail: 573816315@qq.com.</w:t>
      </w:r>
    </w:p>
    <w:p w14:paraId="010DE108">
      <w:pPr>
        <w:spacing w:after="0"/>
        <w:jc w:val="both"/>
        <w:rPr>
          <w:rFonts w:ascii="Times New Roman" w:hAnsi="Times New Roman" w:eastAsia="宋体" w:cs="Times New Roman"/>
          <w:sz w:val="21"/>
          <w:szCs w:val="21"/>
          <w:lang w:eastAsia="zh-CN"/>
        </w:rPr>
      </w:pPr>
      <w:bookmarkStart w:id="5" w:name="OLE_LINK3"/>
      <w:bookmarkEnd w:id="5"/>
      <w:r>
        <w:rPr>
          <w:rFonts w:hint="eastAsia" w:ascii="Times New Roman" w:hAnsi="Times New Roman" w:eastAsia="宋体" w:cs="Times New Roman"/>
          <w:sz w:val="21"/>
          <w:szCs w:val="21"/>
          <w:lang w:eastAsia="zh-CN"/>
        </w:rPr>
        <w:t xml:space="preserve">张卫兵(1971—), 男, </w:t>
      </w:r>
      <w:r>
        <w:rPr>
          <w:rFonts w:hint="eastAsia" w:ascii="Times New Roman" w:hAnsi="Times New Roman" w:eastAsia="宋体" w:cs="Times New Roman"/>
          <w:sz w:val="21"/>
          <w:szCs w:val="21"/>
          <w:lang w:eastAsia="zh-CN"/>
        </w:rPr>
        <w:t>江苏南通</w:t>
      </w:r>
      <w:r>
        <w:rPr>
          <w:rFonts w:hint="eastAsia" w:ascii="Times New Roman" w:hAnsi="Times New Roman" w:eastAsia="宋体" w:cs="Times New Roman"/>
          <w:sz w:val="21"/>
          <w:szCs w:val="21"/>
          <w:lang w:eastAsia="zh-CN"/>
        </w:rPr>
        <w:t xml:space="preserve">, 主任医师, 硕士, 主要研究方向为科研管理、预防医学、食品检测, E-mail: </w:t>
      </w:r>
      <w:r>
        <w:rPr>
          <w:rFonts w:hint="eastAsia" w:ascii="Times New Roman" w:hAnsi="Times New Roman" w:eastAsia="宋体" w:cs="Times New Roman"/>
          <w:sz w:val="21"/>
          <w:szCs w:val="21"/>
          <w:lang w:eastAsia="zh-CN"/>
        </w:rPr>
        <w:t>yangwecy@gmail.com</w:t>
      </w:r>
      <w:r>
        <w:rPr>
          <w:rFonts w:hint="eastAsia" w:ascii="Times New Roman" w:hAnsi="Times New Roman" w:eastAsia="宋体" w:cs="Times New Roman"/>
          <w:sz w:val="21"/>
          <w:szCs w:val="21"/>
          <w:lang w:eastAsia="zh-CN"/>
        </w:rPr>
        <w:t>.</w:t>
      </w:r>
    </w:p>
    <w:p w14:paraId="46EF3EB7">
      <w:pPr>
        <w:spacing w:after="0"/>
        <w:jc w:val="both"/>
        <w:rPr>
          <w:rFonts w:ascii="Times New Roman" w:hAnsi="Times New Roman" w:eastAsia="宋体" w:cs="Times New Roman"/>
          <w:sz w:val="21"/>
          <w:szCs w:val="21"/>
          <w:lang w:eastAsia="zh-CN"/>
        </w:rPr>
      </w:pPr>
      <w:bookmarkStart w:id="6" w:name="OLE_LINK4"/>
      <w:bookmarkEnd w:id="6"/>
      <w:r>
        <w:rPr>
          <w:rFonts w:hint="eastAsia" w:ascii="Times New Roman" w:hAnsi="Times New Roman" w:eastAsia="宋体" w:cs="Times New Roman"/>
          <w:sz w:val="21"/>
          <w:szCs w:val="21"/>
          <w:lang w:eastAsia="zh-CN"/>
        </w:rPr>
        <w:t xml:space="preserve">练维(1980—), 男, </w:t>
      </w:r>
      <w:r>
        <w:rPr>
          <w:rFonts w:hint="eastAsia" w:ascii="Times New Roman" w:hAnsi="Times New Roman" w:eastAsia="宋体" w:cs="Times New Roman"/>
          <w:sz w:val="21"/>
          <w:szCs w:val="21"/>
          <w:lang w:eastAsia="zh-CN"/>
        </w:rPr>
        <w:t>江苏如皋</w:t>
      </w:r>
      <w:r>
        <w:rPr>
          <w:rFonts w:hint="eastAsia" w:ascii="Times New Roman" w:hAnsi="Times New Roman" w:eastAsia="宋体" w:cs="Times New Roman"/>
          <w:sz w:val="21"/>
          <w:szCs w:val="21"/>
          <w:lang w:eastAsia="zh-CN"/>
        </w:rPr>
        <w:t>, 主任技师, 本科, 主要研究方向为科研教育、质量管理, E-mail: lianwei@sohu.com.</w:t>
      </w:r>
    </w:p>
    <w:p w14:paraId="70E90606">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徐小卫(1989—), 男, 江苏如东, 高级工程师, 本科, 主要研究方向为软件开发、数据管理, E-mail: </w:t>
      </w:r>
      <w:r>
        <w:rPr>
          <w:rFonts w:ascii="Times New Roman" w:hAnsi="Times New Roman" w:eastAsia="宋体" w:cs="Times New Roman"/>
          <w:sz w:val="21"/>
          <w:szCs w:val="21"/>
          <w:lang w:eastAsia="zh-CN"/>
        </w:rPr>
        <w:t>XXW1306@sina.com</w:t>
      </w:r>
      <w:r>
        <w:rPr>
          <w:rFonts w:hint="eastAsia" w:ascii="Times New Roman" w:hAnsi="Times New Roman" w:eastAsia="宋体" w:cs="Times New Roman"/>
          <w:sz w:val="21"/>
          <w:szCs w:val="21"/>
          <w:lang w:eastAsia="zh-CN"/>
        </w:rPr>
        <w:t>.</w:t>
      </w:r>
    </w:p>
    <w:p w14:paraId="7C36CC4C">
      <w:pPr>
        <w:spacing w:after="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王秦(1984—), 女, 江苏如东, 副主任医师, 本科, 主要研究方向为科研教育、数据统计, E-mail: </w:t>
      </w:r>
      <w:r>
        <w:rPr>
          <w:rFonts w:ascii="Times New Roman" w:hAnsi="Times New Roman" w:eastAsia="宋体" w:cs="Times New Roman"/>
          <w:sz w:val="21"/>
          <w:szCs w:val="21"/>
          <w:lang w:eastAsia="zh-CN"/>
        </w:rPr>
        <w:t>WQ112233@sina.com</w:t>
      </w:r>
      <w:r>
        <w:rPr>
          <w:rFonts w:hint="eastAsia" w:ascii="Times New Roman" w:hAnsi="Times New Roman" w:eastAsia="宋体" w:cs="Times New Roman"/>
          <w:sz w:val="21"/>
          <w:szCs w:val="21"/>
          <w:lang w:eastAsia="zh-CN"/>
        </w:rPr>
        <w:t>.</w:t>
      </w:r>
    </w:p>
    <w:p w14:paraId="7E79E251">
      <w:pPr>
        <w:spacing w:before="60" w:after="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通信地址: 江苏省南通市崇川区工农南路 189号 南通市疾病预防控制中心　邮编: 226001</w:t>
      </w:r>
    </w:p>
    <w:p w14:paraId="24EC4546">
      <w:pPr>
        <w:spacing w:before="60" w:after="0"/>
        <w:jc w:val="both"/>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收件人: 杨文超　联系电话: 18351310755　E-mail: 573816315@qq.com</w:t>
      </w:r>
    </w:p>
    <w:sectPr w:rsidRPr="00D13D8A" w:rsidR="00F23EB3">
      <w:pgSz w:w="11906" w:h="16838"/>
      <w:pgMar w:top="1418" w:right="1021" w:bottom="1021" w:left="1021" w:header="851" w:footer="992" w:gutter="0"/>
      <w:cols w:space="425"/>
      <w:docGrid w:type="lines" w:linePitch="312"/>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2">
    <w:p w14:paraId="31372E0C">
      <w:pPr>
        <w:spacing w:after="0" w:line="240" w:lineRule="auto"/>
        <w:rPr>
          <w:rFonts w:hint="eastAsia"/>
        </w:rPr>
      </w:pPr>
      <w:r>
        <w:continuationSeparator/>
      </w:r>
    </w:p>
  </w:endnote>
  <w:endnote w:type="separator" w:id="3">
    <w:p w14:paraId="322A2E17">
      <w:pPr>
        <w:spacing w:after="0" w:line="240" w:lineRule="auto"/>
        <w:rPr>
          <w:rFonts w:hint="eastAsia"/>
        </w:rPr>
      </w:pPr>
      <w:r>
        <w:separator/>
      </w:r>
    </w:p>
  </w:endnote>
</w:endnotes>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203" w:usb1="288F0000"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楷体">
    <w:panose1 w:val="02010609060101010101"/>
    <w:charset w:val="86" w:characterSet="ISO-8859-1"/>
    <w:family w:val="modern"/>
    <w:pitch w:val="fixed"/>
    <w:sig w:usb0="800002BF" w:usb1="38CF7CFA" w:usb2="00000016" w:usb3="00000000" w:csb0="00040001" w:csb1="00000000"/>
  </w:font>
  <w:font w:name="Cambria Math">
    <w:panose1 w:val="02040503050406030204"/>
    <w:charset w:val="00" w:characterSet="ISO-8859-1"/>
    <w:family w:val="roman"/>
    <w:pitch w:val="variable"/>
    <w:sig w:usb0="E00006FF" w:usb1="420024FF" w:usb2="02000000" w:usb3="00000000" w:csb0="0000019F" w:csb1="00000000"/>
  </w:font>
</w:fonts>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2">
    <w:p w14:paraId="4D11D443">
      <w:pPr>
        <w:spacing w:after="0" w:line="240" w:lineRule="auto"/>
        <w:rPr>
          <w:rFonts w:hint="eastAsia"/>
        </w:rPr>
      </w:pPr>
      <w:r>
        <w:continuationSeparator/>
      </w:r>
    </w:p>
  </w:footnote>
  <w:footnote w:type="separator" w:id="3">
    <w:p w14:paraId="3BB6BB1D">
      <w:pPr>
        <w:spacing w:after="0" w:line="240" w:lineRule="auto"/>
        <w:rPr>
          <w:rFonts w:hint="eastAsia"/>
        </w:rPr>
      </w:pPr>
      <w:r>
        <w:separator/>
      </w:r>
    </w:p>
  </w:footnote>
</w:footnotes>
</file>

<file path=word/numbering.xml><?xml version="1.0" encoding="utf-8"?>
<w:numbering xmlns:w="http://schemas.openxmlformats.org/wordprocessingml/2006/main">
  <w:abstractNum w:abstractNumId="0">
    <w:nsid w:val="69622C2D"/>
    <w:multiLevelType w:val="hybridMultilevel"/>
    <w:tmpl w:val="DFD2F97E"/>
    <w:lvl w:ilvl="7" w:tplc="04090019" w:tentative="1">
      <w:start w:val="1"/>
      <w:numFmt w:val="lowerLetter"/>
      <w:lvlText w:val="%8)"/>
      <w:lvlJc w:val="left"/>
      <w:pPr>
        <w:ind w:left="3520" w:hanging="440"/>
      </w:pPr>
    </w:lvl>
    <w:lvl w:ilvl="5" w:tplc="0409001B" w:tentative="1">
      <w:start w:val="1"/>
      <w:numFmt w:val="lowerRoman"/>
      <w:lvlText w:val="%6."/>
      <w:lvlJc w:val="right"/>
      <w:pPr>
        <w:ind w:left="2640" w:hanging="440"/>
      </w:pPr>
    </w:lvl>
    <w:lvl w:ilvl="1" w:tplc="04090019" w:tentative="1">
      <w:start w:val="1"/>
      <w:numFmt w:val="lowerLetter"/>
      <w:lvlText w:val="%2)"/>
      <w:lvlJc w:val="left"/>
      <w:pPr>
        <w:ind w:left="880" w:hanging="440"/>
      </w:pPr>
    </w:lvl>
    <w:lvl w:ilvl="0" w:tplc="EB084F76">
      <w:start w:val="1"/>
      <w:numFmt w:val="decimal"/>
      <w:lvlText w:val="%1"/>
      <w:lvlJc w:val="left"/>
      <w:pPr>
        <w:ind w:left="360"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2" w:tplc="0409001B" w:tentative="1">
      <w:start w:val="1"/>
      <w:numFmt w:val="lowerRoman"/>
      <w:lvlText w:val="%3."/>
      <w:lvlJc w:val="right"/>
      <w:pPr>
        <w:ind w:left="1320" w:hanging="440"/>
      </w:pPr>
    </w:lvl>
    <w:lvl w:ilvl="6" w:tplc="0409000F" w:tentative="1">
      <w:start w:val="1"/>
      <w:numFmt w:val="decimal"/>
      <w:lvlText w:val="%7."/>
      <w:lvlJc w:val="left"/>
      <w:pPr>
        <w:ind w:left="308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w="http://schemas.openxmlformats.org/wordprocessingml/2006/main">
  <w:zoom w:percent="100"/>
  <w:bordersDoNotSurroundHeader w:val="1"/>
  <w:bordersDoNotSurroundFooter w:val="1"/>
  <w:defaultTabStop w:val="420"/>
  <w:characterSpacingControl w:val="doNotCompress"/>
  <w:footnotePr>
    <w:footnote w:id="0"/>
    <w:footnote w:id="1"/>
  </w:footnotePr>
  <w:endnotePr>
    <w:endnote w:id="0"/>
    <w:endnote w:id="1"/>
  </w:endnotePr>
  <w:compat>
    <w:useFELayout w:val="1"/>
    <w:compatSetting w:name="compatibilityMode" w:uri="http://schemas.microsoft.com/office/word" w:val="12"/>
    <w:compatSetting w:name="useWord2013TrackBottomHyphenation" w:uri="http://schemas.microsoft.com/office/word" w:val="1"/>
  </w:compat>
  <w:rsids>
    <w:rsidRoot w:val="008E3D08"/>
    <w:rsid w:val="00001389"/>
    <w:rsid w:val="00002657"/>
    <w:rsid w:val="00021476"/>
    <w:rsid w:val="00030E9E"/>
    <w:rsid w:val="0003457F"/>
    <w:rsid w:val="00047837"/>
    <w:rsid w:val="00077879"/>
    <w:rsid w:val="00083549"/>
    <w:rsid w:val="00086AF0"/>
    <w:rsid w:val="0009541E"/>
    <w:rsid w:val="000A44F9"/>
    <w:rsid w:val="000A76E1"/>
    <w:rsid w:val="000B2A1D"/>
    <w:rsid w:val="000B2B95"/>
    <w:rsid w:val="000B528F"/>
    <w:rsid w:val="000B5561"/>
    <w:rsid w:val="000D662A"/>
    <w:rsid w:val="000E3D8D"/>
    <w:rsid w:val="000E77BA"/>
    <w:rsid w:val="00100C81"/>
    <w:rsid w:val="00102829"/>
    <w:rsid w:val="00102F8B"/>
    <w:rsid w:val="00105192"/>
    <w:rsid w:val="00105E66"/>
    <w:rsid w:val="00113A0C"/>
    <w:rsid w:val="00121E97"/>
    <w:rsid w:val="001375F3"/>
    <w:rsid w:val="00137F41"/>
    <w:rsid w:val="00141A88"/>
    <w:rsid w:val="001509DF"/>
    <w:rsid w:val="0015225F"/>
    <w:rsid w:val="001650C7"/>
    <w:rsid w:val="0016734A"/>
    <w:rsid w:val="00185434"/>
    <w:rsid w:val="00195740"/>
    <w:rsid w:val="001A14C5"/>
    <w:rsid w:val="001A70A1"/>
    <w:rsid w:val="001C1152"/>
    <w:rsid w:val="001C2962"/>
    <w:rsid w:val="001D3D58"/>
    <w:rsid w:val="001D4AAF"/>
    <w:rsid w:val="00210DD2"/>
    <w:rsid w:val="00225CDE"/>
    <w:rsid w:val="0026328B"/>
    <w:rsid w:val="00272A10"/>
    <w:rsid w:val="00274CDD"/>
    <w:rsid w:val="0029409F"/>
    <w:rsid w:val="002B1675"/>
    <w:rsid w:val="002C1EE2"/>
    <w:rsid w:val="002C433D"/>
    <w:rsid w:val="002E6926"/>
    <w:rsid w:val="0032250C"/>
    <w:rsid w:val="00345497"/>
    <w:rsid w:val="0036506E"/>
    <w:rsid w:val="003776C6"/>
    <w:rsid w:val="00395316"/>
    <w:rsid w:val="0039656B"/>
    <w:rsid w:val="003B3A98"/>
    <w:rsid w:val="003E415E"/>
    <w:rsid w:val="003F7C45"/>
    <w:rsid w:val="0041664F"/>
    <w:rsid w:val="00461777"/>
    <w:rsid w:val="004618BD"/>
    <w:rsid w:val="00462952"/>
    <w:rsid w:val="004661CE"/>
    <w:rsid w:val="00467B1E"/>
    <w:rsid w:val="004768A6"/>
    <w:rsid w:val="00485C09"/>
    <w:rsid w:val="004868A9"/>
    <w:rsid w:val="004A605A"/>
    <w:rsid w:val="004A7606"/>
    <w:rsid w:val="004C3455"/>
    <w:rsid w:val="004C398D"/>
    <w:rsid w:val="004D2C3A"/>
    <w:rsid w:val="004D47DF"/>
    <w:rsid w:val="004E2C5A"/>
    <w:rsid w:val="004E7822"/>
    <w:rsid w:val="004F0C29"/>
    <w:rsid w:val="004F3A2B"/>
    <w:rsid w:val="00506E41"/>
    <w:rsid w:val="0050734F"/>
    <w:rsid w:val="00517EE6"/>
    <w:rsid w:val="005204A7"/>
    <w:rsid w:val="00524E75"/>
    <w:rsid w:val="005253EE"/>
    <w:rsid w:val="00536BF2"/>
    <w:rsid w:val="00555F57"/>
    <w:rsid w:val="005664EE"/>
    <w:rsid w:val="005839D6"/>
    <w:rsid w:val="005A7A10"/>
    <w:rsid w:val="005B2EE8"/>
    <w:rsid w:val="005B51E2"/>
    <w:rsid w:val="005B700B"/>
    <w:rsid w:val="005C0270"/>
    <w:rsid w:val="005C08A7"/>
    <w:rsid w:val="005D0273"/>
    <w:rsid w:val="005D183C"/>
    <w:rsid w:val="005D75C4"/>
    <w:rsid w:val="005E7DD3"/>
    <w:rsid w:val="00600D71"/>
    <w:rsid w:val="00611B70"/>
    <w:rsid w:val="00662C2F"/>
    <w:rsid w:val="00667BAE"/>
    <w:rsid w:val="0067117A"/>
    <w:rsid w:val="0068567B"/>
    <w:rsid w:val="0069464F"/>
    <w:rsid w:val="006B33D1"/>
    <w:rsid w:val="006B39CC"/>
    <w:rsid w:val="006D3F39"/>
    <w:rsid w:val="006D5CCC"/>
    <w:rsid w:val="006E2399"/>
    <w:rsid w:val="006E4F0D"/>
    <w:rsid w:val="006F38AF"/>
    <w:rsid w:val="00714292"/>
    <w:rsid w:val="007149CA"/>
    <w:rsid w:val="00720321"/>
    <w:rsid w:val="00725CF4"/>
    <w:rsid w:val="00726E47"/>
    <w:rsid w:val="007337FF"/>
    <w:rsid w:val="00746169"/>
    <w:rsid w:val="00752232"/>
    <w:rsid w:val="00761940"/>
    <w:rsid w:val="00785AAE"/>
    <w:rsid w:val="007C7F15"/>
    <w:rsid w:val="007E325F"/>
    <w:rsid w:val="007E4292"/>
    <w:rsid w:val="007F30F1"/>
    <w:rsid w:val="008165A8"/>
    <w:rsid w:val="00837C16"/>
    <w:rsid w:val="00841067"/>
    <w:rsid w:val="008557F7"/>
    <w:rsid w:val="00856FED"/>
    <w:rsid w:val="00862F7A"/>
    <w:rsid w:val="0087417B"/>
    <w:rsid w:val="00875153"/>
    <w:rsid w:val="00877BDE"/>
    <w:rsid w:val="008963A2"/>
    <w:rsid w:val="008A1791"/>
    <w:rsid w:val="008B2229"/>
    <w:rsid w:val="008B2875"/>
    <w:rsid w:val="008B58C6"/>
    <w:rsid w:val="008C143B"/>
    <w:rsid w:val="008D51EC"/>
    <w:rsid w:val="008D62E4"/>
    <w:rsid w:val="008E3D08"/>
    <w:rsid w:val="008E544F"/>
    <w:rsid w:val="008E606E"/>
    <w:rsid w:val="008E74E4"/>
    <w:rsid w:val="009312CD"/>
    <w:rsid w:val="00942F51"/>
    <w:rsid w:val="009731EC"/>
    <w:rsid w:val="009859A3"/>
    <w:rsid w:val="009952BD"/>
    <w:rsid w:val="009A549B"/>
    <w:rsid w:val="009B7C32"/>
    <w:rsid w:val="009F6ED5"/>
    <w:rsid w:val="00A25E48"/>
    <w:rsid w:val="00A32229"/>
    <w:rsid w:val="00A334E5"/>
    <w:rsid w:val="00A55135"/>
    <w:rsid w:val="00A55145"/>
    <w:rsid w:val="00A93786"/>
    <w:rsid w:val="00AA28B2"/>
    <w:rsid w:val="00AA2A57"/>
    <w:rsid w:val="00AB30F1"/>
    <w:rsid w:val="00AB6A77"/>
    <w:rsid w:val="00AC3431"/>
    <w:rsid w:val="00AE3374"/>
    <w:rsid w:val="00AE7103"/>
    <w:rsid w:val="00AF4551"/>
    <w:rsid w:val="00AF766E"/>
    <w:rsid w:val="00B013CD"/>
    <w:rsid w:val="00B02F4E"/>
    <w:rsid w:val="00B05E48"/>
    <w:rsid w:val="00B071D1"/>
    <w:rsid w:val="00B3598A"/>
    <w:rsid w:val="00B47C72"/>
    <w:rsid w:val="00B57D12"/>
    <w:rsid w:val="00B62835"/>
    <w:rsid w:val="00B649D3"/>
    <w:rsid w:val="00B73E7B"/>
    <w:rsid w:val="00B87BD5"/>
    <w:rsid w:val="00B92916"/>
    <w:rsid w:val="00B93E1D"/>
    <w:rsid w:val="00BB17A8"/>
    <w:rsid w:val="00BB1B84"/>
    <w:rsid w:val="00BB20B4"/>
    <w:rsid w:val="00BD0F3F"/>
    <w:rsid w:val="00BD2C4D"/>
    <w:rsid w:val="00BD6237"/>
    <w:rsid w:val="00BE41C0"/>
    <w:rsid w:val="00BF1437"/>
    <w:rsid w:val="00C01D40"/>
    <w:rsid w:val="00C048F5"/>
    <w:rsid w:val="00C11B7F"/>
    <w:rsid w:val="00C14545"/>
    <w:rsid w:val="00C15A6D"/>
    <w:rsid w:val="00C30F17"/>
    <w:rsid w:val="00C740F4"/>
    <w:rsid w:val="00C95DD2"/>
    <w:rsid w:val="00C97E23"/>
    <w:rsid w:val="00CA3F85"/>
    <w:rsid w:val="00CB2F26"/>
    <w:rsid w:val="00CB74F4"/>
    <w:rsid w:val="00CF7776"/>
    <w:rsid w:val="00D124CA"/>
    <w:rsid w:val="00D13D8A"/>
    <w:rsid w:val="00D16D03"/>
    <w:rsid w:val="00D24AF0"/>
    <w:rsid w:val="00D45627"/>
    <w:rsid w:val="00D50012"/>
    <w:rsid w:val="00D60DAC"/>
    <w:rsid w:val="00D630FE"/>
    <w:rsid w:val="00D66A22"/>
    <w:rsid w:val="00D76D93"/>
    <w:rsid w:val="00DA69E2"/>
    <w:rsid w:val="00DB5DAB"/>
    <w:rsid w:val="00DC1107"/>
    <w:rsid w:val="00DE2A7E"/>
    <w:rsid w:val="00DF50EE"/>
    <w:rsid w:val="00E044DE"/>
    <w:rsid w:val="00E06855"/>
    <w:rsid w:val="00E26782"/>
    <w:rsid w:val="00E26FEC"/>
    <w:rsid w:val="00E319C2"/>
    <w:rsid w:val="00E3351D"/>
    <w:rsid w:val="00E531C0"/>
    <w:rsid w:val="00E624EF"/>
    <w:rsid w:val="00E77F02"/>
    <w:rsid w:val="00E92986"/>
    <w:rsid w:val="00E97719"/>
    <w:rsid w:val="00EB170D"/>
    <w:rsid w:val="00EC08BE"/>
    <w:rsid w:val="00EC63F3"/>
    <w:rsid w:val="00EC792E"/>
    <w:rsid w:val="00EF4CC1"/>
    <w:rsid w:val="00F14C49"/>
    <w:rsid w:val="00F23EB3"/>
    <w:rsid w:val="00F255F4"/>
    <w:rsid w:val="00F4510A"/>
    <w:rsid w:val="00F71E08"/>
    <w:rsid w:val="00F71EBF"/>
    <w:rsid w:val="00F735A6"/>
    <w:rsid w:val="00F80986"/>
    <w:rsid w:val="00F84A46"/>
    <w:rsid w:val="00F85605"/>
    <w:rsid w:val="00F9072F"/>
    <w:rsid w:val="00F96C39"/>
    <w:rsid w:val="00FA418D"/>
    <w:rsid w:val="00FB3D83"/>
    <w:rsid w:val="00FD0120"/>
    <w:rsid w:val="00FD348F"/>
    <w:rsid w:val="00FF0B2E"/>
    <w:rsid w:val="00FF536A"/>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hAnsiTheme="minorHAnsi" w:eastAsiaTheme="minorEastAsia"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Body Text First Indent" w:semiHidden="1" w:unhideWhenUsed="1"/>
    <w:lsdException w:name="Grid Table 5 Dark Accent 3" w:uiPriority="50"/>
    <w:lsdException w:name="heading 3" w:uiPriority="9" w:semiHidden="1" w:unhideWhenUsed="1" w:qFormat="1"/>
    <w:lsdException w:name="List Bullet 2" w:semiHidden="1" w:unhideWhenUsed="1"/>
    <w:lsdException w:name="List Table 5 Dark Accent 4" w:uiPriority="50"/>
    <w:lsdException w:name="Table Grid 1" w:semiHidden="1" w:unhideWhenUsed="1"/>
    <w:lsdException w:name="Grid Table 1 Light Accent 3" w:uiPriority="46"/>
    <w:lsdException w:name="List Continue 5" w:semiHidden="1" w:unhideWhenUsed="1"/>
    <w:lsdException w:name="Placeholder Text" w:semiHidden="1"/>
    <w:lsdException w:name="Medium List 1 Accent 1" w:uiPriority="65"/>
    <w:lsdException w:name="Colorful Shading Accent 1" w:uiPriority="71"/>
    <w:lsdException w:name="heading 2" w:uiPriority="9" w:semiHidden="1" w:unhideWhenUsed="1" w:qFormat="1"/>
    <w:lsdException w:name="Grid Table 4 Accent 4" w:uiPriority="49"/>
    <w:lsdException w:name="List Table 5 Dark Accent 5" w:uiPriority="50"/>
    <w:lsdException w:name="Table List 5" w:semiHidden="1" w:unhideWhenUsed="1"/>
    <w:lsdException w:name="Note Heading" w:semiHidden="1" w:unhideWhenUsed="1"/>
    <w:lsdException w:name="List Bullet" w:semiHidden="1" w:unhideWhenUsed="1"/>
    <w:lsdException w:name="Table List 4" w:semiHidden="1" w:unhideWhenUsed="1"/>
    <w:lsdException w:name="Intense Emphasis" w:uiPriority="21" w:qFormat="1"/>
    <w:lsdException w:name="List Continue 2" w:semiHidden="1" w:unhideWhenUsed="1"/>
    <w:lsdException w:name="toc 7" w:uiPriority="39" w:semiHidden="1" w:unhideWhenUsed="1"/>
    <w:lsdException w:name="Grid Table 6 Colorful Accent 4" w:uiPriority="51"/>
    <w:lsdException w:name="Light Shading Accent 3" w:uiPriority="60"/>
    <w:lsdException w:name="Medium Shading 2 Accent 2" w:uiPriority="64"/>
    <w:lsdException w:name="Dark List" w:uiPriority="70"/>
    <w:lsdException w:name="HTML Bottom of Form" w:semiHidden="1" w:unhideWhenUsed="1"/>
    <w:lsdException w:name="HTML Definition" w:semiHidden="1" w:unhideWhenUsed="1"/>
    <w:lsdException w:name="Grid Table 2 Accent 6" w:uiPriority="47"/>
    <w:lsdException w:name="toc 6" w:uiPriority="39" w:semiHidden="1" w:unhideWhenUsed="1"/>
    <w:lsdException w:name="List Number 3" w:semiHidden="1" w:unhideWhenUsed="1"/>
    <w:lsdException w:name="Colorful Grid Accent 6" w:uiPriority="73"/>
    <w:lsdException w:name="Light Shading Accent 2" w:uiPriority="60"/>
    <w:lsdException w:name="List Table 3 Accent 4" w:uiPriority="48"/>
    <w:lsdException w:name="List Table 4 Accent 5" w:uiPriority="49"/>
    <w:lsdException w:name="Medium Shading 1 Accent 2" w:uiPriority="63"/>
    <w:lsdException w:name="Light Shading Accent 1" w:uiPriority="60"/>
    <w:lsdException w:name="Table Elegant" w:semiHidden="1" w:unhideWhenUsed="1"/>
    <w:lsdException w:name="Medium Grid 3 Accent 5" w:uiPriority="69"/>
    <w:lsdException w:name="Table Grid" w:uiPriority="39"/>
    <w:lsdException w:name="Colorful List Accent 5" w:uiPriority="72"/>
    <w:lsdException w:name="List Table 4 Accent 4" w:uiPriority="49"/>
    <w:lsdException w:name="index heading" w:semiHidden="1" w:unhideWhenUsed="1"/>
    <w:lsdException w:name="footnote text" w:semiHidden="1" w:unhideWhenUsed="1"/>
    <w:lsdException w:name="Colorful List Accent 4" w:uiPriority="72"/>
    <w:lsdException w:name="Light Grid Accent 2" w:uiPriority="62"/>
    <w:lsdException w:name="Intense Reference" w:uiPriority="32" w:qFormat="1"/>
    <w:lsdException w:name="List Table 7 Colorful Accent 1" w:uiPriority="52"/>
    <w:lsdException w:name="Light List Accent 2" w:uiPriority="61"/>
    <w:lsdException w:name="Grid Table 5 Dark" w:uiPriority="50"/>
    <w:lsdException w:name="Medium Grid 1 Accent 6" w:uiPriority="67"/>
    <w:lsdException w:name="index 9" w:semiHidden="1" w:unhideWhenUsed="1"/>
    <w:lsdException w:name="List Table 1 Light Accent 3" w:uiPriority="46"/>
    <w:lsdException w:name="Medium Grid 2 Accent 4" w:uiPriority="68"/>
    <w:lsdException w:name="Smart Link" w:semiHidden="1" w:unhideWhenUsed="1"/>
    <w:lsdException w:name="Medium Grid 2" w:uiPriority="68"/>
    <w:lsdException w:name="Table Classic 4" w:semiHidden="1" w:unhideWhenUsed="1"/>
    <w:lsdException w:name="Table Grid 3" w:semiHidden="1" w:unhideWhenUsed="1"/>
    <w:lsdException w:name="List Table 1 Light Accent 4" w:uiPriority="46"/>
    <w:lsdException w:name="Colorful Shading Accent 3" w:uiPriority="71"/>
    <w:lsdException w:name="index 8" w:semiHidden="1" w:unhideWhenUsed="1"/>
    <w:lsdException w:name="heading 4" w:uiPriority="9" w:semiHidden="1" w:unhideWhenUsed="1" w:qFormat="1"/>
    <w:lsdException w:name="Smart Hyperlink" w:semiHidden="1" w:unhideWhenUsed="1"/>
    <w:lsdException w:name="Light List Accent 1" w:uiPriority="61"/>
    <w:lsdException w:name="Balloon Text" w:semiHidden="1" w:unhideWhenUsed="1"/>
    <w:lsdException w:name="heading 5" w:uiPriority="9" w:semiHidden="1" w:unhideWhenUsed="1" w:qFormat="1"/>
    <w:lsdException w:name="Dark List Accent 5" w:uiPriority="70"/>
    <w:lsdException w:name="Medium Grid 3" w:uiPriority="69"/>
    <w:lsdException w:name="Block Text" w:semiHidden="1" w:unhideWhenUsed="1"/>
    <w:lsdException w:name="Grid Table 3 Accent 6" w:uiPriority="48"/>
    <w:lsdException w:name="Grid Table 4 Accent 5" w:uiPriority="49"/>
    <w:lsdException w:name="Colorful Shading Accent 2" w:uiPriority="71"/>
    <w:lsdException w:name="table of authorities" w:semiHidden="1" w:unhideWhenUsed="1"/>
    <w:lsdException w:name="Body Text 2" w:semiHidden="1" w:unhideWhenUsed="1"/>
    <w:lsdException w:name="Subtle Reference" w:uiPriority="31" w:qFormat="1"/>
    <w:lsdException w:name="toc 9" w:uiPriority="39" w:semiHidden="1" w:unhideWhenUsed="1"/>
    <w:lsdException w:name="List Table 6 Colorful Accent 5" w:uiPriority="51"/>
    <w:lsdException w:name="List Number 5" w:semiHidden="1" w:unhideWhenUsed="1"/>
    <w:lsdException w:name="Quote" w:uiPriority="29" w:qFormat="1"/>
    <w:lsdException w:name="List Table 2 Accent 3" w:uiPriority="47"/>
    <w:lsdException w:name="Table Web 2" w:semiHidden="1" w:unhideWhenUsed="1"/>
    <w:lsdException w:name="List Table 6 Colorful Accent 4" w:uiPriority="51"/>
    <w:lsdException w:name="Plain Table 5" w:uiPriority="45"/>
    <w:lsdException w:name="Medium List 1 Accent 4" w:uiPriority="65"/>
    <w:lsdException w:name="HTML Top of Form" w:semiHidden="1" w:unhideWhenUsed="1"/>
    <w:lsdException w:name="toc 8" w:uiPriority="39" w:semiHidden="1" w:unhideWhenUsed="1"/>
    <w:lsdException w:name="Body Text 3" w:semiHidden="1" w:unhideWhenUsed="1"/>
    <w:lsdException w:name="List Number 2" w:semiHidden="1" w:unhideWhenUsed="1"/>
    <w:lsdException w:name="List Table 2 Accent 2" w:uiPriority="47"/>
    <w:lsdException w:name="Grid Table 6 Colorful Accent 5" w:uiPriority="51"/>
    <w:lsdException w:name="Table Web 1" w:semiHidden="1" w:unhideWhenUsed="1"/>
    <w:lsdException w:name="Table Grid 5" w:semiHidden="1" w:unhideWhenUsed="1"/>
    <w:lsdException w:name="Table Columns 3" w:semiHidden="1" w:unhideWhenUsed="1"/>
    <w:lsdException w:name="Medium Shading 1 Accent 3" w:uiPriority="63"/>
    <w:lsdException w:name="List Table 5 Dark Accent 1" w:uiPriority="50"/>
    <w:lsdException w:name="Medium Shading 2 Accent 5" w:uiPriority="64"/>
    <w:lsdException w:name="Grid Table 2 Accent 2" w:uiPriority="47"/>
    <w:lsdException w:name="Grid Table 5 Dark Accent 5" w:uiPriority="50"/>
    <w:lsdException w:name="List Table 4 Accent 6" w:uiPriority="49"/>
    <w:lsdException w:name="envelope address" w:semiHidden="1" w:unhideWhenUsed="1"/>
    <w:lsdException w:name="Colorful List Accent 6" w:uiPriority="72"/>
    <w:lsdException w:name="Colorful Grid Accent 3" w:uiPriority="73"/>
    <w:lsdException w:name="Colorful List" w:uiPriority="72"/>
    <w:lsdException w:name="List Table 5 Dark Accent 2" w:uiPriority="50"/>
    <w:lsdException w:name="Medium Grid 3 Accent 6" w:uiPriority="69"/>
    <w:lsdException w:name="List Table 3 Accent 3" w:uiPriority="48"/>
    <w:lsdException w:name="List Table 7 Colorful" w:uiPriority="52"/>
    <w:lsdException w:name="Signature" w:semiHidden="1" w:unhideWhenUsed="1"/>
    <w:lsdException w:name="Grid Table 4 Accent 1" w:uiPriority="49"/>
    <w:lsdException w:name="Medium Shading 2 Accent 6" w:uiPriority="64"/>
    <w:lsdException w:name="Medium Grid 3 Accent 1" w:uiPriority="69"/>
    <w:lsdException w:name="Light Grid Accent 3" w:uiPriority="62"/>
    <w:lsdException w:name="index 6" w:semiHidden="1" w:unhideWhenUsed="1"/>
    <w:lsdException w:name="List Table 3 Accent 1" w:uiPriority="48"/>
    <w:lsdException w:name="Grid Table 7 Colorful Accent 3" w:uiPriority="52"/>
    <w:lsdException w:name="Medium Grid 2 Accent 6" w:uiPriority="68"/>
    <w:lsdException w:name="Colorful Grid Accent 2" w:uiPriority="73"/>
    <w:lsdException w:name="List Table 1 Light Accent 2" w:uiPriority="46"/>
    <w:lsdException w:name="List Table 5 Dark" w:uiPriority="50"/>
    <w:lsdException w:name="List Table 1 Light Accent 1" w:uiPriority="46"/>
    <w:lsdException w:name="List 4" w:semiHidden="1" w:unhideWhenUsed="1"/>
    <w:lsdException w:name="Medium Grid 1 Accent 2" w:uiPriority="67"/>
    <w:lsdException w:name="Medium Grid 2 Accent 3" w:uiPriority="68"/>
    <w:lsdException w:name="Body Text First Indent 2" w:semiHidden="1" w:unhideWhenUsed="1"/>
    <w:lsdException w:name="List Table 7 Colorful Accent 4" w:uiPriority="52"/>
    <w:lsdException w:name="Grid Table 7 Colorful Accent 4" w:uiPriority="52"/>
    <w:lsdException w:name="List 5" w:semiHidden="1" w:unhideWhenUsed="1"/>
    <w:lsdException w:name="line number" w:semiHidden="1" w:unhideWhenUsed="1"/>
    <w:lsdException w:name="Document Map" w:semiHidden="1" w:unhideWhenUsed="1"/>
    <w:lsdException w:name="Table List 2" w:semiHidden="1" w:unhideWhenUsed="1"/>
    <w:lsdException w:name="Colorful Grid Accent 1" w:uiPriority="73"/>
    <w:lsdException w:name="List Table 4 Accent 2" w:uiPriority="49"/>
    <w:lsdException w:name="Table Theme" w:semiHidden="1" w:unhideWhenUsed="1"/>
    <w:lsdException w:name="Table List 1" w:semiHidden="1" w:unhideWhenUsed="1"/>
    <w:lsdException w:name="Medium Grid 1 Accent 1" w:uiPriority="67"/>
    <w:lsdException w:name="List Bullet 4" w:semiHidden="1" w:unhideWhenUsed="1"/>
    <w:lsdException w:name="heading 1" w:uiPriority="9" w:qFormat="1"/>
    <w:lsdException w:name="Light List Accent 6" w:uiPriority="61"/>
    <w:lsdException w:name="Dark List Accent 6" w:uiPriority="70"/>
    <w:lsdException w:name="Grid Table 3 Accent 2" w:uiPriority="48"/>
    <w:lsdException w:name="HTML Typewriter" w:semiHidden="1" w:unhideWhenUsed="1"/>
    <w:lsdException w:name="Medium List 2 Accent 2" w:uiPriority="66"/>
    <w:lsdException w:name="Table Web 3" w:semiHidden="1" w:unhideWhenUsed="1"/>
    <w:lsdException w:name="Table Simple 1" w:semiHidden="1" w:unhideWhenUsed="1"/>
    <w:lsdException w:name="Table Grid 7" w:semiHidden="1" w:unhideWhenUsed="1"/>
    <w:lsdException w:name="Medium List 1 Accent 5" w:uiPriority="65"/>
    <w:lsdException w:name="Medium List 1 Accent 6" w:uiPriority="65"/>
    <w:lsdException w:name="Table Grid 6" w:semiHidden="1" w:unhideWhenUsed="1"/>
    <w:lsdException w:name="Medium List 2 Accent 3" w:uiPriority="66"/>
    <w:lsdException w:name="Light Shading" w:uiPriority="60"/>
    <w:lsdException w:name="Table Columns 2" w:semiHidden="1" w:unhideWhenUsed="1"/>
    <w:lsdException w:name="Grid Table 1 Light Accent 6" w:uiPriority="46"/>
    <w:lsdException w:name="Table Subtle 1" w:semiHidden="1" w:unhideWhenUsed="1"/>
    <w:lsdException w:name="Grid Table 2" w:uiPriority="47"/>
    <w:lsdException w:name="Normal Table" w:semiHidden="1" w:unhideWhenUsed="1"/>
    <w:lsdException w:name="List Table 3" w:uiPriority="48"/>
    <w:lsdException w:name="annotation text" w:semiHidden="1" w:unhideWhenUsed="1"/>
    <w:lsdException w:name="Colorful Shading Accent 6" w:uiPriority="71"/>
    <w:lsdException w:name="toc 5" w:uiPriority="39" w:semiHidden="1" w:unhideWhenUsed="1"/>
    <w:lsdException w:name="Subtitle" w:uiPriority="11" w:qFormat="1"/>
    <w:lsdException w:name="Outline List 3" w:semiHidden="1" w:unhideWhenUsed="1"/>
    <w:lsdException w:name="Grid Table 5 Dark Accent 4" w:uiPriority="50"/>
    <w:lsdException w:name="Grid Table 4 Accent 3" w:uiPriority="49"/>
    <w:lsdException w:name="toa heading" w:semiHidden="1" w:unhideWhenUsed="1"/>
    <w:lsdException w:name="Grid Table 4 Accent 2" w:uiPriority="49"/>
    <w:lsdException w:name="Table Subtle 2" w:semiHidden="1" w:unhideWhenUsed="1"/>
    <w:lsdException w:name="toc 4" w:uiPriority="39" w:semiHidden="1" w:unhideWhenUsed="1"/>
    <w:lsdException w:name="Table Grid 8" w:semiHidden="1" w:unhideWhenUsed="1"/>
    <w:lsdException w:name="Subtle Emphasis" w:uiPriority="19" w:qFormat="1"/>
    <w:lsdException w:name="Grid Table 2 Accent 3" w:uiPriority="47"/>
    <w:lsdException w:name="Grid Table 6 Colorful Accent 1" w:uiPriority="51"/>
    <w:lsdException w:name="Colorful List Accent 3" w:uiPriority="72"/>
    <w:lsdException w:name="heading 9" w:uiPriority="9" w:semiHidden="1" w:unhideWhenUsed="1" w:qFormat="1"/>
    <w:lsdException w:name="List Table 7 Colorful Accent 2" w:uiPriority="52"/>
    <w:lsdException w:name="FollowedHyperlink" w:semiHidden="1" w:unhideWhenUsed="1"/>
    <w:lsdException w:name="List Table 2 Accent 4" w:uiPriority="47"/>
    <w:lsdException w:name="endnote reference" w:semiHidden="1" w:unhideWhenUsed="1"/>
    <w:lsdException w:name="Emphasis" w:uiPriority="20" w:qFormat="1"/>
    <w:lsdException w:name="footer" w:semiHidden="1" w:unhideWhenUsed="1"/>
    <w:lsdException w:name="Medium Grid 2 Accent 2" w:uiPriority="68"/>
    <w:lsdException w:name="Colorful Grid" w:uiPriority="73"/>
    <w:lsdException w:name="Grid Table 6 Colorful" w:uiPriority="51"/>
    <w:lsdException w:name="toc 3" w:uiPriority="39" w:semiHidden="1" w:unhideWhenUsed="1"/>
    <w:lsdException w:name="Intense Quote" w:uiPriority="30" w:qFormat="1"/>
    <w:lsdException w:name="Plain Text" w:semiHidden="1" w:unhideWhenUsed="1"/>
    <w:lsdException w:name="Medium Grid 2 Accent 5" w:uiPriority="68"/>
    <w:lsdException w:name="macro" w:semiHidden="1" w:unhideWhenUsed="1"/>
    <w:lsdException w:name="List Continue 4" w:semiHidden="1" w:unhideWhenUsed="1"/>
    <w:lsdException w:name="Medium Grid 1 Accent 3" w:uiPriority="67"/>
    <w:lsdException w:name="Grid Table 7 Colorful Accent 2" w:uiPriority="52"/>
    <w:lsdException w:name="Table List 3" w:semiHidden="1" w:unhideWhenUsed="1"/>
    <w:lsdException w:name="List Table 7 Colorful Accent 3" w:uiPriority="52"/>
    <w:lsdException w:name="Grid Table 1 Light Accent 2" w:uiPriority="46"/>
    <w:lsdException w:name="Colorful List Accent 2" w:uiPriority="72"/>
    <w:lsdException w:name="List Table 1 Light Accent 5" w:uiPriority="46"/>
    <w:lsdException w:name="Book Title" w:uiPriority="33" w:qFormat="1"/>
    <w:lsdException w:name="Normal (Web)" w:semiHidden="1" w:unhideWhenUsed="1"/>
    <w:lsdException w:name="E-mail Signature" w:semiHidden="1" w:unhideWhenUsed="1"/>
    <w:lsdException w:name="Message Header" w:semiHidden="1" w:unhideWhenUsed="1"/>
    <w:lsdException w:name="Medium Shading 1 Accent 5" w:uiPriority="63"/>
    <w:lsdException w:name="List Table 4 Accent 3" w:uiPriority="49"/>
    <w:lsdException w:name="Dark List Accent 4" w:uiPriority="70"/>
    <w:lsdException w:name="envelope return" w:semiHidden="1" w:unhideWhenUsed="1"/>
    <w:lsdException w:name="Colorful List Accent 1" w:uiPriority="72"/>
    <w:lsdException w:name="Table 3D effects 1" w:semiHidden="1" w:unhideWhenUsed="1"/>
    <w:lsdException w:name="List" w:semiHidden="1" w:unhideWhenUsed="1"/>
    <w:lsdException w:name="List Table 1 Light Accent 6" w:uiPriority="46"/>
    <w:lsdException w:name="Grid Table 3 Accent 4" w:uiPriority="48"/>
    <w:lsdException w:name="Medium Shading 1 Accent 4" w:uiPriority="63"/>
    <w:lsdException w:name="Table 3D effects 2" w:semiHidden="1" w:unhideWhenUsed="1"/>
    <w:lsdException w:name="Plain Table 4" w:uiPriority="44"/>
    <w:lsdException w:name="Outline List 1" w:semiHidden="1" w:unhideWhenUsed="1"/>
    <w:lsdException w:name="annotation subject" w:semiHidden="1" w:unhideWhenUsed="1"/>
    <w:lsdException w:name="HTML Keyboard" w:semiHidden="1" w:unhideWhenUsed="1"/>
    <w:lsdException w:name="Grid Table 3 Accent 5" w:uiPriority="48"/>
    <w:lsdException w:name="Salutation" w:semiHidden="1" w:unhideWhenUsed="1"/>
    <w:lsdException w:name="annotation reference" w:semiHidden="1" w:unhideWhenUsed="1"/>
    <w:lsdException w:name="caption" w:uiPriority="35" w:semiHidden="1" w:unhideWhenUsed="1" w:qFormat="1"/>
    <w:lsdException w:name="Medium List 2" w:uiPriority="66"/>
    <w:lsdException w:name="Grid Table 3" w:uiPriority="48"/>
    <w:lsdException w:name="List 2" w:semiHidden="1" w:unhideWhenUsed="1"/>
    <w:lsdException w:name="List Table 4" w:uiPriority="49"/>
    <w:lsdException w:name="No List" w:semiHidden="1" w:unhideWhenUsed="1"/>
    <w:lsdException w:name="Medium Shading 2 Accent 1" w:uiPriority="64"/>
    <w:lsdException w:name="Grid Table 4" w:uiPriority="49"/>
    <w:lsdException w:name="List Number" w:semiHidden="1" w:unhideWhenUsed="1"/>
    <w:lsdException w:name="TOC Heading" w:uiPriority="39" w:semiHidden="1" w:unhideWhenUsed="1" w:qFormat="1"/>
    <w:lsdException w:name="Medium List 2 Accent 6" w:uiPriority="66"/>
    <w:lsdException w:name="Table Colorful 1" w:semiHidden="1" w:unhideWhenUsed="1"/>
    <w:lsdException w:name="index 3" w:semiHidden="1" w:unhideWhenUsed="1"/>
    <w:lsdException w:name="List Table 6 Colorful Accent 6" w:uiPriority="51"/>
    <w:lsdException w:name="Table Classic 1" w:semiHidden="1" w:unhideWhenUsed="1"/>
    <w:lsdException w:name="List Table 5 Dark Accent 3" w:uiPriority="50"/>
    <w:lsdException w:name="Light List" w:uiPriority="61"/>
    <w:lsdException w:name="Grid Table 6 Colorful Accent 6" w:uiPriority="51"/>
    <w:lsdException w:name="List Table 6 Colorful Accent 1" w:uiPriority="51"/>
    <w:lsdException w:name="Grid Table 5 Dark Accent 1" w:uiPriority="50"/>
    <w:lsdException w:name="List Table 2 Accent 5" w:uiPriority="47"/>
    <w:lsdException w:name="HTML Preformatted" w:semiHidden="1" w:unhideWhenUsed="1"/>
    <w:lsdException w:name="Table Columns 4" w:semiHidden="1" w:unhideWhenUsed="1"/>
    <w:lsdException w:name="Medium List 1 Accent 3" w:uiPriority="65"/>
    <w:lsdException w:name="Grid Table 7 Colorful Accent 5" w:uiPriority="52"/>
    <w:lsdException w:name="Medium Grid 3 Accent 3" w:uiPriority="69"/>
    <w:lsdException w:name="Medium List 2 Accent 4" w:uiPriority="66"/>
    <w:lsdException w:name="Light Grid Accent 1" w:uiPriority="62"/>
    <w:lsdException w:name="heading 6" w:uiPriority="9" w:semiHidden="1" w:unhideWhenUsed="1" w:qFormat="1"/>
    <w:lsdException w:name="Grid Table 1 Light Accent 1" w:uiPriority="46"/>
    <w:lsdException w:name="Table Columns 5" w:semiHidden="1" w:unhideWhenUsed="1"/>
    <w:lsdException w:name="Default Paragraph Font" w:uiPriority="1" w:semiHidden="1" w:unhideWhenUsed="1"/>
    <w:lsdException w:name="header" w:semiHidden="1" w:unhideWhenUsed="1"/>
    <w:lsdException w:name="Table List 7" w:semiHidden="1" w:unhideWhenUsed="1"/>
    <w:lsdException w:name="Grid Table 7 Colorful Accent 6" w:uiPriority="52"/>
    <w:lsdException w:name="Grid Table 4 Accent 6" w:uiPriority="49"/>
    <w:lsdException w:name="Grid Table 2 Accent 5" w:uiPriority="47"/>
    <w:lsdException w:name="Medium List 1 Accent 2" w:uiPriority="65"/>
    <w:lsdException w:name="Medium Grid 3 Accent 2" w:uiPriority="69"/>
    <w:lsdException w:name="Light Shading Accent 5" w:uiPriority="60"/>
    <w:lsdException w:name="Table List 6" w:semiHidden="1" w:unhideWhenUsed="1"/>
    <w:lsdException w:name="Light List Accent 5" w:uiPriority="61"/>
    <w:lsdException w:name="Grid Table 2 Accent 4" w:uiPriority="47"/>
    <w:lsdException w:name="HTML Sample" w:semiHidden="1" w:unhideWhenUsed="1"/>
    <w:lsdException w:name="table of figures" w:semiHidden="1" w:unhideWhenUsed="1"/>
    <w:lsdException w:name="Light Shading Accent 4" w:uiPriority="60"/>
    <w:lsdException w:name="List Table 3 Accent 6" w:uiPriority="48"/>
    <w:lsdException w:name="Dark List Accent 3" w:uiPriority="70"/>
    <w:lsdException w:name="Light List Accent 4" w:uiPriority="61"/>
    <w:lsdException w:name="Table Simple 3" w:semiHidden="1" w:unhideWhenUsed="1"/>
    <w:lsdException w:name="footnote reference" w:semiHidden="1" w:unhideWhenUsed="1"/>
    <w:lsdException w:name="Dark List Accent 2" w:uiPriority="70"/>
    <w:lsdException w:name="index 1" w:semiHidden="1" w:unhideWhenUsed="1"/>
    <w:lsdException w:name="List 3" w:semiHidden="1" w:unhideWhenUsed="1"/>
    <w:lsdException w:name="Closing" w:semiHidden="1" w:unhideWhenUsed="1"/>
    <w:lsdException w:name="Grid Table 3 Accent 1" w:uiPriority="48"/>
    <w:lsdException w:name="index 4" w:semiHidden="1" w:unhideWhenUsed="1"/>
    <w:lsdException w:name="Body Text" w:semiHidden="1" w:unhideWhenUsed="1"/>
    <w:lsdException w:name="Table List 8" w:semiHidden="1" w:unhideWhenUsed="1"/>
    <w:lsdException w:name="Medium List 2 Accent 1" w:uiPriority="66"/>
    <w:lsdException w:name="Outline List 2" w:semiHidden="1" w:unhideWhenUsed="1"/>
    <w:lsdException w:name="Table Colorful 2" w:semiHidden="1" w:unhideWhenUsed="1"/>
    <w:lsdException w:name="Plain Table 3" w:uiPriority="43"/>
    <w:lsdException w:name="Table Grid 4" w:semiHidden="1" w:unhideWhenUsed="1"/>
    <w:lsdException w:name="Table Simple 2" w:semiHidden="1" w:unhideWhenUsed="1"/>
    <w:lsdException w:name="Strong" w:uiPriority="22" w:qFormat="1"/>
    <w:lsdException w:name="Hyperlink" w:semiHidden="1" w:unhideWhenUsed="1"/>
    <w:lsdException w:name="Mention" w:semiHidden="1" w:unhideWhenUsed="1"/>
    <w:lsdException w:name="Colorful Shading Accent 4" w:uiPriority="71"/>
    <w:lsdException w:name="index 7" w:semiHidden="1" w:unhideWhenUsed="1"/>
    <w:lsdException w:name="Title" w:uiPriority="10" w:qFormat="1"/>
    <w:lsdException w:name="Revision" w:semiHidden="1"/>
    <w:lsdException w:name="page number" w:semiHidden="1" w:unhideWhenUsed="1"/>
    <w:lsdException w:name="Plain Table 2" w:uiPriority="42"/>
    <w:lsdException w:name="List Table 6 Colorful" w:uiPriority="51"/>
    <w:lsdException w:name="List Paragraph" w:uiPriority="34" w:qFormat="1"/>
    <w:lsdException w:name="Grid Table 5 Dark Accent 6" w:uiPriority="50"/>
    <w:lsdException w:name="Light List Accent 3" w:uiPriority="61"/>
    <w:lsdException w:name="Body Text Indent 2" w:semiHidden="1" w:unhideWhenUsed="1"/>
    <w:lsdException w:name="heading 8" w:uiPriority="9" w:semiHidden="1" w:unhideWhenUsed="1" w:qFormat="1"/>
    <w:lsdException w:name="Unresolved Mention" w:semiHidden="1" w:unhideWhenUsed="1"/>
    <w:lsdException w:name="Table Classic 2" w:semiHidden="1" w:unhideWhenUsed="1"/>
    <w:lsdException w:name="Light Grid Accent 6" w:uiPriority="62"/>
    <w:lsdException w:name="toc 2" w:uiPriority="39" w:semiHidden="1" w:unhideWhenUsed="1"/>
    <w:lsdException w:name="List Continue" w:semiHidden="1" w:unhideWhenUsed="1"/>
    <w:lsdException w:name="Grid Table 6 Colorful Accent 3" w:uiPriority="51"/>
    <w:lsdException w:name="List Table 6 Colorful Accent 2" w:uiPriority="51"/>
    <w:lsdException w:name="HTML Code" w:semiHidden="1" w:unhideWhenUsed="1"/>
    <w:lsdException w:name="Normal" w:uiPriority="0" w:qFormat="1"/>
    <w:lsdException w:name="heading 7" w:uiPriority="9" w:semiHidden="1" w:unhideWhenUsed="1" w:qFormat="1"/>
    <w:lsdException w:name="Medium Shading 1" w:uiPriority="63"/>
    <w:lsdException w:name="List Table 2 Accent 6" w:uiPriority="47"/>
    <w:lsdException w:name="HTML Acronym" w:semiHidden="1" w:unhideWhenUsed="1"/>
    <w:lsdException w:name="Light Grid" w:uiPriority="62"/>
    <w:lsdException w:name="Light Grid Accent 5" w:uiPriority="62"/>
    <w:lsdException w:name="toc 1" w:uiPriority="39" w:semiHidden="1" w:unhideWhenUsed="1"/>
    <w:lsdException w:name="List Bullet 5" w:semiHidden="1" w:unhideWhenUsed="1"/>
    <w:lsdException w:name="Grid Table 6 Colorful Accent 2" w:uiPriority="51"/>
    <w:lsdException w:name="Date" w:semiHidden="1" w:unhideWhenUsed="1"/>
    <w:lsdException w:name="Medium Shading 2" w:uiPriority="64"/>
    <w:lsdException w:name="List Table 7 Colorful Accent 5" w:uiPriority="52"/>
    <w:lsdException w:name="Light Grid Accent 4" w:uiPriority="62"/>
    <w:lsdException w:name="List Table 2 Accent 1" w:uiPriority="47"/>
    <w:lsdException w:name="Bibliography" w:uiPriority="37" w:semiHidden="1" w:unhideWhenUsed="1"/>
    <w:lsdException w:name="Medium Grid 2 Accent 1" w:uiPriority="68"/>
    <w:lsdException w:name="endnote text" w:semiHidden="1" w:unhideWhenUsed="1"/>
    <w:lsdException w:name="Light Shading Accent 6" w:uiPriority="60"/>
    <w:lsdException w:name="List Table 5 Dark Accent 6" w:uiPriority="50"/>
    <w:lsdException w:name="Medium Grid 1" w:uiPriority="67"/>
    <w:lsdException w:name="Grid Table 1 Light Accent 4" w:uiPriority="46"/>
    <w:lsdException w:name="List Table 4 Accent 1" w:uiPriority="49"/>
    <w:lsdException w:name="Medium Shading 1 Accent 6" w:uiPriority="63"/>
    <w:lsdException w:name="List Number 4" w:semiHidden="1" w:unhideWhenUsed="1"/>
    <w:lsdException w:name="Table 3D effects 3" w:semiHidden="1" w:unhideWhenUsed="1"/>
    <w:lsdException w:name="List Table 7 Colorful Accent 6" w:uiPriority="52"/>
    <w:lsdException w:name="Grid Table 3 Accent 3" w:uiPriority="48"/>
    <w:lsdException w:name="Table Columns 1" w:semiHidden="1" w:unhideWhenUsed="1"/>
    <w:lsdException w:name="List Continue 3" w:semiHidden="1" w:unhideWhenUsed="1"/>
    <w:lsdException w:name="Dark List Accent 1" w:uiPriority="70"/>
    <w:lsdException w:name="index 2" w:semiHidden="1" w:unhideWhenUsed="1"/>
    <w:lsdException w:name="Grid Table 1 Light Accent 5" w:uiPriority="46"/>
    <w:lsdException w:name="Normal Indent" w:semiHidden="1" w:unhideWhenUsed="1"/>
    <w:lsdException w:name="Medium Shading 1 Accent 1" w:uiPriority="63"/>
    <w:lsdException w:name="Hashtag" w:semiHidden="1" w:unhideWhenUsed="1"/>
    <w:lsdException w:name="Plain Table 1" w:uiPriority="41"/>
    <w:lsdException w:name="Grid Table 2 Accent 1" w:uiPriority="47"/>
    <w:lsdException w:name="Grid Table 1 Light" w:uiPriority="46"/>
    <w:lsdException w:name="Medium Shading 2 Accent 3" w:uiPriority="64"/>
    <w:lsdException w:name="Grid Table Light" w:uiPriority="40"/>
    <w:lsdException w:name="List Table 3 Accent 5" w:uiPriority="48"/>
    <w:lsdException w:name="Table Colorful 3" w:semiHidden="1" w:unhideWhenUsed="1"/>
    <w:lsdException w:name="index 5" w:semiHidden="1" w:unhideWhenUsed="1"/>
    <w:lsdException w:name="HTML Address" w:semiHidden="1" w:unhideWhenUsed="1"/>
    <w:lsdException w:name="Colorful Grid Accent 5" w:uiPriority="73"/>
    <w:lsdException w:name="HTML Variable" w:semiHidden="1" w:unhideWhenUsed="1"/>
    <w:lsdException w:name="Medium Shading 2 Accent 4" w:uiPriority="64"/>
    <w:lsdException w:name="Grid Table 7 Colorful" w:uiPriority="52"/>
    <w:lsdException w:name="No Spacing" w:uiPriority="1" w:qFormat="1"/>
    <w:lsdException w:name="Colorful Grid Accent 4" w:uiPriority="73"/>
    <w:lsdException w:name="Table Contemporary" w:semiHidden="1" w:unhideWhenUsed="1"/>
    <w:lsdException w:name="List Table 3 Accent 2" w:uiPriority="48"/>
    <w:lsdException w:name="List Table 2" w:uiPriority="47"/>
    <w:lsdException w:name="Colorful Shading Accent 5" w:uiPriority="71"/>
    <w:lsdException w:name="Medium Grid 1 Accent 5" w:uiPriority="67"/>
    <w:lsdException w:name="Medium Grid 3 Accent 4" w:uiPriority="69"/>
    <w:lsdException w:name="Colorful Shading" w:uiPriority="71"/>
    <w:lsdException w:name="Medium List 1" w:uiPriority="65"/>
    <w:lsdException w:name="HTML Cite" w:semiHidden="1" w:unhideWhenUsed="1"/>
    <w:lsdException w:name="List Table 1 Light" w:uiPriority="46"/>
    <w:lsdException w:name="Body Text Indent 3" w:semiHidden="1" w:unhideWhenUsed="1"/>
    <w:lsdException w:name="Grid Table 5 Dark Accent 2" w:uiPriority="50"/>
    <w:lsdException w:name="Table Classic 3" w:semiHidden="1" w:unhideWhenUsed="1"/>
    <w:lsdException w:name="Medium Grid 1 Accent 4" w:uiPriority="67"/>
    <w:lsdException w:name="List Table 6 Colorful Accent 3" w:uiPriority="51"/>
    <w:lsdException w:name="Grid Table 7 Colorful Accent 1" w:uiPriority="52"/>
    <w:lsdException w:name="Medium List 2 Accent 5" w:uiPriority="66"/>
    <w:lsdException w:name="Table Professional" w:semiHidden="1" w:unhideWhenUsed="1"/>
    <w:lsdException w:name="List Bullet 3" w:semiHidden="1" w:unhideWhenUsed="1"/>
    <w:lsdException w:name="Body Text Indent" w:semiHidden="1" w:unhideWhenUsed="1"/>
    <w:lsdException w:name="Table Grid 2" w:semiHidden="1" w:unhideWhenUsed="1"/>
  </w:latentStyles>
  <w:style w:type="paragraph" w:styleId="00002a">
    <w:name w:val="footer"/>
    <w:basedOn w:val="000007"/>
    <w:link w:val="00002b"/>
    <w:uiPriority w:val="99"/>
    <w:unhideWhenUsed w:val="1"/>
    <w:rsid w:val="005B51E2"/>
    <w:pPr>
      <w:tabs>
        <w:tab w:val="center" w:pos="4153"/>
        <w:tab w:val="right" w:pos="8306"/>
      </w:tabs>
      <w:snapToGrid w:val="0"/>
      <w:spacing w:line="240" w:lineRule="auto"/>
    </w:pPr>
    <w:rPr>
      <w:sz w:val="18"/>
      <w:szCs w:val="18"/>
    </w:rPr>
  </w:style>
  <w:style w:type="character" w:styleId="00000f" w:customStyle="1">
    <w:name w:val="标题 4 字符"/>
    <w:basedOn w:val="00001a"/>
    <w:link w:val="00000e"/>
    <w:uiPriority w:val="9"/>
    <w:semiHidden w:val="1"/>
    <w:rsid w:val="008E3D08"/>
    <w:rPr>
      <w:rFonts w:cstheme="majorBidi"/>
      <w:color w:val="2F5496" w:themeColor="accent1" w:themeShade="BF"/>
      <w:sz w:val="28"/>
      <w:szCs w:val="28"/>
    </w:rPr>
  </w:style>
  <w:style w:type="paragraph" w:styleId="00001f">
    <w:name w:val="Subtitle"/>
    <w:basedOn w:val="000007"/>
    <w:next w:val="000007"/>
    <w:link w:val="000020"/>
    <w:uiPriority w:val="11"/>
    <w:qFormat w:val="1"/>
    <w:rsid w:val="008E3D08"/>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paragraph" w:styleId="00001d">
    <w:name w:val="Title"/>
    <w:basedOn w:val="000007"/>
    <w:next w:val="000007"/>
    <w:link w:val="00001e"/>
    <w:uiPriority w:val="10"/>
    <w:qFormat w:val="1"/>
    <w:rsid w:val="008E3D08"/>
    <w:pPr>
      <w:spacing w:after="80"/>
      <w:contextualSpacing w:val="1"/>
      <w:jc w:val="center"/>
    </w:pPr>
    <w:rPr>
      <w:rFonts w:asciiTheme="majorHAnsi" w:hAnsiTheme="majorHAnsi" w:eastAsiaTheme="majorEastAsia" w:cstheme="majorBidi"/>
      <w:spacing w:val="-10"/>
      <w:kern w:val="28"/>
      <w:sz w:val="56"/>
      <w:szCs w:val="56"/>
    </w:rPr>
  </w:style>
  <w:style w:type="character" w:styleId="000009" w:customStyle="1">
    <w:name w:val="标题 1 字符"/>
    <w:basedOn w:val="00001a"/>
    <w:link w:val="000008"/>
    <w:uiPriority w:val="9"/>
    <w:rsid w:val="008E3D08"/>
    <w:rPr>
      <w:rFonts w:asciiTheme="majorHAnsi" w:hAnsiTheme="majorHAnsi" w:eastAsiaTheme="majorEastAsia" w:cstheme="majorBidi"/>
      <w:color w:val="2F5496" w:themeColor="accent1" w:themeShade="BF"/>
      <w:sz w:val="48"/>
      <w:szCs w:val="48"/>
    </w:rPr>
  </w:style>
  <w:style w:type="paragraph" w:styleId="000007" w:default="1">
    <w:name w:val="Normal"/>
    <w:qFormat w:val="1"/>
    <w:rsid w:val="00AC3431"/>
    <w:pPr>
      <w:spacing w:after="200" w:line="276" w:lineRule="auto"/>
    </w:pPr>
    <w:rPr>
      <w:kern w:val="0"/>
      <w:sz w:val="22"/>
      <w:lang w:eastAsia="en-US"/>
    </w:rPr>
  </w:style>
  <w:style w:type="paragraph" w:styleId="000023">
    <w:name w:val="List Paragraph"/>
    <w:basedOn w:val="000007"/>
    <w:uiPriority w:val="34"/>
    <w:qFormat w:val="1"/>
    <w:rsid w:val="008E3D08"/>
    <w:pPr>
      <w:ind w:left="720"/>
      <w:contextualSpacing w:val="1"/>
    </w:pPr>
  </w:style>
  <w:style w:type="character" w:styleId="00000b" w:customStyle="1">
    <w:name w:val="标题 2 字符"/>
    <w:basedOn w:val="00001a"/>
    <w:link w:val="00000a"/>
    <w:uiPriority w:val="9"/>
    <w:semiHidden w:val="1"/>
    <w:rsid w:val="008E3D08"/>
    <w:rPr>
      <w:rFonts w:asciiTheme="majorHAnsi" w:hAnsiTheme="majorHAnsi" w:eastAsiaTheme="majorEastAsia" w:cstheme="majorBidi"/>
      <w:color w:val="2F5496" w:themeColor="accent1" w:themeShade="BF"/>
      <w:sz w:val="40"/>
      <w:szCs w:val="40"/>
    </w:rPr>
  </w:style>
  <w:style w:type="paragraph" w:styleId="000012">
    <w:name w:val="heading 6"/>
    <w:basedOn w:val="000007"/>
    <w:next w:val="000007"/>
    <w:link w:val="000013"/>
    <w:uiPriority w:val="9"/>
    <w:semiHidden w:val="1"/>
    <w:unhideWhenUsed w:val="1"/>
    <w:qFormat w:val="1"/>
    <w:rsid w:val="008E3D08"/>
    <w:pPr>
      <w:keepNext w:val="1"/>
      <w:keepLines w:val="1"/>
      <w:spacing w:before="40"/>
      <w:outlineLvl w:val="5"/>
    </w:pPr>
    <w:rPr>
      <w:rFonts w:cstheme="majorBidi"/>
      <w:b w:val="1"/>
      <w:bCs w:val="1"/>
      <w:color w:val="2F5496" w:themeColor="accent1" w:themeShade="BF"/>
    </w:rPr>
  </w:style>
  <w:style w:type="paragraph" w:styleId="000010">
    <w:name w:val="heading 5"/>
    <w:basedOn w:val="000007"/>
    <w:next w:val="000007"/>
    <w:link w:val="000011"/>
    <w:uiPriority w:val="9"/>
    <w:semiHidden w:val="1"/>
    <w:unhideWhenUsed w:val="1"/>
    <w:qFormat w:val="1"/>
    <w:rsid w:val="008E3D08"/>
    <w:pPr>
      <w:keepNext w:val="1"/>
      <w:keepLines w:val="1"/>
      <w:spacing w:before="80" w:after="40"/>
      <w:outlineLvl w:val="4"/>
    </w:pPr>
    <w:rPr>
      <w:rFonts w:cstheme="majorBidi"/>
      <w:color w:val="2F5496" w:themeColor="accent1" w:themeShade="BF"/>
      <w:sz w:val="24"/>
      <w:szCs w:val="24"/>
    </w:rPr>
  </w:style>
  <w:style w:type="character" w:styleId="00002b" w:customStyle="1">
    <w:name w:val="页脚 字符"/>
    <w:basedOn w:val="00001a"/>
    <w:link w:val="00002a"/>
    <w:uiPriority w:val="99"/>
    <w:rsid w:val="005B51E2"/>
    <w:rPr>
      <w:kern w:val="0"/>
      <w:sz w:val="18"/>
      <w:szCs w:val="18"/>
      <w:lang w:eastAsia="en-US"/>
    </w:rPr>
  </w:style>
  <w:style w:type="numbering" w:styleId="00001c" w:default="1">
    <w:name w:val="No List"/>
    <w:uiPriority w:val="99"/>
    <w:semiHidden w:val="1"/>
    <w:unhideWhenUsed w:val="1"/>
  </w:style>
  <w:style w:type="character" w:styleId="00001a" w:default="1">
    <w:name w:val="Default Paragraph Font"/>
    <w:uiPriority w:val="1"/>
    <w:semiHidden w:val="1"/>
    <w:unhideWhenUsed w:val="1"/>
  </w:style>
  <w:style w:type="paragraph" w:styleId="000018">
    <w:name w:val="heading 9"/>
    <w:basedOn w:val="000007"/>
    <w:next w:val="000007"/>
    <w:link w:val="000019"/>
    <w:uiPriority w:val="9"/>
    <w:semiHidden w:val="1"/>
    <w:unhideWhenUsed w:val="1"/>
    <w:qFormat w:val="1"/>
    <w:rsid w:val="008E3D08"/>
    <w:pPr>
      <w:keepNext w:val="1"/>
      <w:keepLines w:val="1"/>
      <w:outlineLvl w:val="8"/>
    </w:pPr>
    <w:rPr>
      <w:rFonts w:eastAsiaTheme="majorEastAsia" w:cstheme="majorBidi"/>
      <w:color w:val="595959" w:themeColor="text1" w:themeTint="A6"/>
    </w:rPr>
  </w:style>
  <w:style w:type="character" w:styleId="000024">
    <w:name w:val="Intense Emphasis"/>
    <w:basedOn w:val="00001a"/>
    <w:uiPriority w:val="21"/>
    <w:qFormat w:val="1"/>
    <w:rsid w:val="008E3D08"/>
    <w:rPr>
      <w:i w:val="1"/>
      <w:iCs w:val="1"/>
      <w:color w:val="2F5496" w:themeColor="accent1" w:themeShade="BF"/>
    </w:rPr>
  </w:style>
  <w:style w:type="character" w:styleId="000015" w:customStyle="1">
    <w:name w:val="标题 7 字符"/>
    <w:basedOn w:val="00001a"/>
    <w:link w:val="000014"/>
    <w:uiPriority w:val="9"/>
    <w:semiHidden w:val="1"/>
    <w:rsid w:val="008E3D08"/>
    <w:rPr>
      <w:rFonts w:cstheme="majorBidi"/>
      <w:b w:val="1"/>
      <w:bCs w:val="1"/>
      <w:color w:val="595959" w:themeColor="text1" w:themeTint="A6"/>
    </w:rPr>
  </w:style>
  <w:style w:type="paragraph" w:styleId="00000e">
    <w:name w:val="heading 4"/>
    <w:basedOn w:val="000007"/>
    <w:next w:val="000007"/>
    <w:link w:val="00000f"/>
    <w:uiPriority w:val="9"/>
    <w:semiHidden w:val="1"/>
    <w:unhideWhenUsed w:val="1"/>
    <w:qFormat w:val="1"/>
    <w:rsid w:val="008E3D08"/>
    <w:pPr>
      <w:keepNext w:val="1"/>
      <w:keepLines w:val="1"/>
      <w:spacing w:before="80" w:after="40"/>
      <w:outlineLvl w:val="3"/>
    </w:pPr>
    <w:rPr>
      <w:rFonts w:cstheme="majorBidi"/>
      <w:color w:val="2F5496" w:themeColor="accent1" w:themeShade="BF"/>
      <w:sz w:val="28"/>
      <w:szCs w:val="28"/>
    </w:rPr>
  </w:style>
  <w:style w:type="character" w:styleId="00000d" w:customStyle="1">
    <w:name w:val="标题 3 字符"/>
    <w:basedOn w:val="00001a"/>
    <w:link w:val="00000c"/>
    <w:uiPriority w:val="9"/>
    <w:semiHidden w:val="1"/>
    <w:rsid w:val="008E3D08"/>
    <w:rPr>
      <w:rFonts w:asciiTheme="majorHAnsi" w:hAnsiTheme="majorHAnsi" w:eastAsiaTheme="majorEastAsia" w:cstheme="majorBidi"/>
      <w:color w:val="2F5496" w:themeColor="accent1" w:themeShade="BF"/>
      <w:sz w:val="32"/>
      <w:szCs w:val="32"/>
    </w:rPr>
  </w:style>
  <w:style w:type="character" w:styleId="00002c">
    <w:name w:val="Hyperlink"/>
    <w:basedOn w:val="00001a"/>
    <w:uiPriority w:val="99"/>
    <w:unhideWhenUsed w:val="1"/>
    <w:rsid w:val="00E92986"/>
    <w:rPr>
      <w:color w:val="0563C1" w:themeColor="hyperlink"/>
      <w:u w:val="single"/>
    </w:rPr>
  </w:style>
  <w:style w:type="table" w:styleId="00001b" w:default="1">
    <w:name w:val="Normal Table"/>
    <w:uiPriority w:val="99"/>
    <w:semiHidden w:val="1"/>
    <w:unhideWhenUsed w:val="1"/>
    <w:tblPr>
      <w:tblInd w:w="0" w:type="dxa"/>
      <w:tblCellMar>
        <w:top w:w="0" w:type="dxa"/>
        <w:left w:w="108" w:type="dxa"/>
        <w:bottom w:w="0" w:type="dxa"/>
        <w:right w:w="108" w:type="dxa"/>
      </w:tblCellMar>
    </w:tblPr>
  </w:style>
  <w:style w:type="character" w:styleId="000026" w:customStyle="1">
    <w:name w:val="明显引用 字符"/>
    <w:basedOn w:val="00001a"/>
    <w:link w:val="000025"/>
    <w:uiPriority w:val="30"/>
    <w:rsid w:val="008E3D08"/>
    <w:rPr>
      <w:i w:val="1"/>
      <w:iCs w:val="1"/>
      <w:color w:val="2F5496" w:themeColor="accent1" w:themeShade="BF"/>
    </w:rPr>
  </w:style>
  <w:style w:type="character" w:styleId="000020" w:customStyle="1">
    <w:name w:val="副标题 字符"/>
    <w:basedOn w:val="00001a"/>
    <w:link w:val="00001f"/>
    <w:uiPriority w:val="11"/>
    <w:rsid w:val="008E3D08"/>
    <w:rPr>
      <w:rFonts w:asciiTheme="majorHAnsi" w:hAnsiTheme="majorHAnsi" w:eastAsiaTheme="majorEastAsia" w:cstheme="majorBidi"/>
      <w:color w:val="595959" w:themeColor="text1" w:themeTint="A6"/>
      <w:spacing w:val="15"/>
      <w:sz w:val="28"/>
      <w:szCs w:val="28"/>
    </w:rPr>
  </w:style>
  <w:style w:type="paragraph" w:styleId="000028">
    <w:name w:val="header"/>
    <w:basedOn w:val="000007"/>
    <w:link w:val="000029"/>
    <w:uiPriority w:val="99"/>
    <w:unhideWhenUsed w:val="1"/>
    <w:rsid w:val="005B51E2"/>
    <w:pPr>
      <w:tabs>
        <w:tab w:val="center" w:pos="4153"/>
        <w:tab w:val="right" w:pos="8306"/>
      </w:tabs>
      <w:snapToGrid w:val="0"/>
      <w:spacing w:line="240" w:lineRule="auto"/>
      <w:jc w:val="center"/>
    </w:pPr>
    <w:rPr>
      <w:sz w:val="18"/>
      <w:szCs w:val="18"/>
    </w:rPr>
  </w:style>
  <w:style w:type="paragraph" w:styleId="00000a">
    <w:name w:val="heading 2"/>
    <w:basedOn w:val="000007"/>
    <w:next w:val="000007"/>
    <w:link w:val="00000b"/>
    <w:uiPriority w:val="9"/>
    <w:semiHidden w:val="1"/>
    <w:unhideWhenUsed w:val="1"/>
    <w:qFormat w:val="1"/>
    <w:rsid w:val="008E3D08"/>
    <w:pPr>
      <w:keepNext w:val="1"/>
      <w:keepLines w:val="1"/>
      <w:spacing w:before="160" w:after="80"/>
      <w:outlineLvl w:val="1"/>
    </w:pPr>
    <w:rPr>
      <w:rFonts w:asciiTheme="majorHAnsi" w:hAnsiTheme="majorHAnsi" w:eastAsiaTheme="majorEastAsia" w:cstheme="majorBidi"/>
      <w:color w:val="2F5496" w:themeColor="accent1" w:themeShade="BF"/>
      <w:sz w:val="40"/>
      <w:szCs w:val="40"/>
    </w:rPr>
  </w:style>
  <w:style w:type="paragraph" w:styleId="000025">
    <w:name w:val="Intense Quote"/>
    <w:basedOn w:val="000007"/>
    <w:next w:val="000007"/>
    <w:link w:val="000026"/>
    <w:uiPriority w:val="30"/>
    <w:qFormat w:val="1"/>
    <w:rsid w:val="008E3D08"/>
    <w:pPr>
      <w:pBdr>
        <w:top w:val="single" w:color="2F5496" w:themeColor="accent1" w:themeShade="BF" w:sz="4" w:space="10"/>
        <w:bottom w:val="single" w:color="2F5496" w:themeColor="accent1" w:themeShade="BF" w:sz="4" w:space="10"/>
      </w:pBdr>
      <w:spacing w:before="360" w:after="360"/>
      <w:ind w:left="864" w:right="864"/>
      <w:jc w:val="center"/>
    </w:pPr>
    <w:rPr>
      <w:i w:val="1"/>
      <w:iCs w:val="1"/>
      <w:color w:val="2F5496" w:themeColor="accent1" w:themeShade="BF"/>
    </w:rPr>
  </w:style>
  <w:style w:type="character" w:styleId="00002d">
    <w:name w:val="Unresolved Mention"/>
    <w:basedOn w:val="00001a"/>
    <w:uiPriority w:val="99"/>
    <w:semiHidden w:val="1"/>
    <w:unhideWhenUsed w:val="1"/>
    <w:rsid w:val="00E92986"/>
    <w:rPr>
      <w:color w:val="605E5C"/>
      <w:shd w:val="clear" w:color="auto" w:fill="E1DFDD"/>
    </w:rPr>
  </w:style>
  <w:style w:type="character" w:styleId="00001e" w:customStyle="1">
    <w:name w:val="标题 字符"/>
    <w:basedOn w:val="00001a"/>
    <w:link w:val="00001d"/>
    <w:uiPriority w:val="10"/>
    <w:rsid w:val="008E3D08"/>
    <w:rPr>
      <w:rFonts w:asciiTheme="majorHAnsi" w:hAnsiTheme="majorHAnsi" w:eastAsiaTheme="majorEastAsia" w:cstheme="majorBidi"/>
      <w:spacing w:val="-10"/>
      <w:kern w:val="28"/>
      <w:sz w:val="56"/>
      <w:szCs w:val="56"/>
    </w:rPr>
  </w:style>
  <w:style w:type="character" w:styleId="000027">
    <w:name w:val="Intense Reference"/>
    <w:basedOn w:val="00001a"/>
    <w:uiPriority w:val="32"/>
    <w:qFormat w:val="1"/>
    <w:rsid w:val="008E3D08"/>
    <w:rPr>
      <w:b w:val="1"/>
      <w:bCs w:val="1"/>
      <w:smallCaps w:val="1"/>
      <w:color w:val="2F5496" w:themeColor="accent1" w:themeShade="BF"/>
      <w:spacing w:val="5"/>
    </w:rPr>
  </w:style>
  <w:style w:type="paragraph" w:styleId="000021">
    <w:name w:val="Quote"/>
    <w:basedOn w:val="000007"/>
    <w:next w:val="000007"/>
    <w:link w:val="000022"/>
    <w:uiPriority w:val="29"/>
    <w:qFormat w:val="1"/>
    <w:rsid w:val="008E3D08"/>
    <w:pPr>
      <w:spacing w:before="160" w:after="160"/>
      <w:jc w:val="center"/>
    </w:pPr>
    <w:rPr>
      <w:i w:val="1"/>
      <w:iCs w:val="1"/>
      <w:color w:val="404040" w:themeColor="text1" w:themeTint="BF"/>
    </w:rPr>
  </w:style>
  <w:style w:type="character" w:styleId="000029" w:customStyle="1">
    <w:name w:val="页眉 字符"/>
    <w:basedOn w:val="00001a"/>
    <w:link w:val="000028"/>
    <w:uiPriority w:val="99"/>
    <w:rsid w:val="005B51E2"/>
    <w:rPr>
      <w:kern w:val="0"/>
      <w:sz w:val="18"/>
      <w:szCs w:val="18"/>
      <w:lang w:eastAsia="en-US"/>
    </w:rPr>
  </w:style>
  <w:style w:type="paragraph" w:styleId="000016">
    <w:name w:val="heading 8"/>
    <w:basedOn w:val="000007"/>
    <w:next w:val="000007"/>
    <w:link w:val="000017"/>
    <w:uiPriority w:val="9"/>
    <w:semiHidden w:val="1"/>
    <w:unhideWhenUsed w:val="1"/>
    <w:qFormat w:val="1"/>
    <w:rsid w:val="008E3D08"/>
    <w:pPr>
      <w:keepNext w:val="1"/>
      <w:keepLines w:val="1"/>
      <w:outlineLvl w:val="7"/>
    </w:pPr>
    <w:rPr>
      <w:rFonts w:cstheme="majorBidi"/>
      <w:color w:val="595959" w:themeColor="text1" w:themeTint="A6"/>
    </w:rPr>
  </w:style>
  <w:style w:type="paragraph" w:styleId="000014">
    <w:name w:val="heading 7"/>
    <w:basedOn w:val="000007"/>
    <w:next w:val="000007"/>
    <w:link w:val="000015"/>
    <w:uiPriority w:val="9"/>
    <w:semiHidden w:val="1"/>
    <w:unhideWhenUsed w:val="1"/>
    <w:qFormat w:val="1"/>
    <w:rsid w:val="008E3D08"/>
    <w:pPr>
      <w:keepNext w:val="1"/>
      <w:keepLines w:val="1"/>
      <w:spacing w:before="40"/>
      <w:outlineLvl w:val="6"/>
    </w:pPr>
    <w:rPr>
      <w:rFonts w:cstheme="majorBidi"/>
      <w:b w:val="1"/>
      <w:bCs w:val="1"/>
      <w:color w:val="595959" w:themeColor="text1" w:themeTint="A6"/>
    </w:rPr>
  </w:style>
  <w:style w:type="character" w:styleId="000017" w:customStyle="1">
    <w:name w:val="标题 8 字符"/>
    <w:basedOn w:val="00001a"/>
    <w:link w:val="000016"/>
    <w:uiPriority w:val="9"/>
    <w:semiHidden w:val="1"/>
    <w:rsid w:val="008E3D08"/>
    <w:rPr>
      <w:rFonts w:cstheme="majorBidi"/>
      <w:color w:val="595959" w:themeColor="text1" w:themeTint="A6"/>
    </w:rPr>
  </w:style>
  <w:style w:type="paragraph" w:styleId="00000c">
    <w:name w:val="heading 3"/>
    <w:basedOn w:val="000007"/>
    <w:next w:val="000007"/>
    <w:link w:val="00000d"/>
    <w:uiPriority w:val="9"/>
    <w:semiHidden w:val="1"/>
    <w:unhideWhenUsed w:val="1"/>
    <w:qFormat w:val="1"/>
    <w:rsid w:val="008E3D08"/>
    <w:pPr>
      <w:keepNext w:val="1"/>
      <w:keepLines w:val="1"/>
      <w:spacing w:before="160" w:after="80"/>
      <w:outlineLvl w:val="2"/>
    </w:pPr>
    <w:rPr>
      <w:rFonts w:asciiTheme="majorHAnsi" w:hAnsiTheme="majorHAnsi" w:eastAsiaTheme="majorEastAsia" w:cstheme="majorBidi"/>
      <w:color w:val="2F5496" w:themeColor="accent1" w:themeShade="BF"/>
      <w:sz w:val="32"/>
      <w:szCs w:val="32"/>
    </w:rPr>
  </w:style>
  <w:style w:type="paragraph" w:styleId="000008">
    <w:name w:val="heading 1"/>
    <w:basedOn w:val="000007"/>
    <w:next w:val="000007"/>
    <w:link w:val="000009"/>
    <w:uiPriority w:val="9"/>
    <w:qFormat w:val="1"/>
    <w:rsid w:val="008E3D08"/>
    <w:pPr>
      <w:keepNext w:val="1"/>
      <w:keepLines w:val="1"/>
      <w:spacing w:before="480" w:after="80"/>
      <w:outlineLvl w:val="0"/>
    </w:pPr>
    <w:rPr>
      <w:rFonts w:asciiTheme="majorHAnsi" w:hAnsiTheme="majorHAnsi" w:eastAsiaTheme="majorEastAsia" w:cstheme="majorBidi"/>
      <w:color w:val="2F5496" w:themeColor="accent1" w:themeShade="BF"/>
      <w:sz w:val="48"/>
      <w:szCs w:val="48"/>
    </w:rPr>
  </w:style>
  <w:style w:type="character" w:styleId="000022" w:customStyle="1">
    <w:name w:val="引用 字符"/>
    <w:basedOn w:val="00001a"/>
    <w:link w:val="000021"/>
    <w:uiPriority w:val="29"/>
    <w:rsid w:val="008E3D08"/>
    <w:rPr>
      <w:i w:val="1"/>
      <w:iCs w:val="1"/>
      <w:color w:val="404040" w:themeColor="text1" w:themeTint="BF"/>
    </w:rPr>
  </w:style>
  <w:style w:type="character" w:styleId="000019" w:customStyle="1">
    <w:name w:val="标题 9 字符"/>
    <w:basedOn w:val="00001a"/>
    <w:link w:val="000018"/>
    <w:uiPriority w:val="9"/>
    <w:semiHidden w:val="1"/>
    <w:rsid w:val="008E3D08"/>
    <w:rPr>
      <w:rFonts w:eastAsiaTheme="majorEastAsia" w:cstheme="majorBidi"/>
      <w:color w:val="595959" w:themeColor="text1" w:themeTint="A6"/>
    </w:rPr>
  </w:style>
  <w:style w:type="character" w:styleId="000011" w:customStyle="1">
    <w:name w:val="标题 5 字符"/>
    <w:basedOn w:val="00001a"/>
    <w:link w:val="000010"/>
    <w:uiPriority w:val="9"/>
    <w:semiHidden w:val="1"/>
    <w:rsid w:val="008E3D08"/>
    <w:rPr>
      <w:rFonts w:cstheme="majorBidi"/>
      <w:color w:val="2F5496" w:themeColor="accent1" w:themeShade="BF"/>
      <w:sz w:val="24"/>
      <w:szCs w:val="24"/>
    </w:rPr>
  </w:style>
  <w:style w:type="character" w:styleId="000013" w:customStyle="1">
    <w:name w:val="标题 6 字符"/>
    <w:basedOn w:val="00001a"/>
    <w:link w:val="000012"/>
    <w:uiPriority w:val="9"/>
    <w:semiHidden w:val="1"/>
    <w:rsid w:val="008E3D08"/>
    <w:rPr>
      <w:rFonts w:cstheme="majorBidi"/>
      <w:b w:val="1"/>
      <w:bCs w:val="1"/>
      <w:color w:val="2F5496" w:themeColor="accent1" w:themeShade="BF"/>
    </w:rPr>
  </w:style>
</w:styles>
</file>

<file path=word/_rels/document.xml.rels><?xml version="1.0" encoding="UTF-8" standalone="yes"?><Relationships xmlns="http://schemas.openxmlformats.org/package/2006/relationships"><Relationship Id="rId5"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fontTable" Target="fontTable.xml" /><Relationship Id="rId1" Type="http://schemas.openxmlformats.org/officeDocument/2006/relationships/settings" Target="settings.xml" /><Relationship Id="rId2" Type="http://schemas.openxmlformats.org/officeDocument/2006/relationships/footnotes" Target="footnotes.xml" /><Relationship Id="rId3" Type="http://schemas.openxmlformats.org/officeDocument/2006/relationships/endnotes" Target="endnotes.xml" /><Relationship Id="rId7" Type="http://schemas.openxmlformats.org/officeDocument/2006/relationships/image" Target="media/image1.png" /><Relationship Id="rId6" Type="http://schemas.openxmlformats.org/officeDocument/2006/relationships/numbering" Target="numbering.xml" /><Relationship Id="rId8" Type="http://schemas.openxmlformats.org/officeDocument/2006/relationships/image" Target="media/image2.png"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2026-09-02T10:21:24Z</dcterms:created>
  <dcterms:modified xsi:type="dcterms:W3CDTF">2026-09-02T10:21:24Z</dcterms:modified>
</cp:coreProperties>
</file>