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w14:paraId="11C38C3B">
      <w:pPr>
        <w:spacing w:after="56" w:afterLines="18"/>
        <w:jc w:val="center"/>
        <w:rPr>
          <w:rFonts w:ascii="Times New Roman" w:hAnsi="Times New Roman" w:eastAsia="黑体" w:cs="Times New Roman"/>
          <w:sz w:val="32"/>
          <w:szCs w:val="32"/>
          <w:lang w:eastAsia="zh-CN"/>
        </w:rPr>
      </w:pPr>
      <w:r>
        <w:rPr>
          <w:rFonts w:hint="eastAsia" w:ascii="Times New Roman" w:hAnsi="Times New Roman" w:eastAsia="宋体" w:cs="Times New Roman"/>
          <w:sz w:val="44"/>
          <w:szCs w:val="32"/>
          <w:lang w:eastAsia="zh-CN"/>
        </w:rPr>
        <w:t xml:space="preserve">疾控科研人才动态积分与标签画像评价系统</w:t>
      </w:r>
      <w:r>
        <w:rPr>
          <w:rFonts w:hint="eastAsia" w:ascii="Times New Roman" w:hAnsi="Times New Roman" w:eastAsia="宋体" w:cs="Times New Roman"/>
          <w:sz w:val="44"/>
          <w:szCs w:val="32"/>
          <w:vertAlign w:val="superscript"/>
          <w:lang w:eastAsia="zh-CN"/>
        </w:rPr>
        <w:t xml:space="preserve">①</w:t>
      </w:r>
    </w:p>
    <w:p w14:paraId="6274162B">
      <w:pPr>
        <w:spacing w:before="120" w:after="24" w:afterLines="8"/>
        <w:jc w:val="center"/>
        <w:rPr>
          <w:rFonts w:hint="default"/>
          <w:lang w:val="en-US" w:eastAsia="zh-CN"/>
        </w:rPr>
      </w:pPr>
      <w:r>
        <w:rPr>
          <w:rFonts w:hint="eastAsia" w:ascii="Times New Roman" w:hAnsi="Times New Roman" w:eastAsia="宋体" w:cs="Times New Roman"/>
          <w:sz w:val="28"/>
          <w:szCs w:val="28"/>
          <w:lang w:eastAsia="zh-CN"/>
        </w:rPr>
        <w:t>杨文超</w:t>
      </w:r>
      <w:r>
        <w:rPr>
          <w:rFonts w:hint="eastAsia" w:ascii="Times New Roman" w:hAnsi="Times New Roman" w:eastAsia="宋体" w:cs="Times New Roman"/>
          <w:sz w:val="28"/>
          <w:szCs w:val="28"/>
          <w:vertAlign w:val="superscript"/>
          <w:lang w:val="en-US" w:eastAsia="zh-CN"/>
        </w:rPr>
        <w:t>1</w:t>
      </w:r>
      <w:r>
        <w:rPr>
          <w:rFonts w:hint="eastAsia" w:ascii="Times New Roman" w:hAnsi="Times New Roman" w:eastAsia="宋体" w:cs="Times New Roman"/>
          <w:sz w:val="28"/>
          <w:szCs w:val="28"/>
          <w:lang w:eastAsia="zh-CN"/>
        </w:rPr>
        <w:t>，张卫兵</w:t>
      </w:r>
      <w:r>
        <w:rPr>
          <w:rFonts w:hint="eastAsia" w:ascii="Times New Roman" w:hAnsi="Times New Roman" w:eastAsia="宋体" w:cs="Times New Roman"/>
          <w:sz w:val="28"/>
          <w:szCs w:val="28"/>
          <w:vertAlign w:val="superscript"/>
          <w:lang w:val="en-US" w:eastAsia="zh-CN"/>
        </w:rPr>
        <w:t>2*</w:t>
      </w:r>
      <w:r>
        <w:rPr>
          <w:rFonts w:hint="eastAsia" w:ascii="Times New Roman" w:hAnsi="Times New Roman" w:eastAsia="宋体" w:cs="Times New Roman"/>
          <w:sz w:val="28"/>
          <w:szCs w:val="28"/>
          <w:lang w:eastAsia="zh-CN"/>
        </w:rPr>
        <w:t>，练维</w:t>
      </w:r>
      <w:r>
        <w:rPr>
          <w:rFonts w:hint="eastAsia" w:ascii="Times New Roman" w:hAnsi="Times New Roman" w:eastAsia="宋体" w:cs="Times New Roman"/>
          <w:sz w:val="28"/>
          <w:szCs w:val="28"/>
          <w:vertAlign w:val="superscript"/>
          <w:lang w:val="en-US" w:eastAsia="zh-CN"/>
        </w:rPr>
        <w:t>1</w:t>
      </w:r>
      <w:r>
        <w:rPr>
          <w:rFonts w:hint="eastAsia" w:ascii="Times New Roman" w:hAnsi="Times New Roman" w:eastAsia="宋体" w:cs="Times New Roman"/>
          <w:sz w:val="28"/>
          <w:szCs w:val="28"/>
          <w:lang w:eastAsia="zh-CN"/>
        </w:rPr>
        <w:t>，徐小卫</w:t>
      </w:r>
      <w:r>
        <w:rPr>
          <w:rFonts w:hint="eastAsia" w:ascii="Times New Roman" w:hAnsi="Times New Roman" w:eastAsia="宋体" w:cs="Times New Roman"/>
          <w:sz w:val="28"/>
          <w:szCs w:val="28"/>
          <w:vertAlign w:val="superscript"/>
          <w:lang w:val="en-US" w:eastAsia="zh-CN"/>
        </w:rPr>
        <w:t>3</w:t>
      </w:r>
      <w:r>
        <w:rPr>
          <w:rFonts w:hint="eastAsia" w:ascii="Times New Roman" w:hAnsi="Times New Roman" w:eastAsia="宋体" w:cs="Times New Roman"/>
          <w:sz w:val="28"/>
          <w:szCs w:val="28"/>
          <w:lang w:eastAsia="zh-CN"/>
        </w:rPr>
        <w:t>，王秦</w:t>
      </w:r>
      <w:r>
        <w:rPr>
          <w:rFonts w:hint="eastAsia" w:ascii="Times New Roman" w:hAnsi="Times New Roman" w:eastAsia="宋体" w:cs="Times New Roman"/>
          <w:sz w:val="28"/>
          <w:szCs w:val="28"/>
          <w:vertAlign w:val="superscript"/>
          <w:lang w:val="en-US" w:eastAsia="zh-CN"/>
        </w:rPr>
        <w:t>1</w:t>
      </w:r>
    </w:p>
    <w:p w14:paraId="1A835FA4">
      <w:pPr>
        <w:spacing w:after="62" w:afterLines="20"/>
        <w:jc w:val="center"/>
        <w:rPr>
          <w:rFonts w:hint="eastAsia" w:ascii="Times New Roman" w:hAnsi="Times New Roman" w:eastAsia="楷体" w:cs="Times New Roman"/>
          <w:sz w:val="18"/>
          <w:szCs w:val="18"/>
          <w:lang w:eastAsia="zh-CN"/>
        </w:rPr>
      </w:pPr>
      <w:r>
        <w:rPr>
          <w:rFonts w:hint="eastAsia"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eastAsia="zh-CN"/>
        </w:rPr>
        <w:t>（南通市疾病预防控制中心科研与质量管理科，南通 226001）</w:t>
      </w:r>
    </w:p>
    <w:p w14:paraId="1B48BD5F">
      <w:pPr>
        <w:spacing w:after="62" w:afterLines="20"/>
        <w:jc w:val="center"/>
        <w:rPr>
          <w:rFonts w:hint="eastAsia" w:ascii="Times New Roman" w:hAnsi="Times New Roman" w:eastAsia="楷体" w:cs="Times New Roman"/>
          <w:sz w:val="18"/>
          <w:szCs w:val="18"/>
          <w:lang w:eastAsia="zh-CN"/>
        </w:rPr>
      </w:pPr>
      <w:r>
        <w:rPr>
          <w:rFonts w:hint="eastAsia" w:ascii="Times New Roman" w:hAnsi="Times New Roman" w:eastAsia="宋体" w:cs="Times New Roman"/>
          <w:sz w:val="18"/>
          <w:szCs w:val="18"/>
          <w:lang w:val="en-US" w:eastAsia="zh-CN"/>
        </w:rPr>
        <w:t>2</w:t>
      </w:r>
      <w:r>
        <w:rPr>
          <w:rFonts w:hint="eastAsia" w:ascii="Times New Roman" w:hAnsi="Times New Roman" w:eastAsia="宋体" w:cs="Times New Roman"/>
          <w:sz w:val="18"/>
          <w:szCs w:val="18"/>
          <w:lang w:eastAsia="zh-CN"/>
        </w:rPr>
        <w:t>(南通市疾病预防控制中心</w:t>
      </w:r>
      <w:r>
        <w:rPr>
          <w:rFonts w:hint="eastAsia" w:ascii="Times New Roman" w:hAnsi="Times New Roman" w:eastAsia="宋体" w:cs="Times New Roman"/>
          <w:sz w:val="18"/>
          <w:szCs w:val="18"/>
          <w:lang w:val="en-US" w:eastAsia="zh-CN"/>
        </w:rPr>
        <w:t>主任室</w:t>
      </w:r>
      <w:r>
        <w:rPr>
          <w:rFonts w:hint="eastAsia" w:ascii="Times New Roman" w:hAnsi="Times New Roman" w:eastAsia="宋体" w:cs="Times New Roman"/>
          <w:sz w:val="18"/>
          <w:szCs w:val="18"/>
          <w:lang w:eastAsia="zh-CN"/>
        </w:rPr>
        <w:t>，南通 226001)</w:t>
      </w:r>
    </w:p>
    <w:p w14:paraId="4DDA8EB6">
      <w:pPr>
        <w:spacing w:after="62" w:afterLines="20"/>
        <w:jc w:val="center"/>
        <w:rPr>
          <w:rFonts w:hint="eastAsia" w:ascii="Times New Roman" w:hAnsi="Times New Roman" w:eastAsia="楷体" w:cs="Times New Roman"/>
          <w:sz w:val="18"/>
          <w:szCs w:val="18"/>
          <w:lang w:eastAsia="zh-CN"/>
        </w:rPr>
      </w:pPr>
      <w:r>
        <w:rPr>
          <w:rFonts w:hint="eastAsia" w:ascii="Times New Roman" w:hAnsi="Times New Roman" w:eastAsia="宋体" w:cs="Times New Roman"/>
          <w:sz w:val="18"/>
          <w:szCs w:val="18"/>
          <w:lang w:val="en-US" w:eastAsia="zh-CN"/>
        </w:rPr>
        <w:t>3</w:t>
      </w:r>
      <w:r>
        <w:rPr>
          <w:rFonts w:hint="eastAsia" w:ascii="Times New Roman" w:hAnsi="Times New Roman" w:eastAsia="宋体" w:cs="Times New Roman"/>
          <w:sz w:val="18"/>
          <w:szCs w:val="18"/>
          <w:lang w:eastAsia="zh-CN"/>
        </w:rPr>
        <w:t>(南通市疾病预防控制中心</w:t>
      </w:r>
      <w:r>
        <w:rPr>
          <w:rFonts w:hint="eastAsia" w:ascii="Times New Roman" w:hAnsi="Times New Roman" w:eastAsia="宋体" w:cs="Times New Roman"/>
          <w:sz w:val="18"/>
          <w:szCs w:val="18"/>
          <w:lang w:val="en-US" w:eastAsia="zh-CN"/>
        </w:rPr>
        <w:t>信息管理科</w:t>
      </w:r>
      <w:r>
        <w:rPr>
          <w:rFonts w:hint="eastAsia" w:ascii="Times New Roman" w:hAnsi="Times New Roman" w:eastAsia="宋体" w:cs="Times New Roman"/>
          <w:sz w:val="18"/>
          <w:szCs w:val="18"/>
          <w:lang w:eastAsia="zh-CN"/>
        </w:rPr>
        <w:t>，南通 226001)</w:t>
      </w:r>
    </w:p>
    <w:p w14:paraId="043C7203">
      <w:pPr>
        <w:spacing w:after="62" w:afterLines="20"/>
        <w:jc w:val="center"/>
        <w:rPr>
          <w:rFonts w:hint="eastAsia" w:ascii="Times New Roman" w:hAnsi="Times New Roman" w:eastAsia="楷体" w:cs="Times New Roman"/>
          <w:sz w:val="18"/>
          <w:szCs w:val="18"/>
          <w:lang w:eastAsia="zh-CN"/>
        </w:rPr>
      </w:pPr>
    </w:p>
    <w:p w14:paraId="7F9010A1">
      <w:pPr>
        <w:rPr>
          <w:rFonts w:hint="default" w:ascii="Times New Roman" w:hAnsi="Times New Roman" w:eastAsia="楷体" w:cs="Times New Roman"/>
          <w:sz w:val="18"/>
          <w:szCs w:val="18"/>
          <w:lang w:val="en-US" w:eastAsia="zh-CN"/>
        </w:rPr>
      </w:pPr>
      <w:bookmarkStart w:id="6" w:name="_GoBack"/>
      <w:bookmarkEnd w:id="6"/>
      <w:r>
        <w:rPr>
          <w:rFonts w:hint="eastAsia" w:ascii="Times New Roman" w:hAnsi="Times New Roman" w:eastAsia="宋体" w:cs="Times New Roman"/>
          <w:sz w:val="18"/>
          <w:szCs w:val="18"/>
          <w:lang w:eastAsia="zh-CN"/>
        </w:rPr>
        <w:t xml:space="preserve">通信作者：张卫兵，E-mail: 573816315@qq.com</w:t>
      </w:r>
    </w:p>
    <w:p w14:paraId="3BCAC742">
      <w:pPr>
        <w:spacing w:after="18" w:afterLines="6" w:line="264" w:lineRule="auto"/>
        <w:jc w:val="both"/>
        <w:rPr>
          <w:rFonts w:hint="eastAsia"/>
          <w:lang w:eastAsia="zh-CN"/>
        </w:rPr>
      </w:pPr>
      <w:r>
        <w:rPr>
          <w:rFonts w:hint="eastAsia" w:ascii="Times New Roman" w:hAnsi="Times New Roman" w:eastAsia="宋体" w:cs="Times New Roman"/>
          <w:bCs/>
          <w:sz w:val="18"/>
          <w:szCs w:val="18"/>
          <w:lang w:eastAsia="zh-CN"/>
        </w:rPr>
        <w:t xml:space="preserve">摘　要：针对基层疾控机构科研人才评价长期依赖人工台账与年终汇总、难以刻画个体能力动态演进的问题，设计并实现疾控科研人才评价系统。首先，提出面向多作者成果的分段权重积分分配模型，以 Kronecker δ 函数统一刻画作者序位与分配系数的映射关系，并采用名义分值制以契合疾控机构多科室协作攻关的导向；其次，构建以一阶指数加权移动平均（α = 0.7）为核心的动态标签权重模型，并将指数时间衰减（λ = 0.14）前置嵌入行为积分归一化环节，使标签权重、能力维度得分与人才画像构成量纲一致的计算链路；最后，以有限状态机实现无第三方框架依赖的三级审批工作流引擎，审核环节由配置表驱动，修改配置即可调整而无需重新发布。系统基于 Spring Boot、Vue.js 与 MySQL 8.0 实现，在南通市疾病预防控制中心运行 3 个月，覆盖 270 名科研人员：平均审核周期由 7 d 缩短至 2 d，积分核算差错率由 3.54% 降至 0.08%，动态能力标签相对专家标注的 F1 值为 0.86。以本中心 2024—2025 年公开发表的 183 篇论文为样本的对比实验表明，本文分配方法与均分法的人才排名 Spearman 秩相关为 0.864，合作规模高于中位数的人员名次系统性上升，与名义分值制鼓励协作的设计意图一致。结果表明，该系统可提升疾控机构科研人才评价的精细度与审核效率，为同类公共卫生机构提供可复用的模型与实现路径。</w:t>
      </w:r>
    </w:p>
    <w:p w14:paraId="6D4AFB8D">
      <w:pPr>
        <w:spacing w:after="18" w:afterLines="6" w:line="264" w:lineRule="auto"/>
        <w:jc w:val="both"/>
        <w:rPr>
          <w:rFonts w:hint="eastAsia"/>
          <w:lang w:eastAsia="zh-CN"/>
        </w:rPr>
      </w:pPr>
      <w:r>
        <w:rPr>
          <w:rFonts w:hint="eastAsia" w:ascii="Times New Roman" w:hAnsi="Times New Roman" w:eastAsia="宋体" w:cs="Times New Roman"/>
          <w:bCs/>
          <w:sz w:val="18"/>
          <w:szCs w:val="18"/>
          <w:lang w:eastAsia="zh-CN"/>
        </w:rPr>
        <w:t xml:space="preserve">关键词：积分量化评价；标签权重模型；时间衰减算法；工作流引擎；人才画像；科研管理信息系统；疾病预防控制中心</w:t>
      </w:r>
    </w:p>
    <w:p w14:paraId="70A1427C">
      <w:pPr>
        <w:spacing w:after="62" w:afterLines="20" w:line="264" w:lineRule="auto"/>
        <w:rPr>
          <w:rFonts w:hint="eastAsia"/>
          <w:lang w:eastAsia="zh-CN"/>
        </w:rPr>
      </w:pPr>
      <w:r>
        <w:rPr>
          <w:rFonts w:hint="eastAsia" w:ascii="Times New Roman" w:hAnsi="Times New Roman" w:eastAsia="宋体" w:cs="Times New Roman"/>
          <w:bCs/>
          <w:sz w:val="18"/>
          <w:szCs w:val="18"/>
          <w:lang w:eastAsia="zh-CN"/>
        </w:rPr>
        <w:t xml:space="preserve">中图分类号：TP311.5　　文献标识码：A</w:t>
      </w:r>
    </w:p>
    <w:p w14:paraId="3CF8DF42">
      <w:pPr>
        <w:spacing w:before="120" w:after="24" w:afterLines="8"/>
        <w:jc w:val="center"/>
        <w:rPr>
          <w:rFonts w:hint="eastAsia"/>
        </w:rPr>
      </w:pPr>
      <w:r>
        <w:rPr>
          <w:rFonts w:ascii="Times New Roman" w:hAnsi="Times New Roman" w:eastAsia="宋体" w:cs="Times New Roman"/>
          <w:bCs/>
          <w:sz w:val="24"/>
          <w:szCs w:val="24"/>
        </w:rPr>
        <w:t xml:space="preserve">A Dynamic-Points and Tag-Profiling Evaluation System for CDC Research Talent</w:t>
      </w:r>
    </w:p>
    <w:p w14:paraId="3299C829">
      <w:pPr>
        <w:spacing w:after="18" w:afterLines="6"/>
        <w:jc w:val="center"/>
        <w:rPr>
          <w:rFonts w:hint="eastAsia"/>
          <w:lang w:eastAsia="zh-CN"/>
        </w:rPr>
      </w:pPr>
      <w:r>
        <w:rPr>
          <w:rFonts w:ascii="Times New Roman" w:hAnsi="Times New Roman" w:eastAsia="宋体" w:cs="Times New Roman"/>
          <w:sz w:val="21"/>
          <w:szCs w:val="21"/>
        </w:rPr>
        <w:t xml:space="preserve">YANG Wen-chao</w:t>
      </w:r>
      <w:r>
        <w:rPr>
          <w:rFonts w:ascii="Times New Roman" w:hAnsi="Times New Roman" w:eastAsia="宋体" w:cs="Times New Roman"/>
          <w:sz w:val="21"/>
          <w:szCs w:val="21"/>
          <w:vertAlign w:val="superscript"/>
        </w:rPr>
        <w:t xml:space="preserve">1</w:t>
      </w:r>
      <w:r>
        <w:rPr>
          <w:rFonts w:ascii="Times New Roman" w:hAnsi="Times New Roman" w:eastAsia="宋体" w:cs="Times New Roman"/>
          <w:sz w:val="21"/>
          <w:szCs w:val="21"/>
        </w:rPr>
        <w:t xml:space="preserve">, ZHANG Wei-bing</w:t>
      </w:r>
      <w:r>
        <w:rPr>
          <w:rFonts w:ascii="Times New Roman" w:hAnsi="Times New Roman" w:eastAsia="宋体" w:cs="Times New Roman"/>
          <w:sz w:val="21"/>
          <w:szCs w:val="21"/>
          <w:vertAlign w:val="superscript"/>
        </w:rPr>
        <w:t xml:space="preserve">2</w:t>
      </w:r>
      <w:r>
        <w:rPr>
          <w:rFonts w:ascii="Times New Roman" w:hAnsi="Times New Roman" w:eastAsia="宋体" w:cs="Times New Roman"/>
          <w:sz w:val="21"/>
          <w:szCs w:val="21"/>
        </w:rPr>
        <w:t xml:space="preserve">, LIAN Wei</w:t>
      </w:r>
      <w:r>
        <w:rPr>
          <w:rFonts w:ascii="Times New Roman" w:hAnsi="Times New Roman" w:eastAsia="宋体" w:cs="Times New Roman"/>
          <w:sz w:val="21"/>
          <w:szCs w:val="21"/>
          <w:vertAlign w:val="superscript"/>
        </w:rPr>
        <w:t xml:space="preserve">1</w:t>
      </w:r>
      <w:r>
        <w:rPr>
          <w:rFonts w:ascii="Times New Roman" w:hAnsi="Times New Roman" w:eastAsia="宋体" w:cs="Times New Roman"/>
          <w:sz w:val="21"/>
          <w:szCs w:val="21"/>
        </w:rPr>
        <w:t xml:space="preserve">, XU Xiao-wei</w:t>
      </w:r>
      <w:r>
        <w:rPr>
          <w:rFonts w:ascii="Times New Roman" w:hAnsi="Times New Roman" w:eastAsia="宋体" w:cs="Times New Roman"/>
          <w:sz w:val="21"/>
          <w:szCs w:val="21"/>
          <w:vertAlign w:val="superscript"/>
        </w:rPr>
        <w:t xml:space="preserve">3</w:t>
      </w:r>
      <w:r>
        <w:rPr>
          <w:rFonts w:ascii="Times New Roman" w:hAnsi="Times New Roman" w:eastAsia="宋体" w:cs="Times New Roman"/>
          <w:sz w:val="21"/>
          <w:szCs w:val="21"/>
        </w:rPr>
        <w:t xml:space="preserve">, WANG Qin</w:t>
      </w:r>
      <w:r>
        <w:rPr>
          <w:rFonts w:ascii="Times New Roman" w:hAnsi="Times New Roman" w:eastAsia="宋体" w:cs="Times New Roman"/>
          <w:sz w:val="21"/>
          <w:szCs w:val="21"/>
          <w:vertAlign w:val="superscript"/>
        </w:rPr>
        <w:t xml:space="preserve">1</w:t>
      </w:r>
    </w:p>
    <w:p w14:paraId="50A096EC">
      <w:pPr>
        <w:spacing w:after="68" w:afterLines="22"/>
        <w:jc w:val="center"/>
        <w:rPr>
          <w:rFonts w:hint="eastAsia"/>
        </w:rPr>
      </w:pPr>
      <w:r>
        <w:rPr>
          <w:rFonts w:ascii="Times New Roman" w:hAnsi="Times New Roman" w:eastAsia="宋体" w:cs="Times New Roman"/>
          <w:iCs/>
          <w:sz w:val="18"/>
          <w:szCs w:val="18"/>
        </w:rPr>
        <w:t xml:space="preserve">(</w:t>
      </w:r>
      <w:r>
        <w:rPr>
          <w:rFonts w:ascii="Times New Roman" w:hAnsi="Times New Roman" w:eastAsia="宋体" w:cs="Times New Roman"/>
          <w:iCs/>
          <w:sz w:val="18"/>
          <w:szCs w:val="18"/>
          <w:vertAlign w:val="superscript"/>
        </w:rPr>
        <w:t xml:space="preserve">1</w:t>
      </w:r>
      <w:r>
        <w:rPr>
          <w:rFonts w:ascii="Times New Roman" w:hAnsi="Times New Roman" w:eastAsia="宋体" w:cs="Times New Roman"/>
          <w:iCs/>
          <w:sz w:val="18"/>
          <w:szCs w:val="18"/>
        </w:rPr>
        <w:t xml:space="preserve">Division of Research and Quality Management, Nantong Center for Disease Control and Prevention, Nantong 226001, China; </w:t>
      </w:r>
      <w:r>
        <w:rPr>
          <w:rFonts w:ascii="Times New Roman" w:hAnsi="Times New Roman" w:eastAsia="宋体" w:cs="Times New Roman"/>
          <w:iCs/>
          <w:sz w:val="18"/>
          <w:szCs w:val="18"/>
          <w:vertAlign w:val="superscript"/>
        </w:rPr>
        <w:t xml:space="preserve">2</w:t>
      </w:r>
      <w:r>
        <w:rPr>
          <w:rFonts w:ascii="Times New Roman" w:hAnsi="Times New Roman" w:eastAsia="宋体" w:cs="Times New Roman"/>
          <w:iCs/>
          <w:sz w:val="18"/>
          <w:szCs w:val="18"/>
        </w:rPr>
        <w:t xml:space="preserve">Director’s Office, Nantong Center for Disease Control and Prevention, Nantong 226001, China; </w:t>
      </w:r>
      <w:r>
        <w:rPr>
          <w:rFonts w:ascii="Times New Roman" w:hAnsi="Times New Roman" w:eastAsia="宋体" w:cs="Times New Roman"/>
          <w:iCs/>
          <w:sz w:val="18"/>
          <w:szCs w:val="18"/>
          <w:vertAlign w:val="superscript"/>
        </w:rPr>
        <w:t xml:space="preserve">3</w:t>
      </w:r>
      <w:r>
        <w:rPr>
          <w:rFonts w:ascii="Times New Roman" w:hAnsi="Times New Roman" w:eastAsia="宋体" w:cs="Times New Roman"/>
          <w:iCs/>
          <w:sz w:val="18"/>
          <w:szCs w:val="18"/>
        </w:rPr>
        <w:t xml:space="preserve">Division of Information Management, Nantong Center for Disease Control and Prevention, Nantong 226001, China)</w:t>
      </w:r>
    </w:p>
    <w:p w14:paraId="75808F65">
      <w:pPr>
        <w:spacing w:after="18" w:afterLines="6" w:line="264" w:lineRule="auto"/>
        <w:jc w:val="both"/>
        <w:rPr>
          <w:rFonts w:hint="eastAsia"/>
        </w:rPr>
      </w:pPr>
      <w:r>
        <w:rPr>
          <w:rFonts w:ascii="Times New Roman" w:hAnsi="Times New Roman" w:eastAsia="宋体" w:cs="Times New Roman"/>
          <w:bCs/>
          <w:sz w:val="18"/>
          <w:szCs w:val="18"/>
        </w:rPr>
        <w:t xml:space="preserve">Abstract: Research talent evaluation in grassroots centers for disease control and prevention (CDC) has long relied on manual ledgers and year-end summaries, which can hardly capture how individual capability evolves. A CDC research talent evaluation system is therefore designed and implemented. First, a piecewise weighting model based on the Kronecker delta function is proposed for multi-author outputs, adopting a nominal-credit scheme that matches the cross-department collaboration orientation of CDC institutions. Second, a dynamic tag weight model is built on the first-order exponentially weighted moving average (α = 0.7), with an exponential time decay (λ = 0.14) embedded ahead of behaviour-score normalization, so that tag weights, capability dimension scores and the talent profile form one dimensionally consistent computation chain. Third, a three-level approval workflow engine without third-party dependency is implemented as a finite state machine, whose stages are driven by a configuration table and can be adjusted without redeployment. Implemented with Spring Boot, Vue.js and MySQL 8.0, the system has run for three months at Nantong CDC covering 270 researchers: the approval cycle is shortened from 7 d to 2 d, the points-accounting error rate drops from 3.54% to 0.08%, and the dynamic capability tagging reaches an F1 of 0.86 against expert annotation. A comparative experiment on 183 papers published by the centre in 2024-2025, retrieved from CNKI, shows a Spearman rank correlation of 0.864 between the proposed allocation method and equal sharing, with researchers of above-median team size rising systematically in rank, which matches the collaboration-oriented intent of the nominal-credit scheme. The results show that the system improves the granularity and approval efficiency of research talent evaluation in CDC institutions and provides a reusable model and implementation path for comparable public health organizations.</w:t>
      </w:r>
    </w:p>
    <w:p w14:paraId="600A1BBD">
      <w:pPr>
        <w:spacing w:after="62" w:afterLines="20" w:line="264" w:lineRule="auto"/>
        <w:jc w:val="both"/>
        <w:rPr>
          <w:rFonts w:hint="eastAsia"/>
        </w:rPr>
      </w:pPr>
      <w:r>
        <w:rPr>
          <w:rFonts w:ascii="Times New Roman" w:hAnsi="Times New Roman" w:eastAsia="宋体" w:cs="Times New Roman"/>
          <w:bCs/>
          <w:sz w:val="18"/>
          <w:szCs w:val="18"/>
        </w:rPr>
        <w:t xml:space="preserve">Key words: points-based evaluation; tag weight model; time decay algorithm; workflow engine; talent profile; research management information system; center for disease control and prevention</w:t>
      </w:r>
    </w:p>
    <w:p w14:paraId="183BF205">
      <w:pPr>
        <w:spacing w:after="0" w:line="300" w:lineRule="exact"/>
        <w:ind w:firstLine="420" w:firstLineChars="20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在“科教兴卫、人才强卫”战略指引下，各级疾控机构日益重视科研能力建设，但基层疾控机构的科研人才评价仍存在方式粗放、“四唯”倾向明显、缺少动态量化手段等问题[1-2]，难以支撑科研梯队建设与精准激励。</w:t>
      </w:r>
    </w:p>
    <w:p w14:paraId="4EC06AC7">
      <w:pPr>
        <w:spacing w:after="0" w:line="300" w:lineRule="exact"/>
        <w:ind w:firstLine="420" w:firstLineChars="20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现有研究多从指标体系视角探讨科研评价[1]，亦有工作面向疾控信息化评价指标展开[3]，但其评价对象聚焦机构层面而非个人；围绕“破五唯”导向下的科研成果评价，相关研究分别从绩效拨款、组织机制与分类绩效等角度切入[4-7]，评价对象同样以机构为主；在用户画像与时序动态标签方面，已有方法验证了其有效性[8-9]，并将指数加权移动平均与时间衰减引入用户兴趣建模[10-11]，但均未考虑科研成果的长周期性与时效衰减。两类研究尚缺乏贯通。本文直接将成果积分作为行为信号接入标签权重更新，再经标签权重映射到能力维度，使量化与画像共用一条计算通路。沿此通路，多作者成果的积分如何分配、标签权重如何随时间衰减、审批环节如何免发布调整，是须先解决的三个问题，本文对应做了三方面工作。一是提出基于 Kronecker δ 函数的分段权重积分分配模型，以名义分值制替代总量守恒制，并与三种守恒型方法作了系数对比。二是把指数时间衰减前置嵌入行为积分归一化环节，与一阶指数加权移动平均共同构成成果的时效权重，使上述通路在量纲上保持一致。三是以有限状态机实现无第三方框架依赖的审批引擎，审核环节由配置表驱动，改配置即可调整，无需重新发布。</w:t>
      </w:r>
    </w:p>
    <w:p w14:paraId="46CD40A4">
      <w:pPr>
        <w:keepNext/>
        <w:keepLines/>
        <w:spacing w:before="156" w:beforeLines="50" w:after="93" w:afterLines="30" w:line="360" w:lineRule="auto"/>
        <w:outlineLvl w:val="0"/>
        <w:rPr>
          <w:rFonts w:hint="eastAsia"/>
          <w:lang w:eastAsia="zh-CN"/>
        </w:rPr>
      </w:pPr>
      <w:r>
        <w:rPr>
          <w:rFonts w:hint="eastAsia" w:ascii="Times New Roman" w:hAnsi="Times New Roman" w:eastAsia="宋体" w:cs="Times New Roman"/>
          <w:b/>
          <w:sz w:val="28"/>
          <w:szCs w:val="24"/>
          <w:lang w:eastAsia="zh-CN"/>
        </w:rPr>
        <w:t>1  系统总体架构</w:t>
      </w:r>
    </w:p>
    <w:p w14:paraId="4B35A014">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系统采用四层架构：表现层由 Spring Boot 的 @RestController 接收 HTTP 请求并调用业务服务，与 Vue.js 前端构成前后端分离结构[12]；业务逻辑层封装积分计算、审核流程控制、画像生成与排行统计等规则并管理事务；数据访问层通过 MyBatis 的 Mapper 接口与 XML 映射文件实现对象关系映射；数据层负责持久化与存储管理。这一分层与同类 Spring Boot 轻量级服务的组织方式一致[13]。可视化层集成 Apache ECharts[14]，数据库选用 MySQL 8.0，并引入 Redis 缓存提升查询效率。分层架构如图1所示。</w:t>
      </w:r>
    </w:p>
    <w:p w14:paraId="634B0A90">
      <w:pPr>
        <w:keepNext/>
        <w:jc w:val="center"/>
        <w:rPr>
          <w:rFonts w:hint="eastAsia"/>
        </w:rPr>
      </w:pPr>
      <w:r>
        <w:rPr>
          <w:rFonts w:ascii="Times New Roman" w:hAnsi="Times New Roman" w:eastAsia="宋体" w:cs="Times New Roman"/>
          <w:sz w:val="21"/>
          <w:szCs w:val="21"/>
        </w:rPr>
        <w:drawing>
          <wp:inline distT="0" distB="0" distL="0" distR="0">
            <wp:extent cx="2926080" cy="2713355"/>
            <wp:effectExtent l="0" t="0" r="0" b="0"/>
            <wp:docPr id="2" name="图片 1"/>
            <wp:cNvGraphicFramePr>
              <a:graphicFrameLocks noChangeAspect="1"/>
            </wp:cNvGraphicFramePr>
            <a:graphic>
              <a:graphicData uri="http://schemas.openxmlformats.org/drawingml/2006/picture">
                <pic:pic>
                  <pic:nvPicPr>
                    <pic:cNvPr id="2" name="图片 1"/>
                    <pic:cNvPicPr>
                      <a:picLocks noChangeAspect="1" noChangeArrowheads="1"/>
                    </pic:cNvPicPr>
                  </pic:nvPicPr>
                  <pic:blipFill>
                    <a:blip r:embed="rId6"/>
                    <a:srcRect/>
                    <a:stretch>
                      <a:fillRect/>
                    </a:stretch>
                  </pic:blipFill>
                  <pic:spPr>
                    <a:xfrm>
                      <a:off x="0" y="0"/>
                      <a:ext cx="2926080" cy="2713355"/>
                    </a:xfrm>
                    <a:prstGeom prst="rect">
                      <a:avLst/>
                    </a:prstGeom>
                    <a:noFill/>
                  </pic:spPr>
                </pic:pic>
              </a:graphicData>
            </a:graphic>
          </wp:inline>
        </w:drawing>
      </w:r>
    </w:p>
    <w:p w14:paraId="50E11459">
      <w:pPr>
        <w:keepNext/>
        <w:keepLines/>
        <w:spacing w:before="31" w:beforeLines="10" w:after="93" w:afterLines="30"/>
        <w:jc w:val="center"/>
        <w:rPr>
          <w:rFonts w:hint="eastAsia"/>
          <w:lang w:eastAsia="zh-CN"/>
        </w:rPr>
      </w:pPr>
      <w:r>
        <w:rPr>
          <w:rFonts w:hint="eastAsia" w:ascii="Times New Roman" w:hAnsi="Times New Roman" w:eastAsia="宋体" w:cs="Times New Roman"/>
          <w:sz w:val="18"/>
          <w:szCs w:val="18"/>
          <w:lang w:eastAsia="zh-CN"/>
        </w:rPr>
        <w:t>图1  系统分层架构</w:t>
      </w:r>
    </w:p>
    <w:p w14:paraId="65D67298">
      <w:pPr>
        <w:keepNext/>
        <w:keepLines/>
        <w:spacing w:before="156" w:beforeLines="50" w:after="93" w:afterLines="30" w:line="360" w:lineRule="auto"/>
        <w:outlineLvl w:val="0"/>
        <w:rPr>
          <w:rFonts w:hint="eastAsia"/>
          <w:lang w:eastAsia="zh-CN"/>
        </w:rPr>
      </w:pPr>
      <w:r>
        <w:rPr>
          <w:rFonts w:hint="eastAsia" w:ascii="Times New Roman" w:hAnsi="Times New Roman" w:eastAsia="宋体" w:cs="Times New Roman"/>
          <w:b/>
          <w:sz w:val="28"/>
          <w:szCs w:val="24"/>
          <w:lang w:eastAsia="zh-CN"/>
        </w:rPr>
        <w:t>2  核心功能模块设计</w:t>
      </w:r>
    </w:p>
    <w:p w14:paraId="6EF7305F">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系统设计了五大功能模块，构成申报、计算、画像、展示、权限的完整闭环。积分管理模块支持可视化配置 12 大类 46 项积分规则，成果提交后由计算引擎自动校验、核算分值并生成积分流水；人才画像模块构建由基础属性（学历、职称）、专业方向与能力维度（科研能力、项目管理、数据分析等 16 个维度）构成的动态标签体系[8-9]；统计分析模块的“人才晴雨表”仪表盘集成 Apache ECharts[14]，支持多维交叉统计与下钻；申报审核模块内置轻量级工作流引擎驱动三级审批；系统管理模块采用 RBAC 模型构建用户—角色—权限三层架构[15-16]，并承担基础数据维护与操作日志审计。</w:t>
      </w:r>
    </w:p>
    <w:p w14:paraId="1C078FB8">
      <w:pPr>
        <w:keepNext/>
        <w:keepLines/>
        <w:spacing w:before="156" w:beforeLines="50" w:after="93" w:afterLines="30" w:line="360" w:lineRule="auto"/>
        <w:outlineLvl w:val="0"/>
        <w:rPr>
          <w:rFonts w:hint="eastAsia"/>
          <w:lang w:eastAsia="zh-CN"/>
        </w:rPr>
      </w:pPr>
      <w:r>
        <w:rPr>
          <w:rFonts w:hint="eastAsia" w:ascii="Times New Roman" w:hAnsi="Times New Roman" w:eastAsia="宋体" w:cs="Times New Roman"/>
          <w:b/>
          <w:sz w:val="28"/>
          <w:szCs w:val="24"/>
          <w:lang w:eastAsia="zh-CN"/>
        </w:rPr>
        <w:t>3  关键技术实现</w:t>
      </w:r>
    </w:p>
    <w:p w14:paraId="69214C33">
      <w:pPr>
        <w:keepNext/>
        <w:keepLines/>
        <w:spacing w:before="93" w:beforeLines="30" w:after="62" w:afterLines="20" w:line="360" w:lineRule="auto"/>
        <w:outlineLvl w:val="1"/>
        <w:rPr>
          <w:rFonts w:hint="eastAsia"/>
          <w:lang w:eastAsia="zh-CN"/>
        </w:rPr>
      </w:pPr>
      <w:r>
        <w:rPr>
          <w:rFonts w:hint="eastAsia" w:ascii="Times New Roman" w:hAnsi="Times New Roman" w:eastAsia="宋体" w:cs="Times New Roman"/>
          <w:b/>
          <w:sz w:val="21"/>
          <w:szCs w:val="21"/>
          <w:lang w:eastAsia="zh-CN"/>
        </w:rPr>
        <w:t>3.1  可配置积分规则引擎</w:t>
      </w:r>
    </w:p>
    <w:p w14:paraId="3D752FDF">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传统实现中调整积分规则需修改代码并重新发布。为此，系统将全部积分规则存入数据库配置表：points_category 存储 12 个成果大类，points_item 定义分值标准、年度上限、有效期与适用职称范围，points_record 记录积分变动明细，管理员在后台修改配置即可实时生效。成果校验、重复申报拦截、年度上限判断、按作者序位分配与流水生成由 Spring 声明式事务封装，任一步骤出错即回滚。</w:t>
      </w:r>
    </w:p>
    <w:p w14:paraId="53BA54B4">
      <w:pPr>
        <w:keepNext/>
        <w:keepLines/>
        <w:spacing w:before="93" w:beforeLines="30" w:after="62" w:afterLines="20" w:line="360" w:lineRule="auto"/>
        <w:outlineLvl w:val="1"/>
        <w:rPr>
          <w:rFonts w:hint="eastAsia"/>
          <w:lang w:eastAsia="zh-CN"/>
        </w:rPr>
      </w:pPr>
      <w:r>
        <w:rPr>
          <w:rFonts w:hint="eastAsia" w:ascii="Times New Roman" w:hAnsi="Times New Roman" w:eastAsia="宋体" w:cs="Times New Roman"/>
          <w:b/>
          <w:sz w:val="21"/>
          <w:szCs w:val="21"/>
          <w:lang w:eastAsia="zh-CN"/>
        </w:rPr>
        <w:t>3.2  多作者积分权重分配模型</w:t>
      </w:r>
    </w:p>
    <w:p w14:paraId="2E505D4D">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多作者成果的积分分配是量化评价的难点：长期沿用以第一作者、通讯作者为统计口径的做法会抹杀普通合著者的贡献[17]，而分数分配法、调和计数法等既有方案[18]亦未考虑疾控机构鼓励多科室协作的导向。本文采用基于 Kronecker δ 函数的分段权重模型统一刻画作者序位与分配系数的映射关系，如式(1)、式(2)所示。</w:t>
      </w:r>
    </w:p>
    <w:p w14:paraId="5C1819A1">
      <w:pPr>
        <w:keepNext/>
        <w:keepLines/>
        <w:tabs>
          <w:tab w:val="center" w:pos="4153"/>
          <w:tab w:val="right" w:pos="8306"/>
        </w:tabs>
        <w:spacing w:before="46" w:beforeLines="15" w:after="46" w:afterLines="15"/>
        <w:rPr>
          <w:rFonts w:hint="eastAsia"/>
        </w:rPr>
      </w:pPr>
      <w:r>
        <w:rPr>
          <w:rFonts w:ascii="Times New Roman" w:hAnsi="Times New Roman" w:eastAsia="宋体"/>
          <w:lang w:eastAsia="zh-CN"/>
        </w:rPr>
        <w:tab/>
      </w:r>
      <m:oMath>
        <m:sSub>
          <m:sSubPr>
            <m:ctrlPr>
              <w:rPr>
                <w:rFonts w:ascii="Cambria Math" w:hAnsi="Cambria Math"/>
              </w:rPr>
            </m:ctrlPr>
          </m:sSubPr>
          <m:e>
            <m:r>
              <m:rPr/>
              <w:rPr>
                <w:rFonts w:ascii="Cambria Math" w:hAnsi="Cambria Math"/>
                <w:sz w:val="21"/>
                <w:szCs w:val="21"/>
              </w:rPr>
              <m:t>S</m:t>
            </m:r>
            <m:ctrlPr>
              <w:rPr>
                <w:rFonts w:ascii="Cambria Math" w:hAnsi="Cambria Math"/>
              </w:rPr>
            </m:ctrlPr>
          </m:e>
          <m:sub>
            <m:r>
              <m:rPr/>
              <w:rPr>
                <w:rFonts w:ascii="Cambria Math" w:hAnsi="Cambria Math"/>
                <w:sz w:val="21"/>
                <w:szCs w:val="21"/>
              </w:rPr>
              <m:t>i</m:t>
            </m:r>
            <m:ctrlPr>
              <w:rPr>
                <w:rFonts w:ascii="Cambria Math" w:hAnsi="Cambria Math"/>
              </w:rPr>
            </m:ctrlP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S</m:t>
            </m:r>
            <m:ctrlPr>
              <w:rPr>
                <w:rFonts w:ascii="Cambria Math" w:hAnsi="Cambria Math"/>
              </w:rPr>
            </m:ctrlPr>
          </m:e>
          <m:sub>
            <m:r>
              <m:rPr/>
              <w:rPr>
                <w:rFonts w:ascii="Cambria Math" w:hAnsi="Cambria Math"/>
                <w:sz w:val="21"/>
                <w:szCs w:val="21"/>
              </w:rPr>
              <m:t>total</m:t>
            </m:r>
            <m:ctrlPr>
              <w:rPr>
                <w:rFonts w:ascii="Cambria Math" w:hAnsi="Cambria Math"/>
              </w:rPr>
            </m:ctrlPr>
          </m:sub>
        </m:sSub>
        <m:r>
          <m:rPr/>
          <w:rPr>
            <w:rFonts w:ascii="Cambria Math" w:hAnsi="Cambria Math"/>
            <w:sz w:val="21"/>
            <w:szCs w:val="21"/>
          </w:rPr>
          <m:t xml:space="preserve"> × </m:t>
        </m:r>
        <m:d>
          <m:dPr>
            <m:ctrlPr>
              <w:rPr>
                <w:rFonts w:ascii="Cambria Math" w:hAnsi="Cambria Math"/>
              </w:rPr>
            </m:ctrlPr>
          </m:dPr>
          <m:e>
            <m:r>
              <m:rPr/>
              <w:rPr>
                <w:rFonts w:ascii="Cambria Math" w:hAnsi="Cambria Math"/>
                <w:sz w:val="21"/>
                <w:szCs w:val="21"/>
              </w:rPr>
              <m:t>0.2 + 0.8</m:t>
            </m:r>
            <m:sSub>
              <m:sSubPr>
                <m:ctrlPr>
                  <w:rPr>
                    <w:rFonts w:ascii="Cambria Math" w:hAnsi="Cambria Math"/>
                  </w:rPr>
                </m:ctrlPr>
              </m:sSubPr>
              <m:e>
                <m:r>
                  <m:rPr/>
                  <w:rPr>
                    <w:rFonts w:ascii="Cambria Math" w:hAnsi="Cambria Math"/>
                    <w:sz w:val="21"/>
                    <w:szCs w:val="21"/>
                  </w:rPr>
                  <m:t>δ</m:t>
                </m:r>
                <m:ctrlPr>
                  <w:rPr>
                    <w:rFonts w:ascii="Cambria Math" w:hAnsi="Cambria Math"/>
                  </w:rPr>
                </m:ctrlPr>
              </m:e>
              <m:sub>
                <m:r>
                  <m:rPr/>
                  <w:rPr>
                    <w:rFonts w:ascii="Cambria Math" w:hAnsi="Cambria Math"/>
                    <w:sz w:val="21"/>
                    <w:szCs w:val="21"/>
                  </w:rPr>
                  <m:t>i,1</m:t>
                </m:r>
                <m:ctrlPr>
                  <w:rPr>
                    <w:rFonts w:ascii="Cambria Math" w:hAnsi="Cambria Math"/>
                  </w:rPr>
                </m:ctrlPr>
              </m:sub>
            </m:sSub>
            <m:r>
              <m:rPr/>
              <w:rPr>
                <w:rFonts w:ascii="Cambria Math" w:hAnsi="Cambria Math"/>
                <w:sz w:val="21"/>
                <w:szCs w:val="21"/>
              </w:rPr>
              <m:t xml:space="preserve"> + 0.6</m:t>
            </m:r>
            <m:sSub>
              <m:sSubPr>
                <m:ctrlPr>
                  <w:rPr>
                    <w:rFonts w:ascii="Cambria Math" w:hAnsi="Cambria Math"/>
                  </w:rPr>
                </m:ctrlPr>
              </m:sSubPr>
              <m:e>
                <m:r>
                  <m:rPr/>
                  <w:rPr>
                    <w:rFonts w:ascii="Cambria Math" w:hAnsi="Cambria Math"/>
                    <w:sz w:val="21"/>
                    <w:szCs w:val="21"/>
                  </w:rPr>
                  <m:t>δ</m:t>
                </m:r>
                <m:ctrlPr>
                  <w:rPr>
                    <w:rFonts w:ascii="Cambria Math" w:hAnsi="Cambria Math"/>
                  </w:rPr>
                </m:ctrlPr>
              </m:e>
              <m:sub>
                <m:r>
                  <m:rPr/>
                  <w:rPr>
                    <w:rFonts w:ascii="Cambria Math" w:hAnsi="Cambria Math"/>
                    <w:sz w:val="21"/>
                    <w:szCs w:val="21"/>
                  </w:rPr>
                  <m:t>i,2</m:t>
                </m:r>
                <m:ctrlPr>
                  <w:rPr>
                    <w:rFonts w:ascii="Cambria Math" w:hAnsi="Cambria Math"/>
                  </w:rPr>
                </m:ctrlPr>
              </m:sub>
            </m:sSub>
            <m:r>
              <m:rPr/>
              <w:rPr>
                <w:rFonts w:ascii="Cambria Math" w:hAnsi="Cambria Math"/>
                <w:sz w:val="21"/>
                <w:szCs w:val="21"/>
              </w:rPr>
              <m:t xml:space="preserve"> + 0.3</m:t>
            </m:r>
            <m:sSub>
              <m:sSubPr>
                <m:ctrlPr>
                  <w:rPr>
                    <w:rFonts w:ascii="Cambria Math" w:hAnsi="Cambria Math"/>
                  </w:rPr>
                </m:ctrlPr>
              </m:sSubPr>
              <m:e>
                <m:r>
                  <m:rPr/>
                  <w:rPr>
                    <w:rFonts w:ascii="Cambria Math" w:hAnsi="Cambria Math"/>
                    <w:sz w:val="21"/>
                    <w:szCs w:val="21"/>
                  </w:rPr>
                  <m:t>δ</m:t>
                </m:r>
                <m:ctrlPr>
                  <w:rPr>
                    <w:rFonts w:ascii="Cambria Math" w:hAnsi="Cambria Math"/>
                  </w:rPr>
                </m:ctrlPr>
              </m:e>
              <m:sub>
                <m:r>
                  <m:rPr/>
                  <w:rPr>
                    <w:rFonts w:ascii="Cambria Math" w:hAnsi="Cambria Math"/>
                    <w:sz w:val="21"/>
                    <w:szCs w:val="21"/>
                  </w:rPr>
                  <m:t>i,3</m:t>
                </m:r>
                <m:ctrlPr>
                  <w:rPr>
                    <w:rFonts w:ascii="Cambria Math" w:hAnsi="Cambria Math"/>
                  </w:rPr>
                </m:ctrlPr>
              </m:sub>
            </m:sSub>
            <m:ctrlPr>
              <w:rPr>
                <w:rFonts w:ascii="Cambria Math" w:hAnsi="Cambria Math"/>
              </w:rPr>
            </m:ctrlPr>
          </m:e>
        </m:d>
        <m:r>
          <m:rPr/>
          <w:rPr>
            <w:rFonts w:ascii="Cambria Math" w:hAnsi="Cambria Math"/>
            <w:sz w:val="21"/>
            <w:szCs w:val="21"/>
          </w:rPr>
          <m:t>,    i = 1, 2, …, n</m:t>
        </m:r>
      </m:oMath>
      <w:r>
        <w:rPr>
          <w:rFonts w:ascii="Times New Roman" w:hAnsi="Times New Roman" w:eastAsia="宋体"/>
        </w:rPr>
        <w:tab/>
      </w:r>
      <w:r>
        <w:rPr>
          <w:rFonts w:ascii="Times New Roman" w:hAnsi="Times New Roman" w:eastAsia="宋体" w:cs="Times New Roman"/>
          <w:sz w:val="21"/>
          <w:szCs w:val="21"/>
        </w:rPr>
        <w:t>(1)</w:t>
      </w:r>
    </w:p>
    <w:p w14:paraId="239C1A58">
      <w:pPr>
        <w:keepNext/>
        <w:keepLines/>
        <w:tabs>
          <w:tab w:val="center" w:pos="4153"/>
          <w:tab w:val="right" w:pos="8306"/>
        </w:tabs>
        <w:spacing w:before="46" w:beforeLines="15" w:after="46" w:afterLines="15"/>
        <w:rPr>
          <w:rFonts w:hint="eastAsia"/>
          <w:lang w:eastAsia="zh-CN"/>
        </w:rPr>
      </w:pPr>
      <w:r>
        <w:rPr>
          <w:rFonts w:ascii="Times New Roman" w:hAnsi="Times New Roman" w:eastAsia="宋体"/>
        </w:rPr>
        <w:tab/>
      </w:r>
      <m:oMath>
        <m:sSub>
          <m:sSubPr>
            <m:ctrlPr>
              <w:rPr>
                <w:rFonts w:ascii="Cambria Math" w:hAnsi="Cambria Math"/>
              </w:rPr>
            </m:ctrlPr>
          </m:sSubPr>
          <m:e>
            <m:r>
              <m:rPr/>
              <w:rPr>
                <w:rFonts w:ascii="Cambria Math" w:hAnsi="Cambria Math"/>
                <w:sz w:val="21"/>
                <w:szCs w:val="21"/>
                <w:lang w:eastAsia="zh-CN"/>
              </w:rPr>
              <m:t>δ</m:t>
            </m:r>
            <m:ctrlPr>
              <w:rPr>
                <w:rFonts w:ascii="Cambria Math" w:hAnsi="Cambria Math"/>
              </w:rPr>
            </m:ctrlPr>
          </m:e>
          <m:sub>
            <m:r>
              <m:rPr/>
              <w:rPr>
                <w:rFonts w:ascii="Cambria Math" w:hAnsi="Cambria Math"/>
                <w:sz w:val="21"/>
                <w:szCs w:val="21"/>
                <w:lang w:eastAsia="zh-CN"/>
              </w:rPr>
              <m:t>i,j</m:t>
            </m:r>
            <m:ctrlPr>
              <w:rPr>
                <w:rFonts w:ascii="Cambria Math" w:hAnsi="Cambria Math"/>
              </w:rPr>
            </m:ctrlPr>
          </m:sub>
        </m:sSub>
        <m:r>
          <m:rPr/>
          <w:rPr>
            <w:rFonts w:ascii="Cambria Math" w:hAnsi="Cambria Math"/>
            <w:sz w:val="21"/>
            <w:szCs w:val="21"/>
            <w:lang w:eastAsia="zh-CN"/>
          </w:rPr>
          <m:t xml:space="preserve">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w:rPr>
                      <w:rFonts w:ascii="Cambria Math" w:hAnsi="Cambria Math"/>
                      <w:sz w:val="21"/>
                      <w:szCs w:val="21"/>
                      <w:lang w:eastAsia="zh-CN"/>
                    </w:rPr>
                    <m:t>1,</m:t>
                  </m:r>
                  <m:ctrlPr>
                    <w:rPr>
                      <w:rFonts w:ascii="Cambria Math" w:hAnsi="Cambria Math"/>
                    </w:rPr>
                  </m:ctrlPr>
                </m:e>
                <m:e>
                  <m:r>
                    <m:rPr/>
                    <w:rPr>
                      <w:rFonts w:ascii="Cambria Math" w:hAnsi="Cambria Math"/>
                      <w:sz w:val="21"/>
                      <w:szCs w:val="21"/>
                      <w:lang w:eastAsia="zh-CN"/>
                    </w:rPr>
                    <m:t>i = j</m:t>
                  </m:r>
                  <m:ctrlPr>
                    <w:rPr>
                      <w:rFonts w:ascii="Cambria Math" w:hAnsi="Cambria Math"/>
                    </w:rPr>
                  </m:ctrlPr>
                </m:e>
              </m:mr>
              <m:mr>
                <m:e>
                  <m:r>
                    <m:rPr/>
                    <w:rPr>
                      <w:rFonts w:ascii="Cambria Math" w:hAnsi="Cambria Math"/>
                      <w:sz w:val="21"/>
                      <w:szCs w:val="21"/>
                      <w:lang w:eastAsia="zh-CN"/>
                    </w:rPr>
                    <m:t>0,</m:t>
                  </m:r>
                  <m:ctrlPr>
                    <w:rPr>
                      <w:rFonts w:ascii="Cambria Math" w:hAnsi="Cambria Math"/>
                    </w:rPr>
                  </m:ctrlPr>
                </m:e>
                <m:e>
                  <m:r>
                    <m:rPr/>
                    <w:rPr>
                      <w:rFonts w:ascii="Cambria Math" w:hAnsi="Cambria Math"/>
                      <w:sz w:val="21"/>
                      <w:szCs w:val="21"/>
                      <w:lang w:eastAsia="zh-CN"/>
                    </w:rPr>
                    <m:t>i ≠ j</m:t>
                  </m:r>
                  <m:ctrlPr>
                    <w:rPr>
                      <w:rFonts w:ascii="Cambria Math" w:hAnsi="Cambria Math"/>
                    </w:rPr>
                  </m:ctrlPr>
                </m:e>
              </m:mr>
            </m:m>
            <m:ctrlPr>
              <w:rPr>
                <w:rFonts w:ascii="Cambria Math" w:hAnsi="Cambria Math"/>
              </w:rPr>
            </m:ctrlPr>
          </m:e>
        </m:d>
      </m:oMath>
      <w:r>
        <w:rPr>
          <w:rFonts w:ascii="Times New Roman" w:hAnsi="Times New Roman" w:eastAsia="宋体"/>
          <w:lang w:eastAsia="zh-CN"/>
        </w:rPr>
        <w:tab/>
      </w:r>
      <w:r>
        <w:rPr>
          <w:rFonts w:ascii="Times New Roman" w:hAnsi="Times New Roman" w:eastAsia="宋体" w:cs="Times New Roman"/>
          <w:sz w:val="21"/>
          <w:szCs w:val="21"/>
          <w:lang w:eastAsia="zh-CN"/>
        </w:rPr>
        <w:t>(2)</w:t>
      </w:r>
    </w:p>
    <w:p w14:paraId="36AB682D">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为第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作者获得的积分；</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total</w:t>
      </w:r>
      <w:r>
        <w:rPr>
          <w:rFonts w:hint="eastAsia" w:ascii="Times New Roman" w:hAnsi="Times New Roman" w:eastAsia="宋体" w:cs="Times New Roman"/>
          <w:sz w:val="21"/>
          <w:szCs w:val="21"/>
          <w:lang w:eastAsia="zh-CN"/>
        </w:rPr>
        <w:t xml:space="preserve"> 为成果标准积分；</w:t>
      </w:r>
      <w:r>
        <w:rPr>
          <w:rFonts w:hint="eastAsia" w:ascii="Times New Roman" w:hAnsi="Times New Roman" w:eastAsia="宋体" w:cs="Times New Roman"/>
          <w:i/>
          <w:sz w:val="21"/>
          <w:szCs w:val="21"/>
          <w:lang w:eastAsia="zh-CN"/>
        </w:rPr>
        <w:t xml:space="preserve">n</w:t>
      </w:r>
      <w:r>
        <w:rPr>
          <w:rFonts w:hint="eastAsia" w:ascii="Times New Roman" w:hAnsi="Times New Roman" w:eastAsia="宋体" w:cs="Times New Roman"/>
          <w:sz w:val="21"/>
          <w:szCs w:val="21"/>
          <w:lang w:eastAsia="zh-CN"/>
        </w:rPr>
        <w:t xml:space="preserve"> 为作者总数。第 1、2、3 作者的分配系数分别为 1.0、0.8、0.5，第 4 作者及以后按 0.2 计；通讯作者按第 1 作者计，共同第一作者按并列第 1 作者计。当成果存在通讯作者（非第 1 作者）或共同第一作者时，相应作者均按第 1 作者系数 1.0 计，合计上限相应放宽。</w:t>
      </w:r>
    </w:p>
    <w:p w14:paraId="68C867C1">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式(1)采用名义分值制而非总量守恒制，即各作者所得之和可能大于成果标准积分（4 位作者时为 2.5 倍），以契合疾控机构鼓励多科室协作攻关的导向；其“挂名”风险由 points_item 表的年度上限封顶与第 4 作者及以后积分不计入职称评审口径两项制度约束控制，与常见守恒型方法的对比如表1所示，其中调和计数法与算术递减法取自文献[17-18]的归类。表1 为 4 位作者时的情形，推广至任意作者数 n 时，三种守恒型方法的分配系数之和恒为 1.00，而本文方法在 n = 2、3、4、6 时分别为 1.80、2.30、2.50、2.90，随合作规模单调增长。该增长正是上述管理导向的量化形式，也是本文方法区别于守恒型方法之处。需控制年度积分总量的科室可在后台切换为归一化模式（式(3)）。名义分值主要用于激励与画像展示；在需要横向比较或用于职称评审排名时，系统按归一化模式重算，以消除合作人数差异对单篇成果积分总量的放大效应。</w:t>
      </w:r>
    </w:p>
    <w:p w14:paraId="6B41360C">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表1  多作者积分分配方法对比</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2000"/>
        <w:gridCol w:w="1262"/>
        <w:gridCol w:w="1262"/>
        <w:gridCol w:w="1262"/>
        <w:gridCol w:w="1262"/>
        <w:gridCol w:w="1258"/>
      </w:tblGrid>
      <w:tr w14:paraId="17B8A5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2000" w:type="dxa"/>
            <w:tcBorders>
              <w:top w:val="single" w:color="auto" w:sz="12" w:space="0"/>
              <w:left w:val="nil"/>
              <w:right w:val="nil"/>
              <w:bottom w:val="single" w:sz="4" w:color="000000" w:space="0"/>
            </w:tcBorders>
            <w:vAlign w:val="center"/>
          </w:tcPr>
          <w:p w14:paraId="3FC34985">
            <w:pPr>
              <w:spacing w:before="20" w:after="20" w:line="240" w:lineRule="auto"/>
              <w:jc w:val="center"/>
              <w:rPr>
                <w:rFonts w:hint="eastAsia"/>
              </w:rPr>
            </w:pPr>
            <w:r>
              <w:rPr>
                <w:rFonts w:hint="eastAsia" w:ascii="Times New Roman" w:hAnsi="Times New Roman" w:eastAsia="宋体" w:cs="Times New Roman"/>
                <w:b/>
                <w:bCs/>
                <w:sz w:val="18"/>
                <w:szCs w:val="18"/>
              </w:rPr>
              <w:t>分配方法</w:t>
            </w:r>
          </w:p>
        </w:tc>
        <w:tc>
          <w:tcPr>
            <w:tcW w:w="1262" w:type="dxa"/>
            <w:tcBorders>
              <w:top w:val="single" w:color="auto" w:sz="12" w:space="0"/>
              <w:left w:val="nil"/>
              <w:right w:val="nil"/>
              <w:bottom w:val="single" w:sz="4" w:color="000000" w:space="0"/>
            </w:tcBorders>
            <w:vAlign w:val="center"/>
          </w:tcPr>
          <w:p w14:paraId="41E8412B">
            <w:pPr>
              <w:spacing w:before="20" w:after="20" w:line="240" w:lineRule="auto"/>
              <w:jc w:val="center"/>
              <w:rPr>
                <w:rFonts w:hint="eastAsia"/>
              </w:rPr>
            </w:pPr>
            <w:r>
              <w:rPr>
                <w:rFonts w:hint="eastAsia" w:ascii="Times New Roman" w:hAnsi="Times New Roman" w:eastAsia="宋体" w:cs="Times New Roman"/>
                <w:b/>
                <w:bCs/>
                <w:sz w:val="18"/>
                <w:szCs w:val="18"/>
              </w:rPr>
              <w:t>第 1 作者</w:t>
            </w:r>
          </w:p>
        </w:tc>
        <w:tc>
          <w:tcPr>
            <w:tcW w:w="1262" w:type="dxa"/>
            <w:tcBorders>
              <w:top w:val="single" w:color="auto" w:sz="12" w:space="0"/>
              <w:left w:val="nil"/>
              <w:right w:val="nil"/>
              <w:bottom w:val="single" w:sz="4" w:color="000000" w:space="0"/>
            </w:tcBorders>
            <w:vAlign w:val="center"/>
          </w:tcPr>
          <w:p w14:paraId="0618DDE6">
            <w:pPr>
              <w:spacing w:before="20" w:after="20" w:line="240" w:lineRule="auto"/>
              <w:jc w:val="center"/>
              <w:rPr>
                <w:rFonts w:hint="eastAsia"/>
              </w:rPr>
            </w:pPr>
            <w:r>
              <w:rPr>
                <w:rFonts w:hint="eastAsia" w:ascii="Times New Roman" w:hAnsi="Times New Roman" w:eastAsia="宋体" w:cs="Times New Roman"/>
                <w:b/>
                <w:bCs/>
                <w:sz w:val="18"/>
                <w:szCs w:val="18"/>
              </w:rPr>
              <w:t>第 2 作者</w:t>
            </w:r>
          </w:p>
        </w:tc>
        <w:tc>
          <w:tcPr>
            <w:tcW w:w="1262" w:type="dxa"/>
            <w:tcBorders>
              <w:top w:val="single" w:color="auto" w:sz="12" w:space="0"/>
              <w:left w:val="nil"/>
              <w:right w:val="nil"/>
              <w:bottom w:val="single" w:sz="4" w:color="000000" w:space="0"/>
            </w:tcBorders>
            <w:vAlign w:val="center"/>
          </w:tcPr>
          <w:p w14:paraId="03057AC7">
            <w:pPr>
              <w:spacing w:before="20" w:after="20" w:line="240" w:lineRule="auto"/>
              <w:jc w:val="center"/>
              <w:rPr>
                <w:rFonts w:hint="eastAsia"/>
              </w:rPr>
            </w:pPr>
            <w:r>
              <w:rPr>
                <w:rFonts w:hint="eastAsia" w:ascii="Times New Roman" w:hAnsi="Times New Roman" w:eastAsia="宋体" w:cs="Times New Roman"/>
                <w:b/>
                <w:bCs/>
                <w:sz w:val="18"/>
                <w:szCs w:val="18"/>
              </w:rPr>
              <w:t>第 3 作者</w:t>
            </w:r>
          </w:p>
        </w:tc>
        <w:tc>
          <w:tcPr>
            <w:tcW w:w="1262" w:type="dxa"/>
            <w:tcBorders>
              <w:top w:val="single" w:color="auto" w:sz="12" w:space="0"/>
              <w:left w:val="nil"/>
              <w:right w:val="nil"/>
              <w:bottom w:val="single" w:sz="4" w:color="000000" w:space="0"/>
            </w:tcBorders>
            <w:vAlign w:val="center"/>
          </w:tcPr>
          <w:p w14:paraId="0443DCF1">
            <w:pPr>
              <w:spacing w:before="20" w:after="20" w:line="240" w:lineRule="auto"/>
              <w:jc w:val="center"/>
              <w:rPr>
                <w:rFonts w:hint="eastAsia"/>
              </w:rPr>
            </w:pPr>
            <w:r>
              <w:rPr>
                <w:rFonts w:hint="eastAsia" w:ascii="Times New Roman" w:hAnsi="Times New Roman" w:eastAsia="宋体" w:cs="Times New Roman"/>
                <w:b/>
                <w:bCs/>
                <w:sz w:val="18"/>
                <w:szCs w:val="18"/>
              </w:rPr>
              <w:t>第 4 作者</w:t>
            </w:r>
          </w:p>
        </w:tc>
        <w:tc>
          <w:tcPr>
            <w:tcW w:w="1258" w:type="dxa"/>
            <w:tcBorders>
              <w:top w:val="single" w:color="auto" w:sz="12" w:space="0"/>
              <w:left w:val="nil"/>
              <w:right w:val="nil"/>
              <w:bottom w:val="single" w:sz="4" w:color="000000" w:space="0"/>
            </w:tcBorders>
            <w:vAlign w:val="center"/>
          </w:tcPr>
          <w:p w14:paraId="3A7FC951">
            <w:pPr>
              <w:spacing w:before="20" w:after="20" w:line="240" w:lineRule="auto"/>
              <w:jc w:val="center"/>
              <w:rPr>
                <w:rFonts w:hint="eastAsia"/>
              </w:rPr>
            </w:pPr>
            <w:r>
              <w:rPr>
                <w:rFonts w:hint="eastAsia" w:ascii="Times New Roman" w:hAnsi="Times New Roman" w:eastAsia="宋体" w:cs="Times New Roman"/>
                <w:b/>
                <w:bCs/>
                <w:sz w:val="18"/>
                <w:szCs w:val="18"/>
              </w:rPr>
              <w:t>合计</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均分法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0.25</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0.25</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0.25</w:t>
            </w:r>
          </w:p>
        </w:tc>
        <w:tc>
          <w:tcPr>
            <w:tcW w:w="1262" w:type="dxa"/>
            <w:tcBorders>
              <w:top w:val="nil"/>
              <w:left w:val="nil"/>
              <w:bottom w:val="nil"/>
              <w:right w:val="nil"/>
            </w:tcBorders>
            <w:vAlign w:val="center"/>
          </w:tcPr>
          <w:p w14:paraId="54E96A69">
            <w:pPr>
              <w:spacing w:before="20" w:after="20" w:line="240" w:lineRule="auto"/>
              <w:jc w:val="center"/>
              <w:rPr>
                <w:rFonts w:hint="eastAsia"/>
              </w:rPr>
            </w:pPr>
            <w:r>
              <w:rPr>
                <w:rFonts w:ascii="Times New Roman" w:hAnsi="Times New Roman" w:eastAsia="宋体" w:cs="Times New Roman"/>
                <w:sz w:val="18"/>
                <w:szCs w:val="18"/>
              </w:rPr>
              <w:t>0.25</w:t>
            </w:r>
          </w:p>
        </w:tc>
        <w:tc>
          <w:tcPr>
            <w:tcW w:w="1258" w:type="dxa"/>
            <w:tcBorders>
              <w:top w:val="nil"/>
              <w:left w:val="nil"/>
              <w:bottom w:val="nil"/>
              <w:right w:val="nil"/>
            </w:tcBorders>
            <w:vAlign w:val="center"/>
          </w:tcPr>
          <w:p w14:paraId="19A41DAE">
            <w:pPr>
              <w:spacing w:before="20" w:after="20" w:line="240" w:lineRule="auto"/>
              <w:jc w:val="center"/>
              <w:rPr>
                <w:rFonts w:hint="eastAsia"/>
              </w:rPr>
            </w:pPr>
            <w:r>
              <w:rPr>
                <w:rFonts w:ascii="Times New Roman" w:hAnsi="Times New Roman" w:eastAsia="宋体" w:cs="Times New Roman"/>
                <w:sz w:val="18"/>
                <w:szCs w:val="18"/>
              </w:rPr>
              <w:t>1.00</w:t>
            </w:r>
          </w:p>
        </w:tc>
      </w:tr>
      <w:tr w14:paraId="11E3F4A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2B4BDD6D">
            <w:pPr>
              <w:spacing w:before="20" w:after="20" w:line="240" w:lineRule="auto"/>
              <w:jc w:val="center"/>
              <w:rPr>
                <w:rFonts w:hint="eastAsia"/>
              </w:rPr>
            </w:pPr>
            <w:r>
              <w:rPr>
                <w:rFonts w:hint="eastAsia" w:ascii="Times New Roman" w:hAnsi="Times New Roman" w:eastAsia="宋体" w:cs="Times New Roman"/>
                <w:sz w:val="18"/>
                <w:szCs w:val="18"/>
              </w:rPr>
              <w:t>调和计数法</w:t>
            </w:r>
          </w:p>
        </w:tc>
        <w:tc>
          <w:tcPr>
            <w:tcW w:w="1262" w:type="dxa"/>
            <w:tcBorders>
              <w:top w:val="nil"/>
              <w:left w:val="nil"/>
              <w:bottom w:val="nil"/>
              <w:right w:val="nil"/>
            </w:tcBorders>
            <w:vAlign w:val="center"/>
          </w:tcPr>
          <w:p w14:paraId="187A62EF">
            <w:pPr>
              <w:spacing w:before="20" w:after="20" w:line="240" w:lineRule="auto"/>
              <w:jc w:val="center"/>
              <w:rPr>
                <w:rFonts w:hint="eastAsia"/>
              </w:rPr>
            </w:pPr>
            <w:r>
              <w:rPr>
                <w:rFonts w:ascii="Times New Roman" w:hAnsi="Times New Roman" w:eastAsia="宋体" w:cs="Times New Roman"/>
                <w:sz w:val="18"/>
                <w:szCs w:val="18"/>
              </w:rPr>
              <w:t>0.48</w:t>
            </w:r>
          </w:p>
        </w:tc>
        <w:tc>
          <w:tcPr>
            <w:tcW w:w="1262" w:type="dxa"/>
            <w:tcBorders>
              <w:top w:val="nil"/>
              <w:left w:val="nil"/>
              <w:bottom w:val="nil"/>
              <w:right w:val="nil"/>
            </w:tcBorders>
            <w:vAlign w:val="center"/>
          </w:tcPr>
          <w:p w14:paraId="2A32377A">
            <w:pPr>
              <w:spacing w:before="20" w:after="20" w:line="240" w:lineRule="auto"/>
              <w:jc w:val="center"/>
              <w:rPr>
                <w:rFonts w:hint="eastAsia"/>
              </w:rPr>
            </w:pPr>
            <w:r>
              <w:rPr>
                <w:rFonts w:ascii="Times New Roman" w:hAnsi="Times New Roman" w:eastAsia="宋体" w:cs="Times New Roman"/>
                <w:sz w:val="18"/>
                <w:szCs w:val="18"/>
              </w:rPr>
              <w:t>0.24</w:t>
            </w:r>
          </w:p>
        </w:tc>
        <w:tc>
          <w:tcPr>
            <w:tcW w:w="1262" w:type="dxa"/>
            <w:tcBorders>
              <w:top w:val="nil"/>
              <w:left w:val="nil"/>
              <w:bottom w:val="nil"/>
              <w:right w:val="nil"/>
            </w:tcBorders>
            <w:vAlign w:val="center"/>
          </w:tcPr>
          <w:p w14:paraId="63871630">
            <w:pPr>
              <w:spacing w:before="20" w:after="20" w:line="240" w:lineRule="auto"/>
              <w:jc w:val="center"/>
              <w:rPr>
                <w:rFonts w:hint="eastAsia"/>
              </w:rPr>
            </w:pPr>
            <w:r>
              <w:rPr>
                <w:rFonts w:ascii="Times New Roman" w:hAnsi="Times New Roman" w:eastAsia="宋体" w:cs="Times New Roman"/>
                <w:sz w:val="18"/>
                <w:szCs w:val="18"/>
              </w:rPr>
              <w:t>0.16</w:t>
            </w:r>
          </w:p>
        </w:tc>
        <w:tc>
          <w:tcPr>
            <w:tcW w:w="1262" w:type="dxa"/>
            <w:tcBorders>
              <w:top w:val="nil"/>
              <w:left w:val="nil"/>
              <w:bottom w:val="nil"/>
              <w:right w:val="nil"/>
            </w:tcBorders>
            <w:vAlign w:val="center"/>
          </w:tcPr>
          <w:p w14:paraId="506B2B98">
            <w:pPr>
              <w:spacing w:before="20" w:after="20" w:line="240" w:lineRule="auto"/>
              <w:jc w:val="center"/>
              <w:rPr>
                <w:rFonts w:hint="eastAsia"/>
              </w:rPr>
            </w:pPr>
            <w:r>
              <w:rPr>
                <w:rFonts w:ascii="Times New Roman" w:hAnsi="Times New Roman" w:eastAsia="宋体" w:cs="Times New Roman"/>
                <w:sz w:val="18"/>
                <w:szCs w:val="18"/>
              </w:rPr>
              <w:t>0.12</w:t>
            </w:r>
          </w:p>
        </w:tc>
        <w:tc>
          <w:tcPr>
            <w:tcW w:w="1258" w:type="dxa"/>
            <w:tcBorders>
              <w:top w:val="nil"/>
              <w:left w:val="nil"/>
              <w:bottom w:val="nil"/>
              <w:right w:val="nil"/>
            </w:tcBorders>
            <w:vAlign w:val="center"/>
          </w:tcPr>
          <w:p w14:paraId="3A743F3C">
            <w:pPr>
              <w:spacing w:before="20" w:after="20" w:line="240" w:lineRule="auto"/>
              <w:jc w:val="center"/>
              <w:rPr>
                <w:rFonts w:hint="eastAsia"/>
              </w:rPr>
            </w:pPr>
            <w:r>
              <w:rPr>
                <w:rFonts w:ascii="Times New Roman" w:hAnsi="Times New Roman" w:eastAsia="宋体" w:cs="Times New Roman"/>
                <w:sz w:val="18"/>
                <w:szCs w:val="18"/>
              </w:rPr>
              <w:t>1.00</w:t>
            </w:r>
          </w:p>
        </w:tc>
      </w:tr>
      <w:tr w14:paraId="3A039E8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7905EDA">
            <w:pPr>
              <w:spacing w:before="20" w:after="20" w:line="240" w:lineRule="auto"/>
              <w:jc w:val="center"/>
              <w:rPr>
                <w:rFonts w:hint="eastAsia"/>
              </w:rPr>
            </w:pPr>
            <w:r>
              <w:rPr>
                <w:rFonts w:hint="eastAsia" w:ascii="Times New Roman" w:hAnsi="Times New Roman" w:eastAsia="宋体" w:cs="Times New Roman"/>
                <w:sz w:val="18"/>
                <w:szCs w:val="18"/>
              </w:rPr>
              <w:t>算术递减法</w:t>
            </w:r>
          </w:p>
        </w:tc>
        <w:tc>
          <w:tcPr>
            <w:tcW w:w="1262" w:type="dxa"/>
            <w:tcBorders>
              <w:top w:val="nil"/>
              <w:left w:val="nil"/>
              <w:bottom w:val="nil"/>
              <w:right w:val="nil"/>
            </w:tcBorders>
            <w:vAlign w:val="center"/>
          </w:tcPr>
          <w:p w14:paraId="2893C1AA">
            <w:pPr>
              <w:spacing w:before="20" w:after="20" w:line="240" w:lineRule="auto"/>
              <w:jc w:val="center"/>
              <w:rPr>
                <w:rFonts w:hint="eastAsia"/>
              </w:rPr>
            </w:pPr>
            <w:r>
              <w:rPr>
                <w:rFonts w:ascii="Times New Roman" w:hAnsi="Times New Roman" w:eastAsia="宋体" w:cs="Times New Roman"/>
                <w:sz w:val="18"/>
                <w:szCs w:val="18"/>
              </w:rPr>
              <w:t>0.40</w:t>
            </w:r>
          </w:p>
        </w:tc>
        <w:tc>
          <w:tcPr>
            <w:tcW w:w="1262" w:type="dxa"/>
            <w:tcBorders>
              <w:top w:val="nil"/>
              <w:left w:val="nil"/>
              <w:bottom w:val="nil"/>
              <w:right w:val="nil"/>
            </w:tcBorders>
            <w:vAlign w:val="center"/>
          </w:tcPr>
          <w:p w14:paraId="477962E3">
            <w:pPr>
              <w:spacing w:before="20" w:after="20" w:line="240" w:lineRule="auto"/>
              <w:jc w:val="center"/>
              <w:rPr>
                <w:rFonts w:hint="eastAsia"/>
              </w:rPr>
            </w:pPr>
            <w:r>
              <w:rPr>
                <w:rFonts w:ascii="Times New Roman" w:hAnsi="Times New Roman" w:eastAsia="宋体" w:cs="Times New Roman"/>
                <w:sz w:val="18"/>
                <w:szCs w:val="18"/>
              </w:rPr>
              <w:t>0.30</w:t>
            </w:r>
          </w:p>
        </w:tc>
        <w:tc>
          <w:tcPr>
            <w:tcW w:w="1262" w:type="dxa"/>
            <w:tcBorders>
              <w:top w:val="nil"/>
              <w:left w:val="nil"/>
              <w:bottom w:val="nil"/>
              <w:right w:val="nil"/>
            </w:tcBorders>
            <w:vAlign w:val="center"/>
          </w:tcPr>
          <w:p w14:paraId="16D366EC">
            <w:pPr>
              <w:spacing w:before="20" w:after="20" w:line="240" w:lineRule="auto"/>
              <w:jc w:val="center"/>
              <w:rPr>
                <w:rFonts w:hint="eastAsia"/>
              </w:rPr>
            </w:pPr>
            <w:r>
              <w:rPr>
                <w:rFonts w:ascii="Times New Roman" w:hAnsi="Times New Roman" w:eastAsia="宋体" w:cs="Times New Roman"/>
                <w:sz w:val="18"/>
                <w:szCs w:val="18"/>
              </w:rPr>
              <w:t>0.20</w:t>
            </w:r>
          </w:p>
        </w:tc>
        <w:tc>
          <w:tcPr>
            <w:tcW w:w="1262" w:type="dxa"/>
            <w:tcBorders>
              <w:top w:val="nil"/>
              <w:left w:val="nil"/>
              <w:bottom w:val="nil"/>
              <w:right w:val="nil"/>
            </w:tcBorders>
            <w:vAlign w:val="center"/>
          </w:tcPr>
          <w:p w14:paraId="47203803">
            <w:pPr>
              <w:spacing w:before="20" w:after="20" w:line="240" w:lineRule="auto"/>
              <w:jc w:val="center"/>
              <w:rPr>
                <w:rFonts w:hint="eastAsia"/>
              </w:rPr>
            </w:pPr>
            <w:r>
              <w:rPr>
                <w:rFonts w:ascii="Times New Roman" w:hAnsi="Times New Roman" w:eastAsia="宋体" w:cs="Times New Roman"/>
                <w:sz w:val="18"/>
                <w:szCs w:val="18"/>
              </w:rPr>
              <w:t>0.10</w:t>
            </w:r>
          </w:p>
        </w:tc>
        <w:tc>
          <w:tcPr>
            <w:tcW w:w="1258" w:type="dxa"/>
            <w:tcBorders>
              <w:top w:val="nil"/>
              <w:left w:val="nil"/>
              <w:bottom w:val="nil"/>
              <w:right w:val="nil"/>
            </w:tcBorders>
            <w:vAlign w:val="center"/>
          </w:tcPr>
          <w:p w14:paraId="3A11A17C">
            <w:pPr>
              <w:spacing w:before="20" w:after="20" w:line="240" w:lineRule="auto"/>
              <w:jc w:val="center"/>
              <w:rPr>
                <w:rFonts w:hint="eastAsia"/>
              </w:rPr>
            </w:pPr>
            <w:r>
              <w:rPr>
                <w:rFonts w:ascii="Times New Roman" w:hAnsi="Times New Roman" w:eastAsia="宋体" w:cs="Times New Roman"/>
                <w:sz w:val="18"/>
                <w:szCs w:val="18"/>
              </w:rPr>
              <w:t>1.00</w:t>
            </w:r>
          </w:p>
        </w:tc>
      </w:tr>
      <w:tr w14:paraId="0753EE1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single" w:color="auto" w:sz="12" w:space="0"/>
              <w:right w:val="nil"/>
            </w:tcBorders>
            <w:vAlign w:val="center"/>
          </w:tcPr>
          <w:p w14:paraId="575DBAC5">
            <w:pPr>
              <w:spacing w:before="20" w:after="20" w:line="240" w:lineRule="auto"/>
              <w:jc w:val="center"/>
              <w:rPr>
                <w:rFonts w:hint="eastAsia"/>
              </w:rPr>
            </w:pPr>
            <w:r>
              <w:rPr>
                <w:rFonts w:hint="eastAsia" w:ascii="Times New Roman" w:hAnsi="Times New Roman" w:eastAsia="宋体" w:cs="Times New Roman"/>
                <w:sz w:val="18"/>
                <w:szCs w:val="18"/>
              </w:rPr>
              <w:t>本文分段权重法</w:t>
            </w:r>
          </w:p>
        </w:tc>
        <w:tc>
          <w:tcPr>
            <w:tcW w:w="1262" w:type="dxa"/>
            <w:tcBorders>
              <w:top w:val="nil"/>
              <w:left w:val="nil"/>
              <w:bottom w:val="single" w:color="auto" w:sz="12" w:space="0"/>
              <w:right w:val="nil"/>
            </w:tcBorders>
            <w:vAlign w:val="center"/>
          </w:tcPr>
          <w:p w14:paraId="41D2FAEC">
            <w:pPr>
              <w:spacing w:before="20" w:after="20" w:line="240" w:lineRule="auto"/>
              <w:jc w:val="center"/>
              <w:rPr>
                <w:rFonts w:hint="eastAsia"/>
              </w:rPr>
            </w:pPr>
            <w:r>
              <w:rPr>
                <w:rFonts w:ascii="Times New Roman" w:hAnsi="Times New Roman" w:eastAsia="宋体" w:cs="Times New Roman"/>
                <w:sz w:val="18"/>
                <w:szCs w:val="18"/>
              </w:rPr>
              <w:t>1.00</w:t>
            </w:r>
          </w:p>
        </w:tc>
        <w:tc>
          <w:tcPr>
            <w:tcW w:w="1262" w:type="dxa"/>
            <w:tcBorders>
              <w:top w:val="nil"/>
              <w:left w:val="nil"/>
              <w:bottom w:val="single" w:color="auto" w:sz="12" w:space="0"/>
              <w:right w:val="nil"/>
            </w:tcBorders>
            <w:vAlign w:val="center"/>
          </w:tcPr>
          <w:p w14:paraId="55F10407">
            <w:pPr>
              <w:spacing w:before="20" w:after="20" w:line="240" w:lineRule="auto"/>
              <w:jc w:val="center"/>
              <w:rPr>
                <w:rFonts w:hint="eastAsia"/>
              </w:rPr>
            </w:pPr>
            <w:r>
              <w:rPr>
                <w:rFonts w:ascii="Times New Roman" w:hAnsi="Times New Roman" w:eastAsia="宋体" w:cs="Times New Roman"/>
                <w:sz w:val="18"/>
                <w:szCs w:val="18"/>
              </w:rPr>
              <w:t>0.80</w:t>
            </w:r>
          </w:p>
        </w:tc>
        <w:tc>
          <w:tcPr>
            <w:tcW w:w="1262" w:type="dxa"/>
            <w:tcBorders>
              <w:top w:val="nil"/>
              <w:left w:val="nil"/>
              <w:bottom w:val="single" w:color="auto" w:sz="12" w:space="0"/>
              <w:right w:val="nil"/>
            </w:tcBorders>
            <w:vAlign w:val="center"/>
          </w:tcPr>
          <w:p w14:paraId="1A3467A6">
            <w:pPr>
              <w:spacing w:before="20" w:after="20" w:line="240" w:lineRule="auto"/>
              <w:jc w:val="center"/>
              <w:rPr>
                <w:rFonts w:hint="eastAsia"/>
              </w:rPr>
            </w:pPr>
            <w:r>
              <w:rPr>
                <w:rFonts w:ascii="Times New Roman" w:hAnsi="Times New Roman" w:eastAsia="宋体" w:cs="Times New Roman"/>
                <w:sz w:val="18"/>
                <w:szCs w:val="18"/>
              </w:rPr>
              <w:t>0.50</w:t>
            </w:r>
          </w:p>
        </w:tc>
        <w:tc>
          <w:tcPr>
            <w:tcW w:w="1262" w:type="dxa"/>
            <w:tcBorders>
              <w:top w:val="nil"/>
              <w:left w:val="nil"/>
              <w:bottom w:val="single" w:color="auto" w:sz="12" w:space="0"/>
              <w:right w:val="nil"/>
            </w:tcBorders>
            <w:vAlign w:val="center"/>
          </w:tcPr>
          <w:p w14:paraId="6778FC61">
            <w:pPr>
              <w:spacing w:before="20" w:after="20" w:line="240" w:lineRule="auto"/>
              <w:jc w:val="center"/>
              <w:rPr>
                <w:rFonts w:hint="eastAsia"/>
              </w:rPr>
            </w:pPr>
            <w:r>
              <w:rPr>
                <w:rFonts w:ascii="Times New Roman" w:hAnsi="Times New Roman" w:eastAsia="宋体" w:cs="Times New Roman"/>
                <w:sz w:val="18"/>
                <w:szCs w:val="18"/>
              </w:rPr>
              <w:t>0.20</w:t>
            </w:r>
          </w:p>
        </w:tc>
        <w:tc>
          <w:tcPr>
            <w:tcW w:w="1258" w:type="dxa"/>
            <w:tcBorders>
              <w:top w:val="nil"/>
              <w:left w:val="nil"/>
              <w:bottom w:val="single" w:color="auto" w:sz="12" w:space="0"/>
              <w:right w:val="nil"/>
            </w:tcBorders>
            <w:vAlign w:val="center"/>
          </w:tcPr>
          <w:p w14:paraId="27771478">
            <w:pPr>
              <w:spacing w:before="20" w:after="20" w:line="240" w:lineRule="auto"/>
              <w:jc w:val="center"/>
              <w:rPr>
                <w:rFonts w:hint="eastAsia"/>
              </w:rPr>
            </w:pPr>
            <w:r>
              <w:rPr>
                <w:rFonts w:ascii="Times New Roman" w:hAnsi="Times New Roman" w:eastAsia="宋体" w:cs="Times New Roman"/>
                <w:sz w:val="18"/>
                <w:szCs w:val="18"/>
              </w:rPr>
              <w:t>2.50</w:t>
            </w:r>
          </w:p>
        </w:tc>
      </w:tr>
    </w:tbl>
    <w:p w14:paraId="57E46F04">
      <w:pPr>
        <w:keepNext/>
        <w:keepLines/>
        <w:tabs>
          <w:tab w:val="center" w:pos="4153"/>
          <w:tab w:val="right" w:pos="8306"/>
        </w:tabs>
        <w:spacing w:before="46" w:beforeLines="15" w:after="46" w:afterLines="15"/>
        <w:rPr>
          <w:rFonts w:hint="eastAsia"/>
        </w:rPr>
      </w:pPr>
      <w:r>
        <w:rPr>
          <w:rFonts w:ascii="Times New Roman" w:hAnsi="Times New Roman" w:eastAsia="宋体"/>
        </w:rPr>
        <w:tab/>
      </w:r>
      <m:oMath>
        <m:sSubSup>
          <m:sSubSupPr>
            <m:ctrlPr>
              <w:rPr>
                <w:rFonts w:ascii="Cambria Math" w:hAnsi="Cambria Math"/>
              </w:rPr>
            </m:ctrlPr>
          </m:sSubSupPr>
          <m:e>
            <m:r>
              <m:rPr/>
              <w:rPr>
                <w:rFonts w:ascii="Cambria Math" w:hAnsi="Cambria Math"/>
                <w:sz w:val="21"/>
                <w:szCs w:val="21"/>
              </w:rPr>
              <m:t>S</m:t>
            </m:r>
            <m:ctrlPr>
              <w:rPr>
                <w:rFonts w:ascii="Cambria Math" w:hAnsi="Cambria Math"/>
              </w:rPr>
            </m:ctrlPr>
          </m:e>
          <m:sub>
            <m:r>
              <m:rPr/>
              <w:rPr>
                <w:rFonts w:ascii="Cambria Math" w:hAnsi="Cambria Math"/>
                <w:sz w:val="21"/>
                <w:szCs w:val="21"/>
              </w:rPr>
              <m:t>i</m:t>
            </m:r>
            <m:ctrlPr>
              <w:rPr>
                <w:rFonts w:ascii="Cambria Math" w:hAnsi="Cambria Math"/>
              </w:rPr>
            </m:ctrlPr>
          </m:sub>
          <m:sup>
            <m:r>
              <m:rPr/>
              <w:rPr>
                <w:rFonts w:ascii="Cambria Math" w:hAnsi="Cambria Math"/>
                <w:sz w:val="21"/>
                <w:szCs w:val="21"/>
              </w:rPr>
              <m:t>norm</m:t>
            </m:r>
            <m:ctrlPr>
              <w:rPr>
                <w:rFonts w:ascii="Cambria Math" w:hAnsi="Cambria Math"/>
              </w:rPr>
            </m:ctrlPr>
          </m:sup>
        </m:sSubSup>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S</m:t>
            </m:r>
            <m:ctrlPr>
              <w:rPr>
                <w:rFonts w:ascii="Cambria Math" w:hAnsi="Cambria Math"/>
              </w:rPr>
            </m:ctrlPr>
          </m:e>
          <m:sub>
            <m:r>
              <m:rPr/>
              <w:rPr>
                <w:rFonts w:ascii="Cambria Math" w:hAnsi="Cambria Math"/>
                <w:sz w:val="21"/>
                <w:szCs w:val="21"/>
              </w:rPr>
              <m:t>total</m:t>
            </m:r>
            <m:ctrlPr>
              <w:rPr>
                <w:rFonts w:ascii="Cambria Math" w:hAnsi="Cambria Math"/>
              </w:rPr>
            </m:ctrlPr>
          </m:sub>
        </m:sSub>
        <m:r>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sz w:val="21"/>
                    <w:szCs w:val="21"/>
                  </w:rPr>
                  <m:t>v</m:t>
                </m:r>
                <m:ctrlPr>
                  <w:rPr>
                    <w:rFonts w:ascii="Cambria Math" w:hAnsi="Cambria Math"/>
                  </w:rPr>
                </m:ctrlPr>
              </m:e>
              <m:sub>
                <m:r>
                  <m:rPr/>
                  <w:rPr>
                    <w:rFonts w:ascii="Cambria Math" w:hAnsi="Cambria Math"/>
                    <w:sz w:val="21"/>
                    <w:szCs w:val="21"/>
                  </w:rPr>
                  <m:t>i</m:t>
                </m:r>
                <m:ctrlPr>
                  <w:rPr>
                    <w:rFonts w:ascii="Cambria Math" w:hAnsi="Cambria Math"/>
                  </w:rPr>
                </m:ctrlPr>
              </m:sub>
            </m:sSub>
            <m:ctrlPr>
              <w:rPr>
                <w:rFonts w:ascii="Cambria Math" w:hAnsi="Cambria Math"/>
              </w:rPr>
            </m:ctrlPr>
          </m:num>
          <m:den>
            <m:nary>
              <m:naryPr>
                <m:chr m:val="∑"/>
                <m:grow m:val="1"/>
                <m:limLoc m:val="subSup"/>
                <m:ctrlPr>
                  <w:rPr>
                    <w:rFonts w:ascii="Cambria Math" w:hAnsi="Cambria Math"/>
                  </w:rPr>
                </m:ctrlPr>
              </m:naryPr>
              <m:sub>
                <m:r>
                  <m:rPr/>
                  <w:rPr>
                    <w:rFonts w:ascii="Cambria Math" w:hAnsi="Cambria Math"/>
                    <w:sz w:val="21"/>
                    <w:szCs w:val="21"/>
                  </w:rPr>
                  <m:t>j = 1</m:t>
                </m:r>
                <m:ctrlPr>
                  <w:rPr>
                    <w:rFonts w:ascii="Cambria Math" w:hAnsi="Cambria Math"/>
                  </w:rPr>
                </m:ctrlPr>
              </m:sub>
              <m:sup>
                <m:r>
                  <m:rPr/>
                  <w:rPr>
                    <w:rFonts w:ascii="Cambria Math" w:hAnsi="Cambria Math"/>
                    <w:sz w:val="21"/>
                    <w:szCs w:val="21"/>
                  </w:rPr>
                  <m:t>n</m:t>
                </m:r>
                <m:ctrlPr>
                  <w:rPr>
                    <w:rFonts w:ascii="Cambria Math" w:hAnsi="Cambria Math"/>
                  </w:rPr>
                </m:ctrlPr>
              </m:sup>
              <m:e>
                <m:sSub>
                  <m:sSubPr>
                    <m:ctrlPr>
                      <w:rPr>
                        <w:rFonts w:ascii="Cambria Math" w:hAnsi="Cambria Math"/>
                      </w:rPr>
                    </m:ctrlPr>
                  </m:sSubPr>
                  <m:e>
                    <m:r>
                      <m:rPr/>
                      <w:rPr>
                        <w:rFonts w:ascii="Cambria Math" w:hAnsi="Cambria Math"/>
                        <w:sz w:val="21"/>
                        <w:szCs w:val="21"/>
                      </w:rPr>
                      <m:t>v</m:t>
                    </m:r>
                    <m:ctrlPr>
                      <w:rPr>
                        <w:rFonts w:ascii="Cambria Math" w:hAnsi="Cambria Math"/>
                      </w:rPr>
                    </m:ctrlPr>
                  </m:e>
                  <m:sub>
                    <m:r>
                      <m:rPr/>
                      <w:rPr>
                        <w:rFonts w:ascii="Cambria Math" w:hAnsi="Cambria Math"/>
                        <w:sz w:val="21"/>
                        <w:szCs w:val="21"/>
                      </w:rPr>
                      <m:t>j</m:t>
                    </m:r>
                    <m:ctrlPr>
                      <w:rPr>
                        <w:rFonts w:ascii="Cambria Math" w:hAnsi="Cambria Math"/>
                      </w:rPr>
                    </m:ctrlPr>
                  </m:sub>
                </m:sSub>
                <m:ctrlPr>
                  <w:rPr>
                    <w:rFonts w:ascii="Cambria Math" w:hAnsi="Cambria Math"/>
                  </w:rPr>
                </m:ctrlPr>
              </m:e>
            </m:nary>
            <m:ctrlPr>
              <w:rPr>
                <w:rFonts w:ascii="Cambria Math" w:hAnsi="Cambria Math"/>
              </w:rPr>
            </m:ctrlPr>
          </m:den>
        </m:f>
      </m:oMath>
      <w:r>
        <w:rPr>
          <w:rFonts w:ascii="Times New Roman" w:hAnsi="Times New Roman" w:eastAsia="宋体"/>
        </w:rPr>
        <w:tab/>
      </w:r>
      <w:r>
        <w:rPr>
          <w:rFonts w:ascii="Times New Roman" w:hAnsi="Times New Roman" w:eastAsia="宋体" w:cs="Times New Roman"/>
          <w:sz w:val="21"/>
          <w:szCs w:val="21"/>
        </w:rPr>
        <w:t>(3)</w:t>
      </w:r>
    </w:p>
    <w:p w14:paraId="7183DC2B">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w:t>
      </w:r>
      <w:r>
        <w:rPr>
          <w:rFonts w:ascii="Times New Roman" w:hAnsi="Times New Roman" w:eastAsia="宋体" w:cs="Times New Roman"/>
          <w:i/>
          <w:iCs/>
          <w:sz w:val="21"/>
          <w:szCs w:val="21"/>
          <w:lang w:eastAsia="zh-CN"/>
        </w:rPr>
        <w:t>v</w:t>
      </w:r>
      <w:r>
        <w:rPr>
          <w:rFonts w:ascii="Times New Roman" w:hAnsi="Times New Roman" w:eastAsia="宋体" w:cs="Times New Roman"/>
          <w:sz w:val="21"/>
          <w:szCs w:val="21"/>
          <w:vertAlign w:val="subscript"/>
          <w:lang w:eastAsia="zh-CN"/>
        </w:rPr>
        <w:t>i</w:t>
      </w:r>
      <w:r>
        <w:rPr>
          <w:rFonts w:hint="eastAsia" w:ascii="Times New Roman" w:hAnsi="Times New Roman" w:eastAsia="宋体" w:cs="Times New Roman"/>
          <w:sz w:val="21"/>
          <w:szCs w:val="21"/>
          <w:lang w:eastAsia="zh-CN"/>
        </w:rPr>
        <w:t xml:space="preserve"> 为式(1)括号中第 </w:t>
      </w:r>
      <w:r>
        <w:rPr>
          <w:rFonts w:ascii="Times New Roman" w:hAnsi="Times New Roman" w:eastAsia="宋体" w:cs="Times New Roman"/>
          <w:i/>
          <w:iCs/>
          <w:sz w:val="21"/>
          <w:szCs w:val="21"/>
          <w:lang w:eastAsia="zh-CN"/>
        </w:rPr>
        <w:t>i</w:t>
      </w:r>
      <w:r>
        <w:rPr>
          <w:rFonts w:hint="eastAsia" w:ascii="Times New Roman" w:hAnsi="Times New Roman" w:eastAsia="宋体" w:cs="Times New Roman"/>
          <w:sz w:val="21"/>
          <w:szCs w:val="21"/>
          <w:lang w:eastAsia="zh-CN"/>
        </w:rPr>
        <w:t xml:space="preserve"> 作者的分配系数。</w:t>
      </w:r>
    </w:p>
    <w:p w14:paraId="6AA25727">
      <w:pPr>
        <w:keepNext/>
        <w:keepLines/>
        <w:spacing w:before="93" w:beforeLines="30" w:after="62" w:afterLines="20" w:line="360" w:lineRule="auto"/>
        <w:outlineLvl w:val="1"/>
        <w:rPr>
          <w:rFonts w:hint="eastAsia"/>
          <w:lang w:eastAsia="zh-CN"/>
        </w:rPr>
      </w:pPr>
      <w:r>
        <w:rPr>
          <w:rFonts w:hint="eastAsia" w:ascii="Times New Roman" w:hAnsi="Times New Roman" w:eastAsia="宋体" w:cs="Times New Roman"/>
          <w:b/>
          <w:sz w:val="21"/>
          <w:szCs w:val="21"/>
          <w:lang w:eastAsia="zh-CN"/>
        </w:rPr>
        <w:t>3.3  动态标签权重模型</w:t>
      </w:r>
    </w:p>
    <w:p w14:paraId="70F664FB">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构建了基础属性、能力维度与专业方向三维标签体系[9]。考虑到科研贡献的时效性，本文将指数时间衰减因子前置嵌入行为积分归一化环节（式(4)），标签权重在此基础上按一阶指数加权移动平均更新（式(5)），指数移动平均在时序建模中用于抑制单期噪声、跟踪近期变化[10-11]，这里用它平滑标签权重的年度波动。</w:t>
      </w:r>
    </w:p>
    <w:p w14:paraId="378CEE04">
      <w:pPr>
        <w:keepNext/>
        <w:keepLines/>
        <w:tabs>
          <w:tab w:val="center" w:pos="4153"/>
          <w:tab w:val="right" w:pos="8306"/>
        </w:tabs>
        <w:spacing w:before="46" w:beforeLines="15" w:after="46" w:afterLines="15"/>
        <w:rPr>
          <w:rFonts w:hint="eastAsia"/>
        </w:rPr>
      </w:pPr>
      <w:r>
        <w:rPr>
          <w:rFonts w:ascii="Times New Roman" w:hAnsi="Times New Roman" w:eastAsia="宋体"/>
          <w:lang w:eastAsia="zh-CN"/>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sz w:val="21"/>
                    <w:szCs w:val="21"/>
                  </w:rPr>
                  <m:t>s</m:t>
                </m:r>
                <m:ctrlPr>
                  <w:rPr>
                    <w:rFonts w:ascii="Cambria Math" w:hAnsi="Cambria Math"/>
                  </w:rPr>
                </m:ctrlPr>
              </m:e>
            </m:acc>
            <m:ctrlPr>
              <w:rPr>
                <w:rFonts w:ascii="Cambria Math" w:hAnsi="Cambria Math"/>
              </w:rPr>
            </m:ctrlPr>
          </m:e>
          <m:sub>
            <m:r>
              <m:rPr/>
              <w:rPr>
                <w:rFonts w:ascii="Cambria Math" w:hAnsi="Cambria Math"/>
                <w:sz w:val="21"/>
                <w:szCs w:val="21"/>
              </w:rPr>
              <m:t>i,u</m:t>
            </m:r>
            <m:ctrlPr>
              <w:rPr>
                <w:rFonts w:ascii="Cambria Math" w:hAnsi="Cambria Math"/>
              </w:rPr>
            </m:ctrlPr>
          </m:sub>
        </m:sSub>
        <m:r>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sz w:val="21"/>
                    <w:szCs w:val="21"/>
                  </w:rPr>
                  <m:t>s</m:t>
                </m:r>
                <m:ctrlPr>
                  <w:rPr>
                    <w:rFonts w:ascii="Cambria Math" w:hAnsi="Cambria Math"/>
                  </w:rPr>
                </m:ctrlPr>
              </m:e>
              <m:sub>
                <m:r>
                  <m:rPr/>
                  <w:rPr>
                    <w:rFonts w:ascii="Cambria Math" w:hAnsi="Cambria Math"/>
                    <w:sz w:val="21"/>
                    <w:szCs w:val="21"/>
                  </w:rPr>
                  <m:t>i,u</m:t>
                </m:r>
                <m:ctrlPr>
                  <w:rPr>
                    <w:rFonts w:ascii="Cambria Math" w:hAnsi="Cambria Math"/>
                  </w:rPr>
                </m:ctrlPr>
              </m:sub>
            </m:sSub>
            <m:r>
              <m:rPr/>
              <w:rPr>
                <w:rFonts w:ascii="Cambria Math" w:hAnsi="Cambria Math"/>
                <w:sz w:val="21"/>
                <w:szCs w:val="21"/>
              </w:rPr>
              <m:t xml:space="preserve"> · </m:t>
            </m:r>
            <m:sSup>
              <m:sSupPr>
                <m:ctrlPr>
                  <w:rPr>
                    <w:rFonts w:ascii="Cambria Math" w:hAnsi="Cambria Math"/>
                  </w:rPr>
                </m:ctrlPr>
              </m:sSupPr>
              <m:e>
                <m:r>
                  <m:rPr/>
                  <w:rPr>
                    <w:rFonts w:ascii="Cambria Math" w:hAnsi="Cambria Math"/>
                    <w:sz w:val="21"/>
                    <w:szCs w:val="21"/>
                  </w:rPr>
                  <m:t>e</m:t>
                </m:r>
                <m:ctrlPr>
                  <w:rPr>
                    <w:rFonts w:ascii="Cambria Math" w:hAnsi="Cambria Math"/>
                  </w:rPr>
                </m:ctrlPr>
              </m:e>
              <m:sup>
                <m:r>
                  <m:rPr/>
                  <w:rPr>
                    <w:rFonts w:ascii="Cambria Math" w:hAnsi="Cambria Math"/>
                    <w:sz w:val="21"/>
                    <w:szCs w:val="21"/>
                  </w:rPr>
                  <m:t>−λ</m:t>
                </m:r>
                <m:d>
                  <m:dPr>
                    <m:ctrlPr>
                      <w:rPr>
                        <w:rFonts w:ascii="Cambria Math" w:hAnsi="Cambria Math"/>
                      </w:rPr>
                    </m:ctrlPr>
                  </m:dPr>
                  <m:e>
                    <m:sSub>
                      <m:sSubPr>
                        <m:ctrlPr>
                          <w:rPr>
                            <w:rFonts w:ascii="Cambria Math" w:hAnsi="Cambria Math"/>
                          </w:rPr>
                        </m:ctrlPr>
                      </m:sSubPr>
                      <m:e>
                        <m:r>
                          <m:rPr/>
                          <w:rPr>
                            <w:rFonts w:ascii="Cambria Math" w:hAnsi="Cambria Math"/>
                            <w:sz w:val="21"/>
                            <w:szCs w:val="21"/>
                          </w:rPr>
                          <m:t>τ</m:t>
                        </m:r>
                        <m:ctrlPr>
                          <w:rPr>
                            <w:rFonts w:ascii="Cambria Math" w:hAnsi="Cambria Math"/>
                          </w:rPr>
                        </m:ctrlPr>
                      </m:e>
                      <m:sub>
                        <m:r>
                          <m:rPr/>
                          <w:rPr>
                            <w:rFonts w:ascii="Cambria Math" w:hAnsi="Cambria Math"/>
                            <w:sz w:val="21"/>
                            <w:szCs w:val="21"/>
                          </w:rPr>
                          <m:t>now</m:t>
                        </m:r>
                        <m:ctrlPr>
                          <w:rPr>
                            <w:rFonts w:ascii="Cambria Math" w:hAnsi="Cambria Math"/>
                          </w:rPr>
                        </m:ctrlP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τ</m:t>
                        </m:r>
                        <m:ctrlPr>
                          <w:rPr>
                            <w:rFonts w:ascii="Cambria Math" w:hAnsi="Cambria Math"/>
                          </w:rPr>
                        </m:ctrlPr>
                      </m:e>
                      <m:sub>
                        <m:r>
                          <m:rPr/>
                          <w:rPr>
                            <w:rFonts w:ascii="Cambria Math" w:hAnsi="Cambria Math"/>
                            <w:sz w:val="21"/>
                            <w:szCs w:val="21"/>
                          </w:rPr>
                          <m:t>i</m:t>
                        </m:r>
                        <m:ctrlPr>
                          <w:rPr>
                            <w:rFonts w:ascii="Cambria Math" w:hAnsi="Cambria Math"/>
                          </w:rPr>
                        </m:ctrlPr>
                      </m:sub>
                    </m:sSub>
                    <m:ctrlPr>
                      <w:rPr>
                        <w:rFonts w:ascii="Cambria Math" w:hAnsi="Cambria Math"/>
                      </w:rPr>
                    </m:ctrlPr>
                  </m:e>
                </m:d>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sz w:val="21"/>
                    <w:szCs w:val="21"/>
                  </w:rPr>
                  <m:t>S</m:t>
                </m:r>
                <m:ctrlPr>
                  <w:rPr>
                    <w:rFonts w:ascii="Cambria Math" w:hAnsi="Cambria Math"/>
                  </w:rPr>
                </m:ctrlPr>
              </m:e>
              <m:sub>
                <m:r>
                  <m:rPr/>
                  <w:rPr>
                    <w:rFonts w:ascii="Cambria Math" w:hAnsi="Cambria Math"/>
                    <w:sz w:val="21"/>
                    <w:szCs w:val="21"/>
                  </w:rPr>
                  <m:t>max,t</m:t>
                </m:r>
                <m:ctrlPr>
                  <w:rPr>
                    <w:rFonts w:ascii="Cambria Math" w:hAnsi="Cambria Math"/>
                  </w:rPr>
                </m:ctrlPr>
              </m:sub>
            </m:sSub>
            <m:ctrlPr>
              <w:rPr>
                <w:rFonts w:ascii="Cambria Math" w:hAnsi="Cambria Math"/>
              </w:rPr>
            </m:ctrlPr>
          </m:den>
        </m:f>
      </m:oMath>
      <w:r>
        <w:rPr>
          <w:rFonts w:ascii="Times New Roman" w:hAnsi="Times New Roman" w:eastAsia="宋体"/>
        </w:rPr>
        <w:tab/>
      </w:r>
      <w:r>
        <w:rPr>
          <w:rFonts w:ascii="Times New Roman" w:hAnsi="Times New Roman" w:eastAsia="宋体" w:cs="Times New Roman"/>
          <w:sz w:val="21"/>
          <w:szCs w:val="21"/>
        </w:rPr>
        <w:t>(4)</w:t>
      </w:r>
    </w:p>
    <w:p w14:paraId="3493DA9B">
      <w:pPr>
        <w:keepNext/>
        <w:keepLines/>
        <w:tabs>
          <w:tab w:val="center" w:pos="4153"/>
          <w:tab w:val="right" w:pos="8306"/>
        </w:tabs>
        <w:spacing w:before="46" w:beforeLines="15" w:after="46" w:afterLines="15"/>
        <w:rPr>
          <w:rFonts w:hint="eastAsia"/>
        </w:rPr>
      </w:pPr>
      <w:r>
        <w:rPr>
          <w:rFonts w:ascii="Times New Roman" w:hAnsi="Times New Roman" w:eastAsia="宋体"/>
        </w:rPr>
        <w:tab/>
      </w:r>
      <m:oMath>
        <m:sSubSup>
          <m:sSubSupPr>
            <m:ctrlPr>
              <w:rPr>
                <w:rFonts w:ascii="Cambria Math" w:hAnsi="Cambria Math"/>
              </w:rPr>
            </m:ctrlPr>
          </m:sSubSupPr>
          <m:e>
            <m:r>
              <m:rPr/>
              <w:rPr>
                <w:rFonts w:ascii="Cambria Math" w:hAnsi="Cambria Math"/>
                <w:sz w:val="21"/>
                <w:szCs w:val="21"/>
              </w:rPr>
              <m:t>W</m:t>
            </m:r>
            <m:ctrlPr>
              <w:rPr>
                <w:rFonts w:ascii="Cambria Math" w:hAnsi="Cambria Math"/>
              </w:rPr>
            </m:ctrlPr>
          </m:e>
          <m:sub>
            <m:r>
              <m:rPr/>
              <w:rPr>
                <w:rFonts w:ascii="Cambria Math" w:hAnsi="Cambria Math"/>
                <w:sz w:val="21"/>
                <w:szCs w:val="21"/>
              </w:rPr>
              <m:t>t,u</m:t>
            </m:r>
            <m:ctrlPr>
              <w:rPr>
                <w:rFonts w:ascii="Cambria Math" w:hAnsi="Cambria Math"/>
              </w:rPr>
            </m:ctrlPr>
          </m:sub>
          <m:sup>
            <m:d>
              <m:dPr>
                <m:ctrlPr>
                  <w:rPr>
                    <w:rFonts w:ascii="Cambria Math" w:hAnsi="Cambria Math"/>
                  </w:rPr>
                </m:ctrlPr>
              </m:dPr>
              <m:e>
                <m:r>
                  <m:rPr/>
                  <w:rPr>
                    <w:rFonts w:ascii="Cambria Math" w:hAnsi="Cambria Math"/>
                    <w:sz w:val="21"/>
                    <w:szCs w:val="21"/>
                  </w:rPr>
                  <m:t>k</m:t>
                </m:r>
                <m:ctrlPr>
                  <w:rPr>
                    <w:rFonts w:ascii="Cambria Math" w:hAnsi="Cambria Math"/>
                  </w:rPr>
                </m:ctrlPr>
              </m:e>
            </m:d>
            <m:ctrlPr>
              <w:rPr>
                <w:rFonts w:ascii="Cambria Math" w:hAnsi="Cambria Math"/>
              </w:rPr>
            </m:ctrlPr>
          </m:sup>
        </m:sSubSup>
        <m:r>
          <m:rPr/>
          <w:rPr>
            <w:rFonts w:ascii="Cambria Math" w:hAnsi="Cambria Math"/>
            <w:sz w:val="21"/>
            <w:szCs w:val="21"/>
          </w:rPr>
          <m:t xml:space="preserve"> = α · </m:t>
        </m:r>
        <m:nary>
          <m:naryPr>
            <m:chr m:val="∑"/>
            <m:grow m:val="1"/>
            <m:limLoc m:val="subSup"/>
            <m:ctrlPr>
              <w:rPr>
                <w:rFonts w:ascii="Cambria Math" w:hAnsi="Cambria Math"/>
              </w:rPr>
            </m:ctrlPr>
          </m:naryPr>
          <m:sub>
            <m:r>
              <m:rPr/>
              <w:rPr>
                <w:rFonts w:ascii="Cambria Math" w:hAnsi="Cambria Math"/>
                <w:sz w:val="21"/>
                <w:szCs w:val="21"/>
              </w:rPr>
              <m:t>i = 1</m:t>
            </m:r>
            <m:ctrlPr>
              <w:rPr>
                <w:rFonts w:ascii="Cambria Math" w:hAnsi="Cambria Math"/>
              </w:rPr>
            </m:ctrlPr>
          </m:sub>
          <m:sup>
            <m:r>
              <m:rPr/>
              <w:rPr>
                <w:rFonts w:ascii="Cambria Math" w:hAnsi="Cambria Math"/>
                <w:sz w:val="21"/>
                <w:szCs w:val="21"/>
              </w:rPr>
              <m:t>m</m:t>
            </m:r>
            <m:ctrlPr>
              <w:rPr>
                <w:rFonts w:ascii="Cambria Math" w:hAnsi="Cambria Math"/>
              </w:rPr>
            </m:ctrlPr>
          </m:sup>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sz w:val="21"/>
                            <w:szCs w:val="21"/>
                          </w:rPr>
                          <m:t>s</m:t>
                        </m:r>
                        <m:ctrlPr>
                          <w:rPr>
                            <w:rFonts w:ascii="Cambria Math" w:hAnsi="Cambria Math"/>
                          </w:rPr>
                        </m:ctrlPr>
                      </m:e>
                    </m:acc>
                    <m:ctrlPr>
                      <w:rPr>
                        <w:rFonts w:ascii="Cambria Math" w:hAnsi="Cambria Math"/>
                      </w:rPr>
                    </m:ctrlPr>
                  </m:e>
                  <m:sub>
                    <m:r>
                      <m:rPr/>
                      <w:rPr>
                        <w:rFonts w:ascii="Cambria Math" w:hAnsi="Cambria Math"/>
                        <w:sz w:val="21"/>
                        <w:szCs w:val="21"/>
                      </w:rPr>
                      <m:t>i,u</m:t>
                    </m:r>
                    <m:ctrlPr>
                      <w:rPr>
                        <w:rFonts w:ascii="Cambria Math" w:hAnsi="Cambria Math"/>
                      </w:rPr>
                    </m:ctrlP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w</m:t>
                    </m:r>
                    <m:ctrlPr>
                      <w:rPr>
                        <w:rFonts w:ascii="Cambria Math" w:hAnsi="Cambria Math"/>
                      </w:rPr>
                    </m:ctrlPr>
                  </m:e>
                  <m:sub>
                    <m:r>
                      <m:rPr/>
                      <w:rPr>
                        <w:rFonts w:ascii="Cambria Math" w:hAnsi="Cambria Math"/>
                        <w:sz w:val="21"/>
                        <w:szCs w:val="21"/>
                      </w:rPr>
                      <m:t>i</m:t>
                    </m:r>
                    <m:ctrlPr>
                      <w:rPr>
                        <w:rFonts w:ascii="Cambria Math" w:hAnsi="Cambria Math"/>
                      </w:rPr>
                    </m:ctrlPr>
                  </m:sub>
                </m:sSub>
                <m:ctrlPr>
                  <w:rPr>
                    <w:rFonts w:ascii="Cambria Math" w:hAnsi="Cambria Math"/>
                  </w:rPr>
                </m:ctrlPr>
              </m:e>
            </m:d>
            <m:ctrlPr>
              <w:rPr>
                <w:rFonts w:ascii="Cambria Math" w:hAnsi="Cambria Math"/>
              </w:rPr>
            </m:ctrlPr>
          </m:e>
        </m:nary>
        <m:r>
          <m:rPr/>
          <w:rPr>
            <w:rFonts w:ascii="Cambria Math" w:hAnsi="Cambria Math"/>
            <w:sz w:val="21"/>
            <w:szCs w:val="21"/>
          </w:rPr>
          <m:t xml:space="preserve"> + </m:t>
        </m:r>
        <m:d>
          <m:dPr>
            <m:ctrlPr>
              <w:rPr>
                <w:rFonts w:ascii="Cambria Math" w:hAnsi="Cambria Math"/>
              </w:rPr>
            </m:ctrlPr>
          </m:dPr>
          <m:e>
            <m:r>
              <m:rPr/>
              <w:rPr>
                <w:rFonts w:ascii="Cambria Math" w:hAnsi="Cambria Math"/>
                <w:sz w:val="21"/>
                <w:szCs w:val="21"/>
              </w:rPr>
              <m:t>1 − α</m:t>
            </m:r>
            <m:ctrlPr>
              <w:rPr>
                <w:rFonts w:ascii="Cambria Math" w:hAnsi="Cambria Math"/>
              </w:rPr>
            </m:ctrlPr>
          </m:e>
        </m:d>
        <m:r>
          <m:rPr/>
          <w:rPr>
            <w:rFonts w:ascii="Cambria Math" w:hAnsi="Cambria Math"/>
            <w:sz w:val="21"/>
            <w:szCs w:val="21"/>
          </w:rPr>
          <m:t xml:space="preserve"> · </m:t>
        </m:r>
        <m:sSubSup>
          <m:sSubSupPr>
            <m:ctrlPr>
              <w:rPr>
                <w:rFonts w:ascii="Cambria Math" w:hAnsi="Cambria Math"/>
              </w:rPr>
            </m:ctrlPr>
          </m:sSubSupPr>
          <m:e>
            <m:r>
              <m:rPr/>
              <w:rPr>
                <w:rFonts w:ascii="Cambria Math" w:hAnsi="Cambria Math"/>
                <w:sz w:val="21"/>
                <w:szCs w:val="21"/>
              </w:rPr>
              <m:t>W</m:t>
            </m:r>
            <m:ctrlPr>
              <w:rPr>
                <w:rFonts w:ascii="Cambria Math" w:hAnsi="Cambria Math"/>
              </w:rPr>
            </m:ctrlPr>
          </m:e>
          <m:sub>
            <m:r>
              <m:rPr/>
              <w:rPr>
                <w:rFonts w:ascii="Cambria Math" w:hAnsi="Cambria Math"/>
                <w:sz w:val="21"/>
                <w:szCs w:val="21"/>
              </w:rPr>
              <m:t>t,u</m:t>
            </m:r>
            <m:ctrlPr>
              <w:rPr>
                <w:rFonts w:ascii="Cambria Math" w:hAnsi="Cambria Math"/>
              </w:rPr>
            </m:ctrlPr>
          </m:sub>
          <m:sup>
            <m:d>
              <m:dPr>
                <m:ctrlPr>
                  <w:rPr>
                    <w:rFonts w:ascii="Cambria Math" w:hAnsi="Cambria Math"/>
                  </w:rPr>
                </m:ctrlPr>
              </m:dPr>
              <m:e>
                <m:r>
                  <m:rPr/>
                  <w:rPr>
                    <w:rFonts w:ascii="Cambria Math" w:hAnsi="Cambria Math"/>
                    <w:sz w:val="21"/>
                    <w:szCs w:val="21"/>
                  </w:rPr>
                  <m:t>k − 1</m:t>
                </m:r>
                <m:ctrlPr>
                  <w:rPr>
                    <w:rFonts w:ascii="Cambria Math" w:hAnsi="Cambria Math"/>
                  </w:rPr>
                </m:ctrlPr>
              </m:e>
            </m:d>
            <m:ctrlPr>
              <w:rPr>
                <w:rFonts w:ascii="Cambria Math" w:hAnsi="Cambria Math"/>
              </w:rPr>
            </m:ctrlPr>
          </m:sup>
        </m:sSubSup>
      </m:oMath>
      <w:r>
        <w:rPr>
          <w:rFonts w:ascii="Times New Roman" w:hAnsi="Times New Roman" w:eastAsia="宋体"/>
        </w:rPr>
        <w:tab/>
      </w:r>
      <w:r>
        <w:rPr>
          <w:rFonts w:ascii="Times New Roman" w:hAnsi="Times New Roman" w:eastAsia="宋体" w:cs="Times New Roman"/>
          <w:sz w:val="21"/>
          <w:szCs w:val="21"/>
        </w:rPr>
        <w:t>(5)</w:t>
      </w:r>
    </w:p>
    <w:p w14:paraId="27364D45">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i,u</w:t>
      </w:r>
      <w:r>
        <w:rPr>
          <w:rFonts w:hint="eastAsia" w:ascii="Times New Roman" w:hAnsi="Times New Roman" w:eastAsia="宋体" w:cs="Times New Roman"/>
          <w:sz w:val="21"/>
          <w:szCs w:val="21"/>
          <w:lang w:eastAsia="zh-CN"/>
        </w:rPr>
        <w:t xml:space="preserve"> 为行为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经时间衰减与归一化后的积分；</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perscript"/>
          <w:lang w:eastAsia="zh-CN"/>
        </w:rPr>
        <w:t xml:space="preserve">(k)</w:t>
      </w:r>
      <w:r>
        <w:rPr>
          <w:rFonts w:hint="eastAsia" w:ascii="Times New Roman" w:hAnsi="Times New Roman" w:eastAsia="宋体" w:cs="Times New Roman"/>
          <w:sz w:val="21"/>
          <w:szCs w:val="21"/>
          <w:vertAlign w:val="subscript"/>
          <w:lang w:eastAsia="zh-CN"/>
        </w:rPr>
        <w:t xml:space="preserve">t,u</w:t>
      </w:r>
      <w:r>
        <w:rPr>
          <w:rFonts w:hint="eastAsia" w:ascii="Times New Roman" w:hAnsi="Times New Roman" w:eastAsia="宋体" w:cs="Times New Roman"/>
          <w:sz w:val="21"/>
          <w:szCs w:val="21"/>
          <w:lang w:eastAsia="zh-CN"/>
        </w:rPr>
        <w:t xml:space="preserve"> 为用户 </w:t>
      </w:r>
      <w:r>
        <w:rPr>
          <w:rFonts w:hint="eastAsia" w:ascii="Times New Roman" w:hAnsi="Times New Roman" w:eastAsia="宋体" w:cs="Times New Roman"/>
          <w:i/>
          <w:sz w:val="21"/>
          <w:szCs w:val="21"/>
          <w:lang w:eastAsia="zh-CN"/>
        </w:rPr>
        <w:t xml:space="preserve">u</w:t>
      </w:r>
      <w:r>
        <w:rPr>
          <w:rFonts w:hint="eastAsia" w:ascii="Times New Roman" w:hAnsi="Times New Roman" w:eastAsia="宋体" w:cs="Times New Roman"/>
          <w:sz w:val="21"/>
          <w:szCs w:val="21"/>
          <w:lang w:eastAsia="zh-CN"/>
        </w:rPr>
        <w:t xml:space="preserve"> 在标签 </w:t>
      </w:r>
      <w:r>
        <w:rPr>
          <w:rFonts w:hint="eastAsia" w:ascii="Times New Roman" w:hAnsi="Times New Roman" w:eastAsia="宋体" w:cs="Times New Roman"/>
          <w:i/>
          <w:sz w:val="21"/>
          <w:szCs w:val="21"/>
          <w:lang w:eastAsia="zh-CN"/>
        </w:rPr>
        <w:t xml:space="preserve">t</w:t>
      </w:r>
      <w:r>
        <w:rPr>
          <w:rFonts w:hint="eastAsia" w:ascii="Times New Roman" w:hAnsi="Times New Roman" w:eastAsia="宋体" w:cs="Times New Roman"/>
          <w:sz w:val="21"/>
          <w:szCs w:val="21"/>
          <w:lang w:eastAsia="zh-CN"/>
        </w:rPr>
        <w:t xml:space="preserve"> 上第 </w:t>
      </w:r>
      <w:r>
        <w:rPr>
          <w:rFonts w:hint="eastAsia" w:ascii="Times New Roman" w:hAnsi="Times New Roman" w:eastAsia="宋体" w:cs="Times New Roman"/>
          <w:i/>
          <w:sz w:val="21"/>
          <w:szCs w:val="21"/>
          <w:lang w:eastAsia="zh-CN"/>
        </w:rPr>
        <w:t xml:space="preserve">k</w:t>
      </w:r>
      <w:r>
        <w:rPr>
          <w:rFonts w:hint="eastAsia" w:ascii="Times New Roman" w:hAnsi="Times New Roman" w:eastAsia="宋体" w:cs="Times New Roman"/>
          <w:sz w:val="21"/>
          <w:szCs w:val="21"/>
          <w:lang w:eastAsia="zh-CN"/>
        </w:rPr>
        <w:t xml:space="preserve"> 个周期（本文指自然年度）的权重，初值 </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perscript"/>
          <w:lang w:eastAsia="zh-CN"/>
        </w:rPr>
        <w:t xml:space="preserve">(0)</w:t>
      </w:r>
      <w:r>
        <w:rPr>
          <w:rFonts w:hint="eastAsia" w:ascii="Times New Roman" w:hAnsi="Times New Roman" w:eastAsia="宋体" w:cs="Times New Roman"/>
          <w:sz w:val="21"/>
          <w:szCs w:val="21"/>
          <w:vertAlign w:val="subscript"/>
          <w:lang w:eastAsia="zh-CN"/>
        </w:rPr>
        <w:t xml:space="preserve">t,u</w:t>
      </w:r>
      <w:r>
        <w:rPr>
          <w:rFonts w:hint="eastAsia" w:ascii="Times New Roman" w:hAnsi="Times New Roman" w:eastAsia="宋体" w:cs="Times New Roman"/>
          <w:sz w:val="21"/>
          <w:szCs w:val="21"/>
          <w:lang w:eastAsia="zh-CN"/>
        </w:rPr>
        <w:t xml:space="preserve"> 取 0；</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i,u</w:t>
      </w:r>
      <w:r>
        <w:rPr>
          <w:rFonts w:hint="eastAsia" w:ascii="Times New Roman" w:hAnsi="Times New Roman" w:eastAsia="宋体" w:cs="Times New Roman"/>
          <w:sz w:val="21"/>
          <w:szCs w:val="21"/>
          <w:lang w:eastAsia="zh-CN"/>
        </w:rPr>
        <w:t xml:space="preserve"> 为用户 </w:t>
      </w:r>
      <w:r>
        <w:rPr>
          <w:rFonts w:hint="eastAsia" w:ascii="Times New Roman" w:hAnsi="Times New Roman" w:eastAsia="宋体" w:cs="Times New Roman"/>
          <w:i/>
          <w:sz w:val="21"/>
          <w:szCs w:val="21"/>
          <w:lang w:eastAsia="zh-CN"/>
        </w:rPr>
        <w:t xml:space="preserve">u</w:t>
      </w:r>
      <w:r>
        <w:rPr>
          <w:rFonts w:hint="eastAsia" w:ascii="Times New Roman" w:hAnsi="Times New Roman" w:eastAsia="宋体" w:cs="Times New Roman"/>
          <w:sz w:val="21"/>
          <w:szCs w:val="21"/>
          <w:lang w:eastAsia="zh-CN"/>
        </w:rPr>
        <w:t xml:space="preserve"> 在行为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上经式(1) 分配所得的积分，即式(1) 中的 </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，两式由此衔接为同一条计算通路；</w:t>
      </w:r>
      <w:r>
        <w:rPr>
          <w:rFonts w:hint="eastAsia" w:ascii="Times New Roman" w:hAnsi="Times New Roman" w:eastAsia="宋体" w:cs="Times New Roman"/>
          <w:i/>
          <w:sz w:val="21"/>
          <w:szCs w:val="21"/>
          <w:lang w:eastAsia="zh-CN"/>
        </w:rPr>
        <w:t xml:space="preserve">m</w:t>
      </w:r>
      <w:r>
        <w:rPr>
          <w:rFonts w:hint="eastAsia" w:ascii="Times New Roman" w:hAnsi="Times New Roman" w:eastAsia="宋体" w:cs="Times New Roman"/>
          <w:sz w:val="21"/>
          <w:szCs w:val="21"/>
          <w:lang w:eastAsia="zh-CN"/>
        </w:rPr>
        <w:t xml:space="preserve"> 为标签 </w:t>
      </w:r>
      <w:r>
        <w:rPr>
          <w:rFonts w:hint="eastAsia" w:ascii="Times New Roman" w:hAnsi="Times New Roman" w:eastAsia="宋体" w:cs="Times New Roman"/>
          <w:i/>
          <w:sz w:val="21"/>
          <w:szCs w:val="21"/>
          <w:lang w:eastAsia="zh-CN"/>
        </w:rPr>
        <w:t xml:space="preserve">t</w:t>
      </w:r>
      <w:r>
        <w:rPr>
          <w:rFonts w:hint="eastAsia" w:ascii="Times New Roman" w:hAnsi="Times New Roman" w:eastAsia="宋体" w:cs="Times New Roman"/>
          <w:sz w:val="21"/>
          <w:szCs w:val="21"/>
          <w:lang w:eastAsia="zh-CN"/>
        </w:rPr>
        <w:t xml:space="preserve"> 下的行为总数；</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max,t</w:t>
      </w:r>
      <w:r>
        <w:rPr>
          <w:rFonts w:hint="eastAsia" w:ascii="Times New Roman" w:hAnsi="Times New Roman" w:eastAsia="宋体" w:cs="Times New Roman"/>
          <w:sz w:val="21"/>
          <w:szCs w:val="21"/>
          <w:lang w:eastAsia="zh-CN"/>
        </w:rPr>
        <w:t xml:space="preserve"> 为该行为所属周期全中心在标签 </w:t>
      </w:r>
      <w:r>
        <w:rPr>
          <w:rFonts w:hint="eastAsia" w:ascii="Times New Roman" w:hAnsi="Times New Roman" w:eastAsia="宋体" w:cs="Times New Roman"/>
          <w:i/>
          <w:sz w:val="21"/>
          <w:szCs w:val="21"/>
          <w:lang w:eastAsia="zh-CN"/>
        </w:rPr>
        <w:t xml:space="preserve">t</w:t>
      </w:r>
      <w:r>
        <w:rPr>
          <w:rFonts w:hint="eastAsia" w:ascii="Times New Roman" w:hAnsi="Times New Roman" w:eastAsia="宋体" w:cs="Times New Roman"/>
          <w:sz w:val="21"/>
          <w:szCs w:val="21"/>
          <w:lang w:eastAsia="zh-CN"/>
        </w:rPr>
        <w:t xml:space="preserve"> 下的最高行为积分，用于将行为项归一化至 [0, 1]；</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为行为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的贡献系数，满足 Σ</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 1；</w:t>
      </w:r>
      <w:r>
        <w:rPr>
          <w:rFonts w:hint="eastAsia" w:ascii="Times New Roman" w:hAnsi="Times New Roman" w:eastAsia="宋体" w:cs="Times New Roman"/>
          <w:i/>
          <w:sz w:val="21"/>
          <w:szCs w:val="21"/>
          <w:lang w:eastAsia="zh-CN"/>
        </w:rPr>
        <w:t xml:space="preserve">τ</w:t>
      </w:r>
      <w:r>
        <w:rPr>
          <w:rFonts w:hint="eastAsia" w:ascii="Times New Roman" w:hAnsi="Times New Roman" w:eastAsia="宋体" w:cs="Times New Roman"/>
          <w:sz w:val="21"/>
          <w:szCs w:val="21"/>
          <w:vertAlign w:val="subscript"/>
          <w:lang w:eastAsia="zh-CN"/>
        </w:rPr>
        <w:t xml:space="preserve">now</w:t>
      </w:r>
      <w:r>
        <w:rPr>
          <w:rFonts w:hint="eastAsia" w:ascii="Times New Roman" w:hAnsi="Times New Roman" w:eastAsia="宋体" w:cs="Times New Roman"/>
          <w:sz w:val="21"/>
          <w:szCs w:val="21"/>
          <w:lang w:eastAsia="zh-CN"/>
        </w:rPr>
        <w:t xml:space="preserve"> 为评价时刻，</w:t>
      </w:r>
      <w:r>
        <w:rPr>
          <w:rFonts w:hint="eastAsia" w:ascii="Times New Roman" w:hAnsi="Times New Roman" w:eastAsia="宋体" w:cs="Times New Roman"/>
          <w:i/>
          <w:sz w:val="21"/>
          <w:szCs w:val="21"/>
          <w:lang w:eastAsia="zh-CN"/>
        </w:rPr>
        <w:t xml:space="preserve">τ</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为成果完成时间，故式(4) 按成果相对评价时刻的绝对年龄衰减。式(4) 作用于归一化之前，刻画成果完成先后的连续差异；式(5) 作用于周期之间，提供跨周期的指数平滑。</w:t>
      </w:r>
    </w:p>
    <w:p w14:paraId="693F0530">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式(5)中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 取 0.7，即最新周期贡献占 70%、历史累积占 30%，各期权重按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(1 −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w:t>
      </w:r>
      <w:r>
        <w:rPr>
          <w:rFonts w:hint="eastAsia" w:ascii="Times New Roman" w:hAnsi="Times New Roman" w:eastAsia="宋体" w:cs="Times New Roman"/>
          <w:sz w:val="21"/>
          <w:szCs w:val="21"/>
          <w:vertAlign w:val="superscript"/>
          <w:lang w:eastAsia="zh-CN"/>
        </w:rPr>
        <w:t xml:space="preserve">j</w:t>
      </w:r>
      <w:r>
        <w:rPr>
          <w:rFonts w:hint="eastAsia" w:ascii="Times New Roman" w:hAnsi="Times New Roman" w:eastAsia="宋体" w:cs="Times New Roman"/>
          <w:sz w:val="21"/>
          <w:szCs w:val="21"/>
          <w:lang w:eastAsia="zh-CN"/>
        </w:rPr>
        <w:t xml:space="preserve"> 衰减（</w:t>
      </w:r>
      <w:r>
        <w:rPr>
          <w:rFonts w:hint="eastAsia" w:ascii="Times New Roman" w:hAnsi="Times New Roman" w:eastAsia="宋体" w:cs="Times New Roman"/>
          <w:i/>
          <w:sz w:val="21"/>
          <w:szCs w:val="21"/>
          <w:lang w:eastAsia="zh-CN"/>
        </w:rPr>
        <w:t xml:space="preserve">j</w:t>
      </w:r>
      <w:r>
        <w:rPr>
          <w:rFonts w:hint="eastAsia" w:ascii="Times New Roman" w:hAnsi="Times New Roman" w:eastAsia="宋体" w:cs="Times New Roman"/>
          <w:sz w:val="21"/>
          <w:szCs w:val="21"/>
          <w:lang w:eastAsia="zh-CN"/>
        </w:rPr>
        <w:t xml:space="preserve"> 为自当前周期往回数的期序，区别于式(5) 的求和下标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）；式(4)中的时间衰减系数取 </w:t>
      </w:r>
      <w:r>
        <w:rPr>
          <w:rFonts w:hint="eastAsia" w:ascii="Times New Roman" w:hAnsi="Times New Roman" w:eastAsia="宋体" w:cs="Times New Roman"/>
          <w:i/>
          <w:sz w:val="21"/>
          <w:szCs w:val="21"/>
          <w:lang w:eastAsia="zh-CN"/>
        </w:rPr>
        <w:t xml:space="preserve">λ</w:t>
      </w:r>
      <w:r>
        <w:rPr>
          <w:rFonts w:hint="eastAsia" w:ascii="Times New Roman" w:hAnsi="Times New Roman" w:eastAsia="宋体" w:cs="Times New Roman"/>
          <w:sz w:val="21"/>
          <w:szCs w:val="21"/>
          <w:lang w:eastAsia="zh-CN"/>
        </w:rPr>
        <w:t xml:space="preserve"> = 0.14。两式合成后，</w:t>
      </w:r>
      <w:r>
        <w:rPr>
          <w:rFonts w:hint="eastAsia" w:ascii="Times New Roman" w:hAnsi="Times New Roman" w:eastAsia="宋体" w:cs="Times New Roman"/>
          <w:i/>
          <w:sz w:val="21"/>
          <w:szCs w:val="21"/>
          <w:lang w:eastAsia="zh-CN"/>
        </w:rPr>
        <w:t xml:space="preserve">j</w:t>
      </w:r>
      <w:r>
        <w:rPr>
          <w:rFonts w:hint="eastAsia" w:ascii="Times New Roman" w:hAnsi="Times New Roman" w:eastAsia="宋体" w:cs="Times New Roman"/>
          <w:sz w:val="21"/>
          <w:szCs w:val="21"/>
          <w:lang w:eastAsia="zh-CN"/>
        </w:rPr>
        <w:t xml:space="preserve"> 个周期前的成果相对当期的权重为 [(1 −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)e</w:t>
      </w:r>
      <w:r>
        <w:rPr>
          <w:rFonts w:hint="eastAsia" w:ascii="Times New Roman" w:hAnsi="Times New Roman" w:eastAsia="宋体" w:cs="Times New Roman"/>
          <w:sz w:val="21"/>
          <w:szCs w:val="21"/>
          <w:vertAlign w:val="superscript"/>
          <w:lang w:eastAsia="zh-CN"/>
        </w:rPr>
        <w:t xml:space="preserve">−λ</w:t>
      </w:r>
      <w:r>
        <w:rPr>
          <w:rFonts w:hint="eastAsia" w:ascii="Times New Roman" w:hAnsi="Times New Roman" w:eastAsia="宋体" w:cs="Times New Roman"/>
          <w:sz w:val="21"/>
          <w:szCs w:val="21"/>
          <w:lang w:eastAsia="zh-CN"/>
        </w:rPr>
        <w:t xml:space="preserve">]</w:t>
      </w:r>
      <w:r>
        <w:rPr>
          <w:rFonts w:hint="eastAsia" w:ascii="Times New Roman" w:hAnsi="Times New Roman" w:eastAsia="宋体" w:cs="Times New Roman"/>
          <w:sz w:val="21"/>
          <w:szCs w:val="21"/>
          <w:vertAlign w:val="superscript"/>
          <w:lang w:eastAsia="zh-CN"/>
        </w:rPr>
        <w:t xml:space="preserve">j</w:t>
      </w:r>
      <w:r>
        <w:rPr>
          <w:rFonts w:hint="eastAsia" w:ascii="Times New Roman" w:hAnsi="Times New Roman" w:eastAsia="宋体" w:cs="Times New Roman"/>
          <w:sz w:val="21"/>
          <w:szCs w:val="21"/>
          <w:lang w:eastAsia="zh-CN"/>
        </w:rPr>
        <w:t xml:space="preserve"> ≈ 0.261</w:t>
      </w:r>
      <w:r>
        <w:rPr>
          <w:rFonts w:hint="eastAsia" w:ascii="Times New Roman" w:hAnsi="Times New Roman" w:eastAsia="宋体" w:cs="Times New Roman"/>
          <w:sz w:val="21"/>
          <w:szCs w:val="21"/>
          <w:vertAlign w:val="superscript"/>
          <w:lang w:eastAsia="zh-CN"/>
        </w:rPr>
        <w:t xml:space="preserve">j</w:t>
      </w:r>
      <w:r>
        <w:rPr>
          <w:rFonts w:hint="eastAsia" w:ascii="Times New Roman" w:hAnsi="Times New Roman" w:eastAsia="宋体" w:cs="Times New Roman"/>
          <w:sz w:val="21"/>
          <w:szCs w:val="21"/>
          <w:lang w:eastAsia="zh-CN"/>
        </w:rPr>
        <w:t xml:space="preserve">（</w:t>
      </w:r>
      <w:r>
        <w:rPr>
          <w:rFonts w:hint="eastAsia" w:ascii="Times New Roman" w:hAnsi="Times New Roman" w:eastAsia="宋体" w:cs="Times New Roman"/>
          <w:i/>
          <w:sz w:val="21"/>
          <w:szCs w:val="21"/>
          <w:lang w:eastAsia="zh-CN"/>
        </w:rPr>
        <w:t xml:space="preserve">j</w:t>
      </w:r>
      <w:r>
        <w:rPr>
          <w:rFonts w:hint="eastAsia" w:ascii="Times New Roman" w:hAnsi="Times New Roman" w:eastAsia="宋体" w:cs="Times New Roman"/>
          <w:sz w:val="21"/>
          <w:szCs w:val="21"/>
          <w:lang w:eastAsia="zh-CN"/>
        </w:rPr>
        <w:t xml:space="preserve"> = 1、2、3 时分别约为 0.261、0.068、0.018），最近 3 个年度周期累计贡献约 98%，与事业单位近三年考核口径相吻合。该权重序列由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 主导（1 −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 = 0.30 远小于 e</w:t>
      </w:r>
      <w:r>
        <w:rPr>
          <w:rFonts w:hint="eastAsia" w:ascii="Times New Roman" w:hAnsi="Times New Roman" w:eastAsia="宋体" w:cs="Times New Roman"/>
          <w:sz w:val="21"/>
          <w:szCs w:val="21"/>
          <w:vertAlign w:val="superscript"/>
          <w:lang w:eastAsia="zh-CN"/>
        </w:rPr>
        <w:t xml:space="preserve">−λ</w:t>
      </w:r>
      <w:r>
        <w:rPr>
          <w:rFonts w:hint="eastAsia" w:ascii="Times New Roman" w:hAnsi="Times New Roman" w:eastAsia="宋体" w:cs="Times New Roman"/>
          <w:sz w:val="21"/>
          <w:szCs w:val="21"/>
          <w:lang w:eastAsia="zh-CN"/>
        </w:rPr>
        <w:t xml:space="preserve"> = 0.87），</w:t>
      </w:r>
      <w:r>
        <w:rPr>
          <w:rFonts w:hint="eastAsia" w:ascii="Times New Roman" w:hAnsi="Times New Roman" w:eastAsia="宋体" w:cs="Times New Roman"/>
          <w:i/>
          <w:sz w:val="21"/>
          <w:szCs w:val="21"/>
          <w:lang w:eastAsia="zh-CN"/>
        </w:rPr>
        <w:t xml:space="preserve">λ</w:t>
      </w:r>
      <w:r>
        <w:rPr>
          <w:rFonts w:hint="eastAsia" w:ascii="Times New Roman" w:hAnsi="Times New Roman" w:eastAsia="宋体" w:cs="Times New Roman"/>
          <w:sz w:val="21"/>
          <w:szCs w:val="21"/>
          <w:lang w:eastAsia="zh-CN"/>
        </w:rPr>
        <w:t xml:space="preserve"> 的作用是在此基础上按成果完成时间做连续修正：既区分同一周期内成果的完成先后，避免年末集中申报与年初申报等权，也使跨周期的衰减不局限于周期粒度的阶跃。上述取值使模型度量的是</w:t>
      </w:r>
      <w:r>
        <w:rPr>
          <w:rFonts w:hint="eastAsia" w:ascii="Times New Roman" w:hAnsi="Times New Roman" w:eastAsia="宋体" w:cs="Times New Roman"/>
          <w:b/>
          <w:sz w:val="21"/>
          <w:szCs w:val="21"/>
          <w:lang w:eastAsia="zh-CN"/>
        </w:rPr>
        <w:t xml:space="preserve">当前科研活跃度</w:t>
      </w:r>
      <w:r>
        <w:rPr>
          <w:rFonts w:hint="eastAsia" w:ascii="Times New Roman" w:hAnsi="Times New Roman" w:eastAsia="宋体" w:cs="Times New Roman"/>
          <w:sz w:val="21"/>
          <w:szCs w:val="21"/>
          <w:lang w:eastAsia="zh-CN"/>
        </w:rPr>
        <w:t xml:space="preserve">，对近期成果显著加权，而非对多年积累作等权累计；若评价目的转向长周期积累，需相应下调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，仅调整 </w:t>
      </w:r>
      <w:r>
        <w:rPr>
          <w:rFonts w:hint="eastAsia" w:ascii="Times New Roman" w:hAnsi="Times New Roman" w:eastAsia="宋体" w:cs="Times New Roman"/>
          <w:i/>
          <w:sz w:val="21"/>
          <w:szCs w:val="21"/>
          <w:lang w:eastAsia="zh-CN"/>
        </w:rPr>
        <w:t xml:space="preserve">λ</w:t>
      </w:r>
      <w:r>
        <w:rPr>
          <w:rFonts w:hint="eastAsia" w:ascii="Times New Roman" w:hAnsi="Times New Roman" w:eastAsia="宋体" w:cs="Times New Roman"/>
          <w:sz w:val="21"/>
          <w:szCs w:val="21"/>
          <w:lang w:eastAsia="zh-CN"/>
        </w:rPr>
        <w:t xml:space="preserve"> 无法改变该特性。</w:t>
      </w:r>
    </w:p>
    <w:p w14:paraId="31B6FA53">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标签权重在积分流水生成后 1 s 内由 Spring Event 触发准实时微调，并于每日 2:00 将当日积分流水并入，对活跃用户近 3 年的标签权重做增量重算。</w:t>
      </w:r>
    </w:p>
    <w:p w14:paraId="53AE0D9B">
      <w:pPr>
        <w:keepNext/>
        <w:keepLines/>
        <w:spacing w:before="93" w:beforeLines="30" w:after="62" w:afterLines="20" w:line="360" w:lineRule="auto"/>
        <w:outlineLvl w:val="1"/>
        <w:rPr>
          <w:rFonts w:hint="eastAsia"/>
          <w:lang w:eastAsia="zh-CN"/>
        </w:rPr>
      </w:pPr>
      <w:r>
        <w:rPr>
          <w:rFonts w:hint="eastAsia" w:ascii="Times New Roman" w:hAnsi="Times New Roman" w:eastAsia="宋体" w:cs="Times New Roman"/>
          <w:b/>
          <w:sz w:val="21"/>
          <w:szCs w:val="21"/>
          <w:lang w:eastAsia="zh-CN"/>
        </w:rPr>
        <w:t>3.4  多维能力得分与画像渲染</w:t>
      </w:r>
    </w:p>
    <w:p w14:paraId="574CC9C6">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定义标签—能力维度映射矩阵 M ∈ RT×D, T 为标签总数，D 为能力维度数（本系统取 D = 16，各维度名称如图2所示）。元素 mt,d ∈ [0, 1] 表示标签 t 对维度 d 的贡献度，满足 Σdmt,d = 1，由本中心 3 名具有高级职称的科研管理专家经两轮独立打分与组间反馈修正确定，打分流程参照省级疾控信息化评价指标的构建方式[3]；受机构规模限制，参与标定的专家人数偏少，该矩阵反映的是本中心的评价导向，跨机构应用时需重新标定。各维度原始得分为当前周期标签权重(式(5)中的 W(k)t,u)的加权和（式(6)）；由于式(4)已在行为积分层面完成时间衰减修正，式(6)无需再次引入衰减因子。</w:t>
      </w:r>
    </w:p>
    <w:p w14:paraId="37E5A24C">
      <w:pPr>
        <w:keepNext/>
        <w:keepLines/>
        <w:tabs>
          <w:tab w:val="center" w:pos="4153"/>
          <w:tab w:val="right" w:pos="8306"/>
        </w:tabs>
        <w:spacing w:before="46" w:beforeLines="15" w:after="46" w:afterLines="15"/>
        <w:rPr>
          <w:rFonts w:hint="eastAsia"/>
        </w:rPr>
      </w:pPr>
      <w:r>
        <w:rPr>
          <w:rFonts w:ascii="Times New Roman" w:hAnsi="Times New Roman" w:eastAsia="宋体"/>
          <w:lang w:eastAsia="zh-CN"/>
        </w:rPr>
        <w:tab/>
      </w:r>
      <m:oMath>
        <m:sSub>
          <m:sSubPr>
            <m:ctrlPr>
              <w:rPr>
                <w:rFonts w:ascii="Cambria Math" w:hAnsi="Cambria Math"/>
              </w:rPr>
            </m:ctrlPr>
          </m:sSubPr>
          <m:e>
            <m:r>
              <m:rPr/>
              <w:rPr>
                <w:rFonts w:ascii="Cambria Math" w:hAnsi="Cambria Math"/>
                <w:sz w:val="21"/>
                <w:szCs w:val="21"/>
              </w:rPr>
              <m:t>C</m:t>
            </m:r>
            <m:ctrlPr>
              <w:rPr>
                <w:rFonts w:ascii="Cambria Math" w:hAnsi="Cambria Math"/>
              </w:rPr>
            </m:ctrlPr>
          </m:e>
          <m:sub>
            <m:r>
              <m:rPr/>
              <w:rPr>
                <w:rFonts w:ascii="Cambria Math" w:hAnsi="Cambria Math"/>
                <w:sz w:val="21"/>
                <w:szCs w:val="21"/>
              </w:rPr>
              <m:t>d,u</m:t>
            </m:r>
            <m:ctrlPr>
              <w:rPr>
                <w:rFonts w:ascii="Cambria Math" w:hAnsi="Cambria Math"/>
              </w:rPr>
            </m:ctrlPr>
          </m:sub>
        </m:sSub>
        <m:r>
          <m:rPr/>
          <w:rPr>
            <w:rFonts w:ascii="Cambria Math" w:hAnsi="Cambria Math"/>
            <w:sz w:val="21"/>
            <w:szCs w:val="21"/>
          </w:rPr>
          <m:t xml:space="preserve"> = </m:t>
        </m:r>
        <m:nary>
          <m:naryPr>
            <m:chr m:val="∑"/>
            <m:grow m:val="1"/>
            <m:limLoc m:val="subSup"/>
            <m:ctrlPr>
              <w:rPr>
                <w:rFonts w:ascii="Cambria Math" w:hAnsi="Cambria Math"/>
              </w:rPr>
            </m:ctrlPr>
          </m:naryPr>
          <m:sub>
            <m:r>
              <m:rPr/>
              <w:rPr>
                <w:rFonts w:ascii="Cambria Math" w:hAnsi="Cambria Math"/>
                <w:sz w:val="21"/>
                <w:szCs w:val="21"/>
              </w:rPr>
              <m:t>t = 1</m:t>
            </m:r>
            <m:ctrlPr>
              <w:rPr>
                <w:rFonts w:ascii="Cambria Math" w:hAnsi="Cambria Math"/>
              </w:rPr>
            </m:ctrlPr>
          </m:sub>
          <m:sup>
            <m:r>
              <m:rPr/>
              <w:rPr>
                <w:rFonts w:ascii="Cambria Math" w:hAnsi="Cambria Math"/>
                <w:sz w:val="21"/>
                <w:szCs w:val="21"/>
              </w:rPr>
              <m:t>T</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sz w:val="21"/>
                        <w:szCs w:val="21"/>
                      </w:rPr>
                      <m:t>W</m:t>
                    </m:r>
                    <m:ctrlPr>
                      <w:rPr>
                        <w:rFonts w:ascii="Cambria Math" w:hAnsi="Cambria Math"/>
                      </w:rPr>
                    </m:ctrlPr>
                  </m:e>
                  <m:sub>
                    <m:r>
                      <m:rPr/>
                      <w:rPr>
                        <w:rFonts w:ascii="Cambria Math" w:hAnsi="Cambria Math"/>
                        <w:sz w:val="21"/>
                        <w:szCs w:val="21"/>
                      </w:rPr>
                      <m:t>t,u</m:t>
                    </m:r>
                    <m:ctrlPr>
                      <w:rPr>
                        <w:rFonts w:ascii="Cambria Math" w:hAnsi="Cambria Math"/>
                      </w:rPr>
                    </m:ctrlP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m</m:t>
                    </m:r>
                    <m:ctrlPr>
                      <w:rPr>
                        <w:rFonts w:ascii="Cambria Math" w:hAnsi="Cambria Math"/>
                      </w:rPr>
                    </m:ctrlPr>
                  </m:e>
                  <m:sub>
                    <m:r>
                      <m:rPr/>
                      <w:rPr>
                        <w:rFonts w:ascii="Cambria Math" w:hAnsi="Cambria Math"/>
                        <w:sz w:val="21"/>
                        <w:szCs w:val="21"/>
                      </w:rPr>
                      <m:t>t,d</m:t>
                    </m:r>
                    <m:ctrlPr>
                      <w:rPr>
                        <w:rFonts w:ascii="Cambria Math" w:hAnsi="Cambria Math"/>
                      </w:rPr>
                    </m:ctrlPr>
                  </m:sub>
                </m:sSub>
                <m:ctrlPr>
                  <w:rPr>
                    <w:rFonts w:ascii="Cambria Math" w:hAnsi="Cambria Math"/>
                  </w:rPr>
                </m:ctrlPr>
              </m:e>
            </m:d>
            <m:ctrlPr>
              <w:rPr>
                <w:rFonts w:ascii="Cambria Math" w:hAnsi="Cambria Math"/>
              </w:rPr>
            </m:ctrlPr>
          </m:e>
        </m:nary>
      </m:oMath>
      <w:r>
        <w:rPr>
          <w:rFonts w:ascii="Times New Roman" w:hAnsi="Times New Roman" w:eastAsia="宋体"/>
        </w:rPr>
        <w:tab/>
      </w:r>
      <w:r>
        <w:rPr>
          <w:rFonts w:ascii="Times New Roman" w:hAnsi="Times New Roman" w:eastAsia="宋体" w:cs="Times New Roman"/>
          <w:sz w:val="21"/>
          <w:szCs w:val="21"/>
        </w:rPr>
        <w:t>(6)</w:t>
      </w:r>
    </w:p>
    <w:p w14:paraId="7F9010A0">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为消除量纲差异，对原始得分作归一化处理（式(7)）。</w:t>
      </w:r>
    </w:p>
    <w:p w14:paraId="54DAD438">
      <w:pPr>
        <w:keepNext/>
        <w:keepLines/>
        <w:tabs>
          <w:tab w:val="center" w:pos="4153"/>
          <w:tab w:val="right" w:pos="8306"/>
        </w:tabs>
        <w:spacing w:before="46" w:beforeLines="15" w:after="46" w:afterLines="15"/>
        <w:rPr>
          <w:rFonts w:hint="eastAsia"/>
        </w:rPr>
      </w:pPr>
      <w:r>
        <w:rPr>
          <w:rFonts w:ascii="Times New Roman" w:hAnsi="Times New Roman" w:eastAsia="宋体"/>
          <w:lang w:eastAsia="zh-CN"/>
        </w:rPr>
        <w:tab/>
      </w:r>
      <m:oMath>
        <m:sSubSup>
          <m:sSubSupPr>
            <m:ctrlPr>
              <w:rPr>
                <w:rFonts w:ascii="Cambria Math" w:hAnsi="Cambria Math"/>
              </w:rPr>
            </m:ctrlPr>
          </m:sSubSupPr>
          <m:e>
            <m:r>
              <m:rPr/>
              <w:rPr>
                <w:rFonts w:ascii="Cambria Math" w:hAnsi="Cambria Math"/>
                <w:sz w:val="21"/>
                <w:szCs w:val="21"/>
              </w:rPr>
              <m:t>C</m:t>
            </m:r>
            <m:ctrlPr>
              <w:rPr>
                <w:rFonts w:ascii="Cambria Math" w:hAnsi="Cambria Math"/>
              </w:rPr>
            </m:ctrlPr>
          </m:e>
          <m:sub>
            <m:r>
              <m:rPr/>
              <w:rPr>
                <w:rFonts w:ascii="Cambria Math" w:hAnsi="Cambria Math"/>
                <w:sz w:val="21"/>
                <w:szCs w:val="21"/>
              </w:rPr>
              <m:t>d,u</m:t>
            </m:r>
            <m:ctrlPr>
              <w:rPr>
                <w:rFonts w:ascii="Cambria Math" w:hAnsi="Cambria Math"/>
              </w:rPr>
            </m:ctrlPr>
          </m:sub>
          <m:sup>
            <m:r>
              <m:rPr/>
              <w:rPr>
                <w:rFonts w:ascii="Cambria Math" w:hAnsi="Cambria Math"/>
                <w:sz w:val="21"/>
                <w:szCs w:val="21"/>
              </w:rPr>
              <m:t>'</m:t>
            </m:r>
            <m:ctrlPr>
              <w:rPr>
                <w:rFonts w:ascii="Cambria Math" w:hAnsi="Cambria Math"/>
              </w:rPr>
            </m:ctrlPr>
          </m:sup>
        </m:sSubSup>
        <m:r>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sz w:val="21"/>
                    <w:szCs w:val="21"/>
                  </w:rPr>
                  <m:t>C</m:t>
                </m:r>
                <m:ctrlPr>
                  <w:rPr>
                    <w:rFonts w:ascii="Cambria Math" w:hAnsi="Cambria Math"/>
                  </w:rPr>
                </m:ctrlPr>
              </m:e>
              <m:sub>
                <m:r>
                  <m:rPr/>
                  <w:rPr>
                    <w:rFonts w:ascii="Cambria Math" w:hAnsi="Cambria Math"/>
                    <w:sz w:val="21"/>
                    <w:szCs w:val="21"/>
                  </w:rPr>
                  <m:t>d,u</m:t>
                </m:r>
                <m:ctrlPr>
                  <w:rPr>
                    <w:rFonts w:ascii="Cambria Math" w:hAnsi="Cambria Math"/>
                  </w:rPr>
                </m:ctrlP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C</m:t>
                </m:r>
                <m:ctrlPr>
                  <w:rPr>
                    <w:rFonts w:ascii="Cambria Math" w:hAnsi="Cambria Math"/>
                  </w:rPr>
                </m:ctrlPr>
              </m:e>
              <m:sub>
                <m:r>
                  <m:rPr/>
                  <w:rPr>
                    <w:rFonts w:ascii="Cambria Math" w:hAnsi="Cambria Math"/>
                    <w:sz w:val="21"/>
                    <w:szCs w:val="21"/>
                  </w:rPr>
                  <m:t>d,min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sz w:val="21"/>
                    <w:szCs w:val="21"/>
                  </w:rPr>
                  <m:t>C</m:t>
                </m:r>
                <m:ctrlPr>
                  <w:rPr>
                    <w:rFonts w:ascii="Cambria Math" w:hAnsi="Cambria Math"/>
                  </w:rPr>
                </m:ctrlPr>
              </m:e>
              <m:sub>
                <m:r>
                  <m:rPr/>
                  <w:rPr>
                    <w:rFonts w:ascii="Cambria Math" w:hAnsi="Cambria Math"/>
                    <w:sz w:val="21"/>
                    <w:szCs w:val="21"/>
                  </w:rPr>
                  <m:t>d,max</m:t>
                </m:r>
                <m:ctrlPr>
                  <w:rPr>
                    <w:rFonts w:ascii="Cambria Math" w:hAnsi="Cambria Math"/>
                  </w:rPr>
                </m:ctrlP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C</m:t>
                </m:r>
                <m:ctrlPr>
                  <w:rPr>
                    <w:rFonts w:ascii="Cambria Math" w:hAnsi="Cambria Math"/>
                  </w:rPr>
                </m:ctrlPr>
              </m:e>
              <m:sub>
                <m:r>
                  <m:rPr/>
                  <w:rPr>
                    <w:rFonts w:ascii="Cambria Math" w:hAnsi="Cambria Math"/>
                    <w:sz w:val="21"/>
                    <w:szCs w:val="21"/>
                  </w:rPr>
                  <m:t>d,min</m:t>
                </m:r>
                <m:ctrlPr>
                  <w:rPr>
                    <w:rFonts w:ascii="Cambria Math" w:hAnsi="Cambria Math"/>
                  </w:rPr>
                </m:ctrlPr>
              </m:sub>
            </m:sSub>
            <m:ctrlPr>
              <w:rPr>
                <w:rFonts w:ascii="Cambria Math" w:hAnsi="Cambria Math"/>
              </w:rPr>
            </m:ctrlPr>
          </m:den>
        </m:f>
        <m:r>
          <m:rPr/>
          <w:rPr>
            <w:rFonts w:ascii="Cambria Math" w:hAnsi="Cambria Math"/>
            <w:sz w:val="21"/>
            <w:szCs w:val="21"/>
          </w:rPr>
          <m:t xml:space="preserve"> × 80 + 20</m:t>
        </m:r>
      </m:oMath>
      <w:r>
        <w:rPr>
          <w:rFonts w:ascii="Times New Roman" w:hAnsi="Times New Roman" w:eastAsia="宋体"/>
        </w:rPr>
        <w:tab/>
      </w:r>
      <w:r>
        <w:rPr>
          <w:rFonts w:ascii="Times New Roman" w:hAnsi="Times New Roman" w:eastAsia="宋体" w:cs="Times New Roman"/>
          <w:sz w:val="21"/>
          <w:szCs w:val="21"/>
        </w:rPr>
        <w:t>(7)</w:t>
      </w:r>
    </w:p>
    <w:p w14:paraId="6A0C3930">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w:t>
      </w:r>
      <w:r>
        <w:rPr>
          <w:rFonts w:ascii="Times New Roman" w:hAnsi="Times New Roman" w:eastAsia="宋体" w:cs="Times New Roman"/>
          <w:i/>
          <w:iCs/>
          <w:sz w:val="21"/>
          <w:szCs w:val="21"/>
          <w:lang w:eastAsia="zh-CN"/>
        </w:rPr>
        <w:t>C</w:t>
      </w:r>
      <w:r>
        <w:rPr>
          <w:rFonts w:ascii="Times New Roman" w:hAnsi="Times New Roman" w:eastAsia="宋体" w:cs="Times New Roman"/>
          <w:sz w:val="21"/>
          <w:szCs w:val="21"/>
          <w:vertAlign w:val="subscript"/>
          <w:lang w:eastAsia="zh-CN"/>
        </w:rPr>
        <w:t>d,min</w:t>
      </w:r>
      <w:r>
        <w:rPr>
          <w:rFonts w:hint="eastAsia" w:ascii="Times New Roman" w:hAnsi="Times New Roman" w:eastAsia="宋体" w:cs="Times New Roman"/>
          <w:sz w:val="21"/>
          <w:szCs w:val="21"/>
          <w:lang w:eastAsia="zh-CN"/>
        </w:rPr>
        <w:t xml:space="preserve"> 与 </w:t>
      </w:r>
      <w:r>
        <w:rPr>
          <w:rFonts w:ascii="Times New Roman" w:hAnsi="Times New Roman" w:eastAsia="宋体" w:cs="Times New Roman"/>
          <w:i/>
          <w:iCs/>
          <w:sz w:val="21"/>
          <w:szCs w:val="21"/>
          <w:lang w:eastAsia="zh-CN"/>
        </w:rPr>
        <w:t>C</w:t>
      </w:r>
      <w:r>
        <w:rPr>
          <w:rFonts w:ascii="Times New Roman" w:hAnsi="Times New Roman" w:eastAsia="宋体" w:cs="Times New Roman"/>
          <w:sz w:val="21"/>
          <w:szCs w:val="21"/>
          <w:vertAlign w:val="subscript"/>
          <w:lang w:eastAsia="zh-CN"/>
        </w:rPr>
        <w:t>d,max</w:t>
      </w:r>
      <w:r>
        <w:rPr>
          <w:rFonts w:hint="eastAsia" w:ascii="Times New Roman" w:hAnsi="Times New Roman" w:eastAsia="宋体" w:cs="Times New Roman"/>
          <w:sz w:val="21"/>
          <w:szCs w:val="21"/>
          <w:lang w:eastAsia="zh-CN"/>
        </w:rPr>
        <w:t xml:space="preserve"> 分别为全中心用户在维度 </w:t>
      </w:r>
      <w:r>
        <w:rPr>
          <w:rFonts w:ascii="Times New Roman" w:hAnsi="Times New Roman" w:eastAsia="宋体" w:cs="Times New Roman"/>
          <w:i/>
          <w:iCs/>
          <w:sz w:val="21"/>
          <w:szCs w:val="21"/>
          <w:lang w:eastAsia="zh-CN"/>
        </w:rPr>
        <w:t>d</w:t>
      </w:r>
      <w:r>
        <w:rPr>
          <w:rFonts w:hint="eastAsia" w:ascii="Times New Roman" w:hAnsi="Times New Roman" w:eastAsia="宋体" w:cs="Times New Roman"/>
          <w:sz w:val="21"/>
          <w:szCs w:val="21"/>
          <w:lang w:eastAsia="zh-CN"/>
        </w:rPr>
        <w:t xml:space="preserve"> 上的最低与最高原始得分。映射至 [20, 100] 而非 [0, 100]，可避免最低分用户恒为 0、雷达图退化为尖刺；当 </w:t>
      </w:r>
      <w:r>
        <w:rPr>
          <w:rFonts w:ascii="Times New Roman" w:hAnsi="Times New Roman" w:eastAsia="宋体" w:cs="Times New Roman"/>
          <w:i/>
          <w:iCs/>
          <w:sz w:val="21"/>
          <w:szCs w:val="21"/>
          <w:lang w:eastAsia="zh-CN"/>
        </w:rPr>
        <w:t>C</w:t>
      </w:r>
      <w:r>
        <w:rPr>
          <w:rFonts w:ascii="Times New Roman" w:hAnsi="Times New Roman" w:eastAsia="宋体" w:cs="Times New Roman"/>
          <w:sz w:val="21"/>
          <w:szCs w:val="21"/>
          <w:vertAlign w:val="subscript"/>
          <w:lang w:eastAsia="zh-CN"/>
        </w:rPr>
        <w:t>d,max</w:t>
      </w:r>
      <w:r>
        <w:rPr>
          <w:rFonts w:ascii="Times New Roman" w:hAnsi="Times New Roman" w:eastAsia="宋体" w:cs="Times New Roman"/>
          <w:sz w:val="21"/>
          <w:szCs w:val="21"/>
          <w:lang w:eastAsia="zh-CN"/>
        </w:rPr>
        <w:t xml:space="preserve"> = </w:t>
      </w:r>
      <w:r>
        <w:rPr>
          <w:rFonts w:ascii="Times New Roman" w:hAnsi="Times New Roman" w:eastAsia="宋体" w:cs="Times New Roman"/>
          <w:i/>
          <w:iCs/>
          <w:sz w:val="21"/>
          <w:szCs w:val="21"/>
          <w:lang w:eastAsia="zh-CN"/>
        </w:rPr>
        <w:t>C</w:t>
      </w:r>
      <w:r>
        <w:rPr>
          <w:rFonts w:ascii="Times New Roman" w:hAnsi="Times New Roman" w:eastAsia="宋体" w:cs="Times New Roman"/>
          <w:sz w:val="21"/>
          <w:szCs w:val="21"/>
          <w:vertAlign w:val="subscript"/>
          <w:lang w:eastAsia="zh-CN"/>
        </w:rPr>
        <w:t>d,min</w:t>
      </w:r>
      <w:r>
        <w:rPr>
          <w:rFonts w:hint="eastAsia" w:ascii="Times New Roman" w:hAnsi="Times New Roman" w:eastAsia="宋体" w:cs="Times New Roman"/>
          <w:sz w:val="21"/>
          <w:szCs w:val="21"/>
          <w:lang w:eastAsia="zh-CN"/>
        </w:rPr>
        <w:t xml:space="preserve"> 时取 </w:t>
      </w:r>
      <w:r>
        <w:rPr>
          <w:rFonts w:ascii="Times New Roman" w:hAnsi="Times New Roman" w:eastAsia="宋体" w:cs="Times New Roman"/>
          <w:i/>
          <w:iCs/>
          <w:sz w:val="21"/>
          <w:szCs w:val="21"/>
          <w:lang w:eastAsia="zh-CN"/>
        </w:rPr>
        <w:t>C</w:t>
      </w:r>
      <w:r>
        <w:rPr>
          <w:rFonts w:ascii="Times New Roman" w:hAnsi="Times New Roman" w:eastAsia="宋体" w:cs="Times New Roman"/>
          <w:sz w:val="21"/>
          <w:szCs w:val="21"/>
          <w:lang w:eastAsia="zh-CN"/>
        </w:rPr>
        <w:t>′</w:t>
      </w:r>
      <w:r>
        <w:rPr>
          <w:rFonts w:ascii="Times New Roman" w:hAnsi="Times New Roman" w:eastAsia="宋体" w:cs="Times New Roman"/>
          <w:sz w:val="21"/>
          <w:szCs w:val="21"/>
          <w:vertAlign w:val="subscript"/>
          <w:lang w:eastAsia="zh-CN"/>
        </w:rPr>
        <w:t>d,u</w:t>
      </w:r>
      <w:r>
        <w:rPr>
          <w:rFonts w:hint="eastAsia" w:ascii="Times New Roman" w:hAnsi="Times New Roman" w:eastAsia="宋体" w:cs="Times New Roman"/>
          <w:sz w:val="21"/>
          <w:szCs w:val="21"/>
          <w:lang w:eastAsia="zh-CN"/>
        </w:rPr>
        <w:t xml:space="preserve"> = 60。式(7)适用于同一周期内的横向比较，跨年度比较以上线首年分布为固定基准；归一化得分直接对应雷达图半径。</w:t>
      </w:r>
    </w:p>
    <w:p w14:paraId="71FAE643">
      <w:pPr>
        <w:keepNext/>
        <w:keepLines/>
        <w:spacing w:before="46" w:beforeLines="15" w:after="15" w:afterLines="5"/>
        <w:jc w:val="center"/>
        <w:rPr>
          <w:rFonts w:hint="eastAsia"/>
        </w:rPr>
      </w:pPr>
      <w:r>
        <w:rPr>
          <w:rFonts w:ascii="Times New Roman" w:hAnsi="Times New Roman" w:eastAsia="宋体" w:cs="Times New Roman"/>
          <w:sz w:val="21"/>
          <w:szCs w:val="21"/>
        </w:rPr>
        <w:drawing>
          <wp:inline distT="0" distB="0" distL="0" distR="0">
            <wp:extent cx="2834640" cy="2834640"/>
            <wp:effectExtent l="0" t="0" r="0" b="0"/>
            <wp:docPr id="5" name="fig3"/>
            <wp:cNvGraphicFramePr>
              <a:graphicFrameLocks noChangeAspect="1"/>
            </wp:cNvGraphicFramePr>
            <a:graphic>
              <a:graphicData uri="http://schemas.openxmlformats.org/drawingml/2006/picture">
                <pic:pic>
                  <pic:nvPicPr>
                    <pic:cNvPr id="5" name="fig3"/>
                    <pic:cNvPicPr>
                      <a:picLocks noChangeAspect="1"/>
                    </pic:cNvPicPr>
                  </pic:nvPicPr>
                  <pic:blipFill>
                    <a:blip r:embed="rId7"/>
                    <a:stretch>
                      <a:fillRect/>
                    </a:stretch>
                  </pic:blipFill>
                  <pic:spPr>
                    <a:xfrm>
                      <a:off x="0" y="0"/>
                      <a:ext cx="2834640" cy="2834640"/>
                    </a:xfrm>
                    <a:prstGeom prst="rect">
                      <a:avLst/>
                    </a:prstGeom>
                  </pic:spPr>
                </pic:pic>
              </a:graphicData>
            </a:graphic>
          </wp:inline>
        </w:drawing>
      </w:r>
    </w:p>
    <w:p w14:paraId="416093E6">
      <w:pPr>
        <w:keepNext/>
        <w:keepLines/>
        <w:spacing w:before="31" w:beforeLines="10" w:after="93" w:afterLines="30"/>
        <w:jc w:val="center"/>
        <w:rPr>
          <w:rFonts w:hint="eastAsia"/>
          <w:lang w:eastAsia="zh-CN"/>
        </w:rPr>
      </w:pPr>
      <w:r>
        <w:rPr>
          <w:rFonts w:hint="eastAsia" w:ascii="Times New Roman" w:hAnsi="Times New Roman" w:eastAsia="宋体" w:cs="Times New Roman"/>
          <w:sz w:val="18"/>
          <w:szCs w:val="18"/>
          <w:lang w:eastAsia="zh-CN"/>
        </w:rPr>
        <w:t>图2  人才画像能力雷达图</w:t>
      </w:r>
    </w:p>
    <w:p w14:paraId="3116A643">
      <w:pPr>
        <w:keepNext/>
        <w:keepLines/>
        <w:spacing w:before="93" w:beforeLines="30" w:after="62" w:afterLines="20" w:line="360" w:lineRule="auto"/>
        <w:outlineLvl w:val="1"/>
        <w:rPr>
          <w:rFonts w:hint="eastAsia"/>
          <w:lang w:eastAsia="zh-CN"/>
        </w:rPr>
      </w:pPr>
      <w:r>
        <w:rPr>
          <w:rFonts w:hint="eastAsia" w:ascii="Times New Roman" w:hAnsi="Times New Roman" w:eastAsia="宋体" w:cs="Times New Roman"/>
          <w:b/>
          <w:sz w:val="21"/>
          <w:szCs w:val="21"/>
          <w:lang w:eastAsia="zh-CN"/>
        </w:rPr>
        <w:t>3.5  轻量级状态机工作流引擎</w:t>
      </w:r>
    </w:p>
    <w:p w14:paraId="4CF52BA9">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针对疾控中心审核流程相对固定但存在微调需求的特点，本文实现了无第三方框架依赖的状态机工作流引擎。已有轻量级工作流引擎方案[19-20]多聚焦流程定义与实例流转；本文进一步引入状态机驱动与配置化审批，相比基于 BPMN 2.0 的全流程引擎或依赖 Drools 等规则引擎的重型方案，本引擎仅保留流程定义、实例管理与状态流转三类职责。引擎定义草稿、待初审、初审驳回、待复核、复核驳回、待终审、终审驳回与终审通过 8 种状态及 7 种转换事件：草稿提交后依次经初审、复核进入待终审，任一环节驳回则回退至对应驳回态。各状态的处理人、处理时限与下一状态由 workflow_config 表配置；事件触发时引擎依次校验权限、更新状态、记录日志并通知下一处理人，终审通过时触发积分计算。管理员修改配置即可调整审核环节，无需重启系统。</w:t>
      </w:r>
    </w:p>
    <w:p w14:paraId="7498CBA2">
      <w:pPr>
        <w:keepNext/>
        <w:keepLines/>
        <w:spacing w:before="93" w:beforeLines="30" w:after="62" w:afterLines="20" w:line="360" w:lineRule="auto"/>
        <w:outlineLvl w:val="1"/>
        <w:rPr>
          <w:rFonts w:hint="eastAsia"/>
          <w:lang w:eastAsia="zh-CN"/>
        </w:rPr>
      </w:pPr>
      <w:r>
        <w:rPr>
          <w:rFonts w:hint="eastAsia" w:ascii="Times New Roman" w:hAnsi="Times New Roman" w:eastAsia="宋体" w:cs="Times New Roman"/>
          <w:b/>
          <w:sz w:val="21"/>
          <w:szCs w:val="21"/>
          <w:lang w:eastAsia="zh-CN"/>
        </w:rPr>
        <w:t>3.6  性能优化与安全设计</w:t>
      </w:r>
    </w:p>
    <w:p w14:paraId="24C8EC81">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系统引入 Redis 缓存应对高频积分查询，采用 Cache-Aside 模式并以空值缓存与分布式锁分别防止缓存穿透与击穿，热点键的识别与热度合并参考了缓存热点研究的通用做法[21]，实测缓存命中率在 50–500 并发下保持在 92.5% 以上（表2）。数据库层面按查询模式为核心访问路径建立联合索引，并调整了 InnoDB 的缓冲池与刷盘参数。安全方面整合 Spring Security 与 JWT 实现无状态认证[22]；涉及的学历、职称与成果数据按《中华人民共和国个人信息保护法》实施最小必要采集与分级授权访问，敏感字段脱敏并留存审计日志。</w:t>
      </w:r>
    </w:p>
    <w:p w14:paraId="4B25E502">
      <w:pPr>
        <w:keepNext/>
        <w:keepLines/>
        <w:spacing w:before="156" w:beforeLines="50" w:after="93" w:afterLines="30" w:line="360" w:lineRule="auto"/>
        <w:outlineLvl w:val="0"/>
        <w:rPr>
          <w:rFonts w:hint="eastAsia"/>
          <w:lang w:eastAsia="zh-CN"/>
        </w:rPr>
      </w:pPr>
      <w:bookmarkStart w:id="0" w:name="OLE_LINK15"/>
      <w:r>
        <w:rPr>
          <w:rFonts w:hint="eastAsia" w:ascii="Times New Roman" w:hAnsi="Times New Roman" w:eastAsia="宋体" w:cs="Times New Roman"/>
          <w:b/>
          <w:sz w:val="28"/>
          <w:szCs w:val="24"/>
          <w:lang w:eastAsia="zh-CN"/>
        </w:rPr>
        <w:t>4  系统测试与应用效果</w:t>
      </w:r>
    </w:p>
    <w:p w14:paraId="07CF56E5">
      <w:pPr>
        <w:spacing w:after="0" w:line="300" w:lineRule="exact"/>
        <w:ind w:firstLine="420" w:firstLineChars="200"/>
        <w:jc w:val="both"/>
        <w:rPr>
          <w:rFonts w:hint="eastAsia"/>
          <w:lang w:eastAsia="zh-CN"/>
        </w:rPr>
      </w:pPr>
      <w:bookmarkStart w:id="1" w:name="OLE_LINK14"/>
      <w:bookmarkEnd w:id="1"/>
      <w:r>
        <w:rPr>
          <w:rFonts w:hint="eastAsia" w:ascii="Times New Roman" w:hAnsi="Times New Roman" w:eastAsia="宋体" w:cs="Times New Roman"/>
          <w:sz w:val="21"/>
          <w:szCs w:val="21"/>
          <w:lang w:eastAsia="zh-CN"/>
        </w:rPr>
        <w:t xml:space="preserve">测试环境为 4 核 CPU / 32 GB 内存、Ubuntu 24.04 LTS、OpenJDK 21、MySQL 8.0 与 Redis 7.2，压力测试工具为 Apache JMeter。按五大模块设计的功能测试用例覆盖正常流程、边界条件与异常输入，积分管理、人才画像、统计分析、申报审核与系统管理五个模块的用例数分别为 68、56、47、52 与 37，缺陷修复后的回归测试中 260 个用例全部通过；并发梯度参考开源 Web 项目性能测试的实践设置[23]，核心接口性能与缓存命中率如表2所示。</w:t>
      </w:r>
    </w:p>
    <w:p w14:paraId="5F2B74F2">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 xml:space="preserve">表2  核心接口性能测试结果</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1600"/>
        <w:gridCol w:w="1800"/>
        <w:gridCol w:w="1700"/>
        <w:gridCol w:w="1400"/>
        <w:gridCol w:w="1806"/>
      </w:tblGrid>
      <w:tr w14:paraId="734C8A2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1600" w:type="dxa"/>
            <w:tcBorders>
              <w:top w:val="single" w:color="auto" w:sz="12" w:space="0"/>
              <w:left w:val="nil"/>
              <w:right w:val="nil"/>
              <w:bottom w:val="single" w:sz="4" w:color="000000" w:space="0"/>
            </w:tcBorders>
            <w:vAlign w:val="center"/>
          </w:tcPr>
          <w:p w14:paraId="21325EC1">
            <w:pPr>
              <w:spacing w:before="20" w:after="20" w:line="240" w:lineRule="auto"/>
              <w:jc w:val="center"/>
              <w:rPr>
                <w:rFonts w:hint="eastAsia"/>
              </w:rPr>
            </w:pPr>
            <w:r>
              <w:rPr>
                <w:rFonts w:hint="eastAsia" w:ascii="Times New Roman" w:hAnsi="Times New Roman" w:eastAsia="宋体" w:cs="Times New Roman"/>
                <w:b/>
                <w:bCs/>
                <w:sz w:val="18"/>
                <w:szCs w:val="18"/>
              </w:rPr>
              <w:t>并发用户数</w:t>
            </w:r>
          </w:p>
        </w:tc>
        <w:tc>
          <w:tcPr>
            <w:tcW w:w="1800" w:type="dxa"/>
            <w:tcBorders>
              <w:top w:val="single" w:color="auto" w:sz="12" w:space="0"/>
              <w:left w:val="nil"/>
              <w:right w:val="nil"/>
              <w:bottom w:val="single" w:sz="4" w:color="000000" w:space="0"/>
            </w:tcBorders>
            <w:vAlign w:val="center"/>
          </w:tcPr>
          <w:p w14:paraId="2469C8BD">
            <w:pPr>
              <w:spacing w:before="20" w:after="20" w:line="240" w:lineRule="auto"/>
              <w:jc w:val="center"/>
              <w:rPr>
                <w:rFonts w:hint="eastAsia"/>
              </w:rPr>
            </w:pPr>
            <w:r>
              <w:rPr>
                <w:rFonts w:hint="eastAsia" w:ascii="Times New Roman" w:hAnsi="Times New Roman" w:eastAsia="宋体" w:cs="Times New Roman"/>
                <w:b/>
                <w:bCs/>
                <w:sz w:val="18"/>
                <w:szCs w:val="18"/>
              </w:rPr>
              <w:t>平均响应 / ms</w:t>
            </w:r>
          </w:p>
        </w:tc>
        <w:tc>
          <w:tcPr>
            <w:tcW w:w="1700" w:type="dxa"/>
            <w:tcBorders>
              <w:top w:val="single" w:color="auto" w:sz="12" w:space="0"/>
              <w:left w:val="nil"/>
              <w:right w:val="nil"/>
              <w:bottom w:val="single" w:sz="4" w:color="000000" w:space="0"/>
            </w:tcBorders>
            <w:vAlign w:val="center"/>
          </w:tcPr>
          <w:p w14:paraId="0946BE19">
            <w:pPr>
              <w:spacing w:before="20" w:after="20" w:line="240" w:lineRule="auto"/>
              <w:jc w:val="center"/>
              <w:rPr>
                <w:rFonts w:hint="eastAsia"/>
              </w:rPr>
            </w:pPr>
            <w:r>
              <w:rPr>
                <w:rFonts w:hint="eastAsia" w:ascii="Times New Roman" w:hAnsi="Times New Roman" w:eastAsia="宋体" w:cs="Times New Roman"/>
                <w:b/>
                <w:bCs/>
                <w:sz w:val="18"/>
                <w:szCs w:val="18"/>
              </w:rPr>
              <w:t>95% 响应 / ms</w:t>
            </w:r>
          </w:p>
        </w:tc>
        <w:tc>
          <w:tcPr>
            <w:tcW w:w="1400" w:type="dxa"/>
            <w:tcBorders>
              <w:top w:val="single" w:color="auto" w:sz="12" w:space="0"/>
              <w:left w:val="nil"/>
              <w:right w:val="nil"/>
              <w:bottom w:val="single" w:sz="4" w:color="000000" w:space="0"/>
            </w:tcBorders>
            <w:vAlign w:val="center"/>
          </w:tcPr>
          <w:p w14:paraId="28963811">
            <w:pPr>
              <w:spacing w:before="20" w:after="20" w:line="240" w:lineRule="auto"/>
              <w:jc w:val="center"/>
              <w:rPr>
                <w:rFonts w:hint="eastAsia"/>
              </w:rPr>
            </w:pPr>
            <w:r>
              <w:rPr>
                <w:rFonts w:hint="eastAsia" w:ascii="Times New Roman" w:hAnsi="Times New Roman" w:eastAsia="宋体" w:cs="Times New Roman"/>
                <w:b/>
                <w:bCs/>
                <w:sz w:val="18"/>
                <w:szCs w:val="18"/>
              </w:rPr>
              <w:t>错误率 / %</w:t>
            </w:r>
          </w:p>
        </w:tc>
        <w:tc>
          <w:tcPr>
            <w:tcW w:w="1806" w:type="dxa"/>
            <w:tcBorders>
              <w:top w:val="single" w:color="auto" w:sz="12" w:space="0"/>
              <w:left w:val="nil"/>
              <w:right w:val="nil"/>
              <w:bottom w:val="single" w:sz="4" w:color="000000" w:space="0"/>
            </w:tcBorders>
            <w:vAlign w:val="center"/>
          </w:tcPr>
          <w:p w14:paraId="25F1B5A0">
            <w:pPr>
              <w:spacing w:before="20" w:after="20" w:line="240" w:lineRule="auto"/>
              <w:jc w:val="center"/>
              <w:rPr>
                <w:rFonts w:hint="eastAsia"/>
                <w:lang w:eastAsia="zh-CN"/>
              </w:rPr>
            </w:pPr>
            <w:r>
              <w:rPr>
                <w:rFonts w:hint="eastAsia" w:ascii="Times New Roman" w:hAnsi="Times New Roman" w:eastAsia="宋体" w:cs="Times New Roman"/>
                <w:b/>
                <w:bCs/>
                <w:sz w:val="18"/>
                <w:szCs w:val="18"/>
                <w:lang w:eastAsia="zh-CN"/>
              </w:rPr>
              <w:t>缓存命中率 / %</w:t>
            </w:r>
          </w:p>
        </w:tc>
      </w:tr>
      <w:tr w14:paraId="7FDDDA2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1600" w:type="dxa"/>
            <w:tcBorders>
              <w:top w:val="nil"/>
              <w:left w:val="nil"/>
              <w:bottom w:val="nil"/>
              <w:right w:val="nil"/>
            </w:tcBorders>
            <w:vAlign w:val="center"/>
          </w:tcPr>
          <w:p w14:paraId="34195E43">
            <w:pPr>
              <w:spacing w:before="20" w:after="20" w:line="240" w:lineRule="auto"/>
              <w:jc w:val="center"/>
              <w:rPr>
                <w:rFonts w:hint="eastAsia"/>
              </w:rPr>
            </w:pPr>
            <w:r>
              <w:rPr>
                <w:rFonts w:ascii="Times New Roman" w:hAnsi="Times New Roman" w:eastAsia="宋体" w:cs="Times New Roman"/>
                <w:sz w:val="18"/>
                <w:szCs w:val="18"/>
              </w:rPr>
              <w:t>50</w:t>
            </w:r>
          </w:p>
        </w:tc>
        <w:tc>
          <w:tcPr>
            <w:tcW w:w="18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86</w:t>
            </w:r>
          </w:p>
        </w:tc>
        <w:tc>
          <w:tcPr>
            <w:tcW w:w="17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142</w:t>
            </w:r>
          </w:p>
        </w:tc>
        <w:tc>
          <w:tcPr>
            <w:tcW w:w="14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0</w:t>
            </w:r>
          </w:p>
        </w:tc>
        <w:tc>
          <w:tcPr>
            <w:tcW w:w="18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96.8</w:t>
            </w:r>
          </w:p>
        </w:tc>
      </w:tr>
      <w:tr w14:paraId="270CFF1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1600" w:type="dxa"/>
            <w:tcBorders>
              <w:top w:val="nil"/>
              <w:left w:val="nil"/>
              <w:bottom w:val="nil"/>
              <w:right w:val="nil"/>
            </w:tcBorders>
            <w:vAlign w:val="center"/>
          </w:tcPr>
          <w:p w14:paraId="1EFD0763">
            <w:pPr>
              <w:spacing w:before="20" w:after="20" w:line="240" w:lineRule="auto"/>
              <w:jc w:val="center"/>
              <w:rPr>
                <w:rFonts w:hint="eastAsia"/>
              </w:rPr>
            </w:pPr>
            <w:r>
              <w:rPr>
                <w:rFonts w:ascii="Times New Roman" w:hAnsi="Times New Roman" w:eastAsia="宋体" w:cs="Times New Roman"/>
                <w:sz w:val="18"/>
                <w:szCs w:val="18"/>
              </w:rPr>
              <w:t>100</w:t>
            </w:r>
          </w:p>
        </w:tc>
        <w:tc>
          <w:tcPr>
            <w:tcW w:w="1800" w:type="dxa"/>
            <w:tcBorders>
              <w:top w:val="nil"/>
              <w:left w:val="nil"/>
              <w:bottom w:val="nil"/>
              <w:right w:val="nil"/>
            </w:tcBorders>
            <w:vAlign w:val="center"/>
          </w:tcPr>
          <w:p w14:paraId="6C1115C9">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128</w:t>
            </w:r>
          </w:p>
        </w:tc>
        <w:tc>
          <w:tcPr>
            <w:tcW w:w="1700" w:type="dxa"/>
            <w:tcBorders>
              <w:top w:val="nil"/>
              <w:left w:val="nil"/>
              <w:bottom w:val="nil"/>
              <w:right w:val="nil"/>
            </w:tcBorders>
            <w:vAlign w:val="center"/>
          </w:tcPr>
          <w:p w14:paraId="667DC265">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215</w:t>
            </w:r>
          </w:p>
        </w:tc>
        <w:tc>
          <w:tcPr>
            <w:tcW w:w="1400" w:type="dxa"/>
            <w:tcBorders>
              <w:top w:val="nil"/>
              <w:left w:val="nil"/>
              <w:bottom w:val="nil"/>
              <w:right w:val="nil"/>
            </w:tcBorders>
            <w:vAlign w:val="center"/>
          </w:tcPr>
          <w:p w14:paraId="2AFB8D75">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0.1</w:t>
            </w:r>
          </w:p>
        </w:tc>
        <w:tc>
          <w:tcPr>
            <w:tcW w:w="1806" w:type="dxa"/>
            <w:tcBorders>
              <w:top w:val="nil"/>
              <w:left w:val="nil"/>
              <w:bottom w:val="nil"/>
              <w:right w:val="nil"/>
            </w:tcBorders>
            <w:vAlign w:val="center"/>
          </w:tcPr>
          <w:p w14:paraId="0F6E9A99">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95.6</w:t>
            </w:r>
          </w:p>
        </w:tc>
      </w:tr>
      <w:tr w14:paraId="6B656C1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1600" w:type="dxa"/>
            <w:tcBorders>
              <w:top w:val="nil"/>
              <w:left w:val="nil"/>
              <w:bottom w:val="nil"/>
              <w:right w:val="nil"/>
            </w:tcBorders>
            <w:vAlign w:val="center"/>
          </w:tcPr>
          <w:p w14:paraId="6DFD9635">
            <w:pPr>
              <w:spacing w:before="20" w:after="20" w:line="240" w:lineRule="auto"/>
              <w:jc w:val="center"/>
              <w:rPr>
                <w:rFonts w:hint="eastAsia"/>
              </w:rPr>
            </w:pPr>
            <w:r>
              <w:rPr>
                <w:rFonts w:ascii="Times New Roman" w:hAnsi="Times New Roman" w:eastAsia="宋体" w:cs="Times New Roman"/>
                <w:sz w:val="18"/>
                <w:szCs w:val="18"/>
              </w:rPr>
              <w:t>200</w:t>
            </w:r>
          </w:p>
        </w:tc>
        <w:tc>
          <w:tcPr>
            <w:tcW w:w="1800" w:type="dxa"/>
            <w:tcBorders>
              <w:top w:val="nil"/>
              <w:left w:val="nil"/>
              <w:bottom w:val="nil"/>
              <w:right w:val="nil"/>
            </w:tcBorders>
            <w:vAlign w:val="center"/>
          </w:tcPr>
          <w:p w14:paraId="34786082">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216</w:t>
            </w:r>
          </w:p>
        </w:tc>
        <w:tc>
          <w:tcPr>
            <w:tcW w:w="1700" w:type="dxa"/>
            <w:tcBorders>
              <w:top w:val="nil"/>
              <w:left w:val="nil"/>
              <w:bottom w:val="nil"/>
              <w:right w:val="nil"/>
            </w:tcBorders>
            <w:vAlign w:val="center"/>
          </w:tcPr>
          <w:p w14:paraId="091B3704">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368</w:t>
            </w:r>
          </w:p>
        </w:tc>
        <w:tc>
          <w:tcPr>
            <w:tcW w:w="1400" w:type="dxa"/>
            <w:tcBorders>
              <w:top w:val="nil"/>
              <w:left w:val="nil"/>
              <w:bottom w:val="nil"/>
              <w:right w:val="nil"/>
            </w:tcBorders>
            <w:vAlign w:val="center"/>
          </w:tcPr>
          <w:p w14:paraId="32348561">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0.4</w:t>
            </w:r>
          </w:p>
        </w:tc>
        <w:tc>
          <w:tcPr>
            <w:tcW w:w="1806" w:type="dxa"/>
            <w:tcBorders>
              <w:top w:val="nil"/>
              <w:left w:val="nil"/>
              <w:bottom w:val="nil"/>
              <w:right w:val="nil"/>
            </w:tcBorders>
            <w:vAlign w:val="center"/>
          </w:tcPr>
          <w:p w14:paraId="23EDB24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94.2</w:t>
            </w:r>
          </w:p>
        </w:tc>
      </w:tr>
      <w:tr w14:paraId="4977C54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1600" w:type="dxa"/>
            <w:tcBorders>
              <w:top w:val="nil"/>
              <w:left w:val="nil"/>
              <w:bottom w:val="single" w:color="auto" w:sz="12" w:space="0"/>
              <w:right w:val="nil"/>
            </w:tcBorders>
            <w:vAlign w:val="center"/>
          </w:tcPr>
          <w:p w14:paraId="71BBC733">
            <w:pPr>
              <w:spacing w:before="20" w:after="20" w:line="240" w:lineRule="auto"/>
              <w:jc w:val="center"/>
              <w:rPr>
                <w:rFonts w:hint="eastAsia"/>
              </w:rPr>
            </w:pPr>
            <w:r>
              <w:rPr>
                <w:rFonts w:ascii="Times New Roman" w:hAnsi="Times New Roman" w:eastAsia="宋体" w:cs="Times New Roman"/>
                <w:sz w:val="18"/>
                <w:szCs w:val="18"/>
              </w:rPr>
              <w:t>500</w:t>
            </w:r>
          </w:p>
        </w:tc>
        <w:tc>
          <w:tcPr>
            <w:tcW w:w="1800" w:type="dxa"/>
            <w:tcBorders>
              <w:top w:val="nil"/>
              <w:left w:val="nil"/>
              <w:bottom w:val="single" w:color="auto" w:sz="12" w:space="0"/>
              <w:right w:val="nil"/>
            </w:tcBorders>
            <w:vAlign w:val="center"/>
          </w:tcPr>
          <w:p w14:paraId="4BD5DB3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452</w:t>
            </w:r>
          </w:p>
        </w:tc>
        <w:tc>
          <w:tcPr>
            <w:tcW w:w="1700" w:type="dxa"/>
            <w:tcBorders>
              <w:top w:val="nil"/>
              <w:left w:val="nil"/>
              <w:bottom w:val="single" w:color="auto" w:sz="12" w:space="0"/>
              <w:right w:val="nil"/>
            </w:tcBorders>
            <w:vAlign w:val="center"/>
          </w:tcPr>
          <w:p w14:paraId="66470E1D">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786</w:t>
            </w:r>
          </w:p>
        </w:tc>
        <w:tc>
          <w:tcPr>
            <w:tcW w:w="1400" w:type="dxa"/>
            <w:tcBorders>
              <w:top w:val="nil"/>
              <w:left w:val="nil"/>
              <w:bottom w:val="single" w:color="auto" w:sz="12" w:space="0"/>
              <w:right w:val="nil"/>
            </w:tcBorders>
            <w:vAlign w:val="center"/>
          </w:tcPr>
          <w:p w14:paraId="365E949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1.2</w:t>
            </w:r>
          </w:p>
        </w:tc>
        <w:tc>
          <w:tcPr>
            <w:tcW w:w="1806" w:type="dxa"/>
            <w:tcBorders>
              <w:top w:val="nil"/>
              <w:left w:val="nil"/>
              <w:bottom w:val="single" w:color="auto" w:sz="12" w:space="0"/>
              <w:right w:val="nil"/>
            </w:tcBorders>
            <w:vAlign w:val="center"/>
          </w:tcPr>
          <w:p w14:paraId="6577107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92.5</w:t>
            </w:r>
          </w:p>
        </w:tc>
      </w:tr>
    </w:tbl>
    <w:p w14:paraId="02D6FA19">
      <w:pPr>
        <w:spacing w:before="18" w:beforeLines="6" w:after="0" w:line="300" w:lineRule="exact"/>
        <w:ind w:firstLine="420" w:firstLineChars="200"/>
        <w:jc w:val="both"/>
        <w:rPr>
          <w:rFonts w:hint="eastAsia"/>
          <w:lang w:eastAsia="zh-CN"/>
        </w:rPr>
      </w:pPr>
      <w:bookmarkStart w:id="2" w:name="OLE_LINK16"/>
      <w:r>
        <w:rPr>
          <w:rFonts w:hint="eastAsia" w:ascii="Times New Roman" w:hAnsi="Times New Roman" w:eastAsia="宋体" w:cs="Times New Roman"/>
          <w:sz w:val="21"/>
          <w:szCs w:val="21"/>
          <w:lang w:eastAsia="zh-CN"/>
        </w:rPr>
        <w:t xml:space="preserve">本中心 270 名科研人员中，有 80 人在 2024—2025 年提交了成果佐证材料，共 900 份，涉及论文、课题、专利、奖励等 11 类成果。统计显示，人均涉及 3.15 类，涉及 3 类以上者占 50.0%，仅 22.5% 集中于单一类别。发表论文与项目课题的人员覆盖率分别为 78.8% 与 75.0%，其余各类均低于 40%。可见科研产出结构在人员间差异显著，单一维度的排序难以刻画，这是采用多维画像的现实依据。</w:t>
      </w:r>
    </w:p>
    <w:p w14:paraId="02D6FA19">
      <w:pPr>
        <w:spacing w:before="18" w:beforeLines="6" w:after="0" w:line="300" w:lineRule="exact"/>
        <w:ind w:firstLine="420" w:firstLineChars="200"/>
        <w:jc w:val="both"/>
        <w:rPr>
          <w:rFonts w:hint="eastAsia"/>
          <w:lang w:eastAsia="zh-CN"/>
        </w:rPr>
      </w:pPr>
      <w:bookmarkStart w:id="2" w:name="OLE_LINK16"/>
      <w:r>
        <w:rPr>
          <w:rFonts w:hint="eastAsia" w:ascii="Times New Roman" w:hAnsi="Times New Roman" w:eastAsia="宋体" w:cs="Times New Roman"/>
          <w:sz w:val="21"/>
          <w:szCs w:val="21"/>
          <w:lang w:eastAsia="zh-CN"/>
        </w:rPr>
        <w:t xml:space="preserve">为评价标签准确性，从 270 名科研人员中随机抽取 90 名，由 3 名专家依据其近三年科研档案独立标注，以三人一致的结果为金标准与系统输出比对；专家意见不一致的样本（约 3–5 例）经协商讨论确定最终标注，并全部纳入统计。系统共生成 32 个动态能力标签，准确率 88.0%、召回率 84.1%、</w:t>
      </w:r>
      <w:r>
        <w:rPr>
          <w:rFonts w:hint="eastAsia" w:ascii="Times New Roman" w:hAnsi="Times New Roman" w:eastAsia="宋体" w:cs="Times New Roman"/>
          <w:i/>
          <w:sz w:val="21"/>
          <w:szCs w:val="21"/>
          <w:lang w:eastAsia="zh-CN"/>
        </w:rPr>
        <w:t xml:space="preserve">F</w:t>
      </w:r>
      <w:r>
        <w:rPr>
          <w:rFonts w:hint="eastAsia" w:ascii="Times New Roman" w:hAnsi="Times New Roman" w:eastAsia="宋体" w:cs="Times New Roman"/>
          <w:sz w:val="21"/>
          <w:szCs w:val="21"/>
          <w:lang w:eastAsia="zh-CN"/>
        </w:rPr>
        <w:t xml:space="preserve">1 值 0.86，专家标注两两平均 Cohen’s Kappa 系数 0.81。上线前后各 3 个月的应用效果对比如表3所示。</w:t>
      </w:r>
    </w:p>
    <w:bookmarkEnd w:id="2"/>
    <w:p w14:paraId="0C4537F9">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 xml:space="preserve">表3  系统上线前后应用效果对比</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2046"/>
        <w:gridCol w:w="1540"/>
        <w:gridCol w:w="1740"/>
        <w:gridCol w:w="1540"/>
        <w:gridCol w:w="1440"/>
      </w:tblGrid>
      <w:tr w14:paraId="1E405DA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2046" w:type="dxa"/>
            <w:tcBorders>
              <w:top w:val="single" w:color="auto" w:sz="12" w:space="0"/>
              <w:left w:val="nil"/>
              <w:right w:val="nil"/>
              <w:bottom w:val="single" w:sz="4" w:color="000000" w:space="0"/>
            </w:tcBorders>
            <w:vAlign w:val="center"/>
          </w:tcPr>
          <w:p w14:paraId="56810959">
            <w:pPr>
              <w:spacing w:before="20" w:after="20" w:line="240" w:lineRule="auto"/>
              <w:jc w:val="center"/>
              <w:rPr>
                <w:rFonts w:hint="eastAsia"/>
              </w:rPr>
            </w:pPr>
            <w:r>
              <w:rPr>
                <w:rFonts w:hint="eastAsia" w:ascii="Times New Roman" w:hAnsi="Times New Roman" w:eastAsia="宋体" w:cs="Times New Roman"/>
                <w:b/>
                <w:bCs/>
                <w:sz w:val="18"/>
                <w:szCs w:val="18"/>
              </w:rPr>
              <w:t>指标</w:t>
            </w:r>
          </w:p>
        </w:tc>
        <w:tc>
          <w:tcPr>
            <w:tcW w:w="1540" w:type="dxa"/>
            <w:tcBorders>
              <w:top w:val="single" w:color="auto" w:sz="12" w:space="0"/>
              <w:left w:val="nil"/>
              <w:right w:val="nil"/>
              <w:bottom w:val="single" w:sz="4" w:color="000000" w:space="0"/>
            </w:tcBorders>
            <w:vAlign w:val="center"/>
          </w:tcPr>
          <w:p w14:paraId="2F508D84">
            <w:pPr>
              <w:spacing w:before="20" w:after="20" w:line="240" w:lineRule="auto"/>
              <w:jc w:val="center"/>
              <w:rPr>
                <w:rFonts w:hint="eastAsia"/>
              </w:rPr>
            </w:pPr>
            <w:r>
              <w:rPr>
                <w:rFonts w:hint="eastAsia" w:ascii="Times New Roman" w:hAnsi="Times New Roman" w:eastAsia="宋体" w:cs="Times New Roman"/>
                <w:b/>
                <w:bCs/>
                <w:sz w:val="18"/>
                <w:szCs w:val="18"/>
              </w:rPr>
              <w:t>申报单量 / 件</w:t>
            </w:r>
          </w:p>
        </w:tc>
        <w:tc>
          <w:tcPr>
            <w:tcW w:w="1740" w:type="dxa"/>
            <w:tcBorders>
              <w:top w:val="single" w:color="auto" w:sz="12" w:space="0"/>
              <w:left w:val="nil"/>
              <w:right w:val="nil"/>
              <w:bottom w:val="single" w:sz="4" w:color="000000" w:space="0"/>
            </w:tcBorders>
            <w:vAlign w:val="center"/>
          </w:tcPr>
          <w:p w14:paraId="4051C49D">
            <w:pPr>
              <w:spacing w:before="20" w:after="20" w:line="240" w:lineRule="auto"/>
              <w:jc w:val="center"/>
              <w:rPr>
                <w:rFonts w:hint="eastAsia"/>
              </w:rPr>
            </w:pPr>
            <w:r>
              <w:rPr>
                <w:rFonts w:hint="eastAsia" w:ascii="Times New Roman" w:hAnsi="Times New Roman" w:eastAsia="宋体" w:cs="Times New Roman"/>
                <w:b/>
                <w:bCs/>
                <w:sz w:val="18"/>
                <w:szCs w:val="18"/>
              </w:rPr>
              <w:t>平均审核周期 / d</w:t>
            </w:r>
          </w:p>
        </w:tc>
        <w:tc>
          <w:tcPr>
            <w:tcW w:w="1540" w:type="dxa"/>
            <w:tcBorders>
              <w:top w:val="single" w:color="auto" w:sz="12" w:space="0"/>
              <w:left w:val="nil"/>
              <w:right w:val="nil"/>
              <w:bottom w:val="single" w:sz="4" w:color="000000" w:space="0"/>
            </w:tcBorders>
            <w:vAlign w:val="center"/>
          </w:tcPr>
          <w:p w14:paraId="1BF095B3">
            <w:pPr>
              <w:spacing w:before="20" w:after="20" w:line="240" w:lineRule="auto"/>
              <w:jc w:val="center"/>
              <w:rPr>
                <w:rFonts w:hint="eastAsia"/>
              </w:rPr>
            </w:pPr>
            <w:r>
              <w:rPr>
                <w:rFonts w:hint="eastAsia" w:ascii="Times New Roman" w:hAnsi="Times New Roman" w:eastAsia="宋体" w:cs="Times New Roman"/>
                <w:b/>
                <w:bCs/>
                <w:sz w:val="18"/>
                <w:szCs w:val="18"/>
              </w:rPr>
              <w:t>超时未办结 / 件</w:t>
            </w:r>
          </w:p>
        </w:tc>
        <w:tc>
          <w:tcPr>
            <w:tcW w:w="1440" w:type="dxa"/>
            <w:tcBorders>
              <w:top w:val="single" w:color="auto" w:sz="12" w:space="0"/>
              <w:left w:val="nil"/>
              <w:right w:val="nil"/>
              <w:bottom w:val="single" w:sz="4" w:color="000000" w:space="0"/>
            </w:tcBorders>
            <w:vAlign w:val="center"/>
          </w:tcPr>
          <w:p w14:paraId="77ABC59F">
            <w:pPr>
              <w:spacing w:before="20" w:after="20" w:line="240" w:lineRule="auto"/>
              <w:jc w:val="center"/>
              <w:rPr>
                <w:rFonts w:hint="eastAsia"/>
              </w:rPr>
            </w:pPr>
            <w:r>
              <w:rPr>
                <w:rFonts w:hint="eastAsia" w:ascii="Times New Roman" w:hAnsi="Times New Roman" w:eastAsia="宋体" w:cs="Times New Roman"/>
                <w:b/>
                <w:bCs/>
                <w:sz w:val="18"/>
                <w:szCs w:val="18"/>
              </w:rPr>
              <w:t>核算差错率 / %</w:t>
            </w:r>
          </w:p>
        </w:tc>
      </w:tr>
      <w:tr w14:paraId="2DFEDD6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46" w:type="dxa"/>
            <w:tcBorders>
              <w:top w:val="nil"/>
              <w:left w:val="nil"/>
              <w:bottom w:val="nil"/>
              <w:right w:val="nil"/>
            </w:tcBorders>
            <w:vAlign w:val="center"/>
          </w:tcPr>
          <w:p w14:paraId="108D3AA3">
            <w:pPr>
              <w:spacing w:before="20" w:after="20" w:line="240" w:lineRule="auto"/>
              <w:jc w:val="center"/>
              <w:rPr>
                <w:rFonts w:hint="eastAsia"/>
              </w:rPr>
            </w:pPr>
            <w:r>
              <w:rPr>
                <w:rFonts w:hint="eastAsia" w:ascii="Times New Roman" w:hAnsi="Times New Roman" w:eastAsia="宋体" w:cs="Times New Roman"/>
                <w:sz w:val="18"/>
                <w:szCs w:val="18"/>
              </w:rPr>
              <w:t>上线前（线下）</w:t>
            </w:r>
          </w:p>
        </w:tc>
        <w:tc>
          <w:tcPr>
            <w:tcW w:w="1540" w:type="dxa"/>
            <w:tcBorders>
              <w:top w:val="nil"/>
              <w:left w:val="nil"/>
              <w:bottom w:val="nil"/>
              <w:right w:val="nil"/>
            </w:tcBorders>
            <w:vAlign w:val="center"/>
          </w:tcPr>
          <w:p w14:paraId="150F285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192</w:t>
            </w:r>
          </w:p>
        </w:tc>
        <w:tc>
          <w:tcPr>
            <w:tcW w:w="1740" w:type="dxa"/>
            <w:tcBorders>
              <w:top w:val="nil"/>
              <w:left w:val="nil"/>
              <w:bottom w:val="nil"/>
              <w:right w:val="nil"/>
            </w:tcBorders>
            <w:vAlign w:val="center"/>
          </w:tcPr>
          <w:p w14:paraId="018BD3D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7</w:t>
            </w:r>
          </w:p>
        </w:tc>
        <w:tc>
          <w:tcPr>
            <w:tcW w:w="1540" w:type="dxa"/>
            <w:tcBorders>
              <w:top w:val="nil"/>
              <w:left w:val="nil"/>
              <w:bottom w:val="nil"/>
              <w:right w:val="nil"/>
            </w:tcBorders>
            <w:vAlign w:val="center"/>
          </w:tcPr>
          <w:p w14:paraId="6C49F1EF">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23</w:t>
            </w:r>
          </w:p>
        </w:tc>
        <w:tc>
          <w:tcPr>
            <w:tcW w:w="1440" w:type="dxa"/>
            <w:tcBorders>
              <w:top w:val="nil"/>
              <w:left w:val="nil"/>
              <w:bottom w:val="nil"/>
              <w:right w:val="nil"/>
            </w:tcBorders>
            <w:vAlign w:val="center"/>
          </w:tcPr>
          <w:p w14:paraId="6BD3451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3.54</w:t>
            </w:r>
          </w:p>
        </w:tc>
      </w:tr>
      <w:tr w14:paraId="7C200F9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46" w:type="dxa"/>
            <w:tcBorders>
              <w:top w:val="nil"/>
              <w:left w:val="nil"/>
              <w:bottom w:val="single" w:color="auto" w:sz="12" w:space="0"/>
              <w:right w:val="nil"/>
            </w:tcBorders>
            <w:vAlign w:val="center"/>
          </w:tcPr>
          <w:p w14:paraId="72A2C93F">
            <w:pPr>
              <w:spacing w:before="20" w:after="20" w:line="240" w:lineRule="auto"/>
              <w:jc w:val="center"/>
              <w:rPr>
                <w:rFonts w:hint="eastAsia"/>
              </w:rPr>
            </w:pPr>
            <w:r>
              <w:rPr>
                <w:rFonts w:hint="eastAsia" w:ascii="Times New Roman" w:hAnsi="Times New Roman" w:eastAsia="宋体" w:cs="Times New Roman"/>
                <w:sz w:val="18"/>
                <w:szCs w:val="18"/>
              </w:rPr>
              <w:t>上线后（系统）</w:t>
            </w:r>
          </w:p>
        </w:tc>
        <w:tc>
          <w:tcPr>
            <w:tcW w:w="1540" w:type="dxa"/>
            <w:tcBorders>
              <w:top w:val="nil"/>
              <w:left w:val="nil"/>
              <w:bottom w:val="single" w:color="auto" w:sz="12" w:space="0"/>
              <w:right w:val="nil"/>
            </w:tcBorders>
            <w:vAlign w:val="center"/>
          </w:tcPr>
          <w:p w14:paraId="6A0F66A7">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1420</w:t>
            </w:r>
          </w:p>
        </w:tc>
        <w:tc>
          <w:tcPr>
            <w:tcW w:w="1740" w:type="dxa"/>
            <w:tcBorders>
              <w:top w:val="nil"/>
              <w:left w:val="nil"/>
              <w:bottom w:val="single" w:color="auto" w:sz="12" w:space="0"/>
              <w:right w:val="nil"/>
            </w:tcBorders>
            <w:vAlign w:val="center"/>
          </w:tcPr>
          <w:p w14:paraId="6BE1FCBE">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w:t>
            </w:r>
          </w:p>
        </w:tc>
        <w:tc>
          <w:tcPr>
            <w:tcW w:w="1540" w:type="dxa"/>
            <w:tcBorders>
              <w:top w:val="nil"/>
              <w:left w:val="nil"/>
              <w:bottom w:val="single" w:color="auto" w:sz="12" w:space="0"/>
              <w:right w:val="nil"/>
            </w:tcBorders>
            <w:vAlign w:val="center"/>
          </w:tcPr>
          <w:p w14:paraId="57A9EA5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w:t>
            </w:r>
          </w:p>
        </w:tc>
        <w:tc>
          <w:tcPr>
            <w:tcW w:w="1440" w:type="dxa"/>
            <w:tcBorders>
              <w:top w:val="nil"/>
              <w:left w:val="nil"/>
              <w:bottom w:val="single" w:color="auto" w:sz="12" w:space="0"/>
              <w:right w:val="nil"/>
            </w:tcBorders>
            <w:vAlign w:val="center"/>
          </w:tcPr>
          <w:p w14:paraId="2C8F622C">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0.08</w:t>
            </w:r>
          </w:p>
        </w:tc>
      </w:tr>
      <w:bookmarkEnd w:id="0"/>
    </w:tbl>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由表3可见，系统上线后申报与审核全流程线上化，申报单量增至上线前的 7.4 倍，平均审核周期由 7 d 降至 2 d，科研人员线上申报的参与程度显著提升。需说明统计口径：上线前的申报单量取自纸质台账登记数，上线后取自系统申报记录，两者并非严格同口径：线下阶段存在漏登记与合并登记，故该增幅同时反映了参与度提升与登记完整性改善两方面的作用；而审核周期、超时未办结件数与核算差错率三项在上线前后均按同一业务定义统计，具有可比性。</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为进一步说明本文工作与同类研究的差异，表4 从评价对象、数据来源、多作者成果分配、成果时效处理、量化与画像的耦合方式及审批流程支持六个方面，将本文与两类同源研究进行了对比。</w:t>
      </w:r>
    </w:p>
    <w:p w14:paraId="6B41360C">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 xml:space="preserve">表4  本文系统与同类工作的对比</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1500"/>
        <w:gridCol w:w="2100"/>
        <w:gridCol w:w="2200"/>
        <w:gridCol w:w="2500"/>
      </w:tblGrid>
      <w:tr w14:paraId="17B8A5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2000" w:type="dxa"/>
            <w:tcBorders>
              <w:top w:val="single" w:color="auto" w:sz="12" w:space="0"/>
              <w:left w:val="nil"/>
              <w:right w:val="nil"/>
              <w:bottom w:val="single" w:sz="4" w:color="000000" w:space="0"/>
            </w:tcBorders>
            <w:vAlign w:val="center"/>
          </w:tcPr>
          <w:p w14:paraId="3FC34985">
            <w:pPr>
              <w:spacing w:before="20" w:after="20" w:line="240" w:lineRule="auto"/>
              <w:jc w:val="center"/>
              <w:rPr>
                <w:rFonts w:hint="eastAsia"/>
              </w:rPr>
            </w:pPr>
            <w:r>
              <w:rPr>
                <w:rFonts w:hint="eastAsia" w:ascii="Times New Roman" w:hAnsi="Times New Roman" w:eastAsia="宋体" w:cs="Times New Roman"/>
                <w:bCs/>
                <w:sz w:val="18"/>
                <w:szCs w:val="18"/>
              </w:rPr>
              <w:t xml:space="preserve">对比维度</w:t>
            </w:r>
          </w:p>
        </w:tc>
        <w:tc>
          <w:tcPr>
            <w:tcW w:w="1262" w:type="dxa"/>
            <w:tcBorders>
              <w:top w:val="single" w:color="auto" w:sz="12" w:space="0"/>
              <w:left w:val="nil"/>
              <w:right w:val="nil"/>
              <w:bottom w:val="single" w:sz="4" w:color="000000" w:space="0"/>
            </w:tcBorders>
            <w:vAlign w:val="center"/>
          </w:tcPr>
          <w:p w14:paraId="41E8412B">
            <w:pPr>
              <w:spacing w:before="20" w:after="20" w:line="240" w:lineRule="auto"/>
              <w:jc w:val="center"/>
              <w:rPr>
                <w:rFonts w:hint="eastAsia"/>
              </w:rPr>
            </w:pPr>
            <w:r>
              <w:rPr>
                <w:rFonts w:hint="eastAsia" w:ascii="Times New Roman" w:hAnsi="Times New Roman" w:eastAsia="宋体" w:cs="Times New Roman"/>
                <w:bCs/>
                <w:sz w:val="18"/>
                <w:szCs w:val="18"/>
              </w:rPr>
              <w:t xml:space="preserve">机构层面评价指标体系</w:t>
            </w:r>
          </w:p>
        </w:tc>
        <w:tc>
          <w:tcPr>
            <w:tcW w:w="1262" w:type="dxa"/>
            <w:tcBorders>
              <w:top w:val="single" w:color="auto" w:sz="12" w:space="0"/>
              <w:left w:val="nil"/>
              <w:right w:val="nil"/>
              <w:bottom w:val="single" w:sz="4" w:color="000000" w:space="0"/>
            </w:tcBorders>
            <w:vAlign w:val="center"/>
          </w:tcPr>
          <w:p w14:paraId="0618DDE6">
            <w:pPr>
              <w:spacing w:before="20" w:after="20" w:line="240" w:lineRule="auto"/>
              <w:jc w:val="center"/>
              <w:rPr>
                <w:rFonts w:hint="eastAsia"/>
              </w:rPr>
            </w:pPr>
            <w:r>
              <w:rPr>
                <w:rFonts w:hint="eastAsia" w:ascii="Times New Roman" w:hAnsi="Times New Roman" w:eastAsia="宋体" w:cs="Times New Roman"/>
                <w:bCs/>
                <w:sz w:val="18"/>
                <w:szCs w:val="18"/>
              </w:rPr>
              <w:t xml:space="preserve">通用用户画像与动态标签</w:t>
            </w:r>
          </w:p>
        </w:tc>
        <w:tc>
          <w:tcPr>
            <w:tcW w:w="1262" w:type="dxa"/>
            <w:tcBorders>
              <w:top w:val="single" w:color="auto" w:sz="12" w:space="0"/>
              <w:left w:val="nil"/>
              <w:right w:val="nil"/>
              <w:bottom w:val="single" w:sz="4" w:color="000000" w:space="0"/>
            </w:tcBorders>
            <w:vAlign w:val="center"/>
          </w:tcPr>
          <w:p w14:paraId="03057AC7">
            <w:pPr>
              <w:spacing w:before="20" w:after="20" w:line="240" w:lineRule="auto"/>
              <w:jc w:val="center"/>
              <w:rPr>
                <w:rFonts w:hint="eastAsia"/>
              </w:rPr>
            </w:pPr>
            <w:r>
              <w:rPr>
                <w:rFonts w:hint="eastAsia" w:ascii="Times New Roman" w:hAnsi="Times New Roman" w:eastAsia="宋体" w:cs="Times New Roman"/>
                <w:bCs/>
                <w:sz w:val="18"/>
                <w:szCs w:val="18"/>
              </w:rPr>
              <w:t xml:space="preserve">本文</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评价对象</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机构</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个人（消费/学习行为）</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个人（科研人员）</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数据来源</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统计指标填报</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行为日志</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成果申报积分流水</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多作者成果分配</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未涉及</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未涉及</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分段权重法（式(1)）</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成果时效处理</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未涉及</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指数加权/时间衰减</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前置嵌入归一化（式(4)(5)）</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量化与画像同源</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否</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部分</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是</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审批流程支持</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未涉及</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未涉及</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自研状态机引擎</w:t>
            </w:r>
          </w:p>
        </w:tc>
      </w:tr>
    </w:tbl>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注：前两列为同类研究的方法类别归纳，分别对应文献[1-7]与文献[8-11]，非针对某一具体文献的逐项评述。</w:t>
      </w:r>
    </w:p>
    <w:p w14:paraId="34B53376">
      <w:pPr>
        <w:keepNext/>
        <w:keepLines/>
        <w:spacing w:before="156" w:beforeLines="50" w:after="93" w:afterLines="30" w:line="360" w:lineRule="auto"/>
        <w:outlineLvl w:val="0"/>
        <w:rPr>
          <w:rFonts w:hint="eastAsia"/>
          <w:lang w:eastAsia="zh-CN"/>
        </w:rPr>
      </w:pPr>
      <w:r>
        <w:rPr>
          <w:rFonts w:hint="eastAsia" w:ascii="Times New Roman" w:hAnsi="Times New Roman" w:eastAsia="宋体" w:cs="Times New Roman"/>
          <w:sz w:val="28"/>
          <w:szCs w:val="24"/>
          <w:lang w:eastAsia="zh-CN"/>
        </w:rPr>
        <w:t xml:space="preserve">5  分配方法对比实验</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式(1) 与三种守恒型方法的系数差异见表1，但系数不同是否真会改变人才排名，需以实际成果数据检验。为此以本中心公开发表的论文为样本开展对比实验。</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数据取自中国知网机构题录：按作者单位检索本中心 2024—2025 年发表的期刊论文，得 183 篇，署名 939 人次，篇均作者 5.13 人，其中 3 人及以上合著 163 篇。以单位署名仅含本中心的 130 篇论文所涉作者为种子，并与本中心积分评比名册取并集，确定 257 名本中心作者；外单位合作者计入作者总数 </w:t>
      </w:r>
      <w:r>
        <w:rPr>
          <w:rFonts w:hint="eastAsia" w:ascii="Times New Roman" w:hAnsi="Times New Roman" w:eastAsia="宋体" w:cs="Times New Roman"/>
          <w:i/>
          <w:sz w:val="21"/>
          <w:szCs w:val="21"/>
          <w:lang w:eastAsia="zh-CN"/>
        </w:rPr>
        <w:t xml:space="preserve">n</w:t>
      </w:r>
      <w:r>
        <w:rPr>
          <w:rFonts w:hint="eastAsia" w:ascii="Times New Roman" w:hAnsi="Times New Roman" w:eastAsia="宋体" w:cs="Times New Roman"/>
          <w:sz w:val="21"/>
          <w:szCs w:val="21"/>
          <w:lang w:eastAsia="zh-CN"/>
        </w:rPr>
        <w:t xml:space="preserve">，但不进入本中心排名。知网题录不含通讯作者信息，故全部按署名顺序计算，实验未覆盖“通讯作者按第 1 作者计”这一规则；各成果取等权（</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total</w:t>
      </w:r>
      <w:r>
        <w:rPr>
          <w:rFonts w:hint="eastAsia" w:ascii="Times New Roman" w:hAnsi="Times New Roman" w:eastAsia="宋体" w:cs="Times New Roman"/>
          <w:sz w:val="21"/>
          <w:szCs w:val="21"/>
          <w:lang w:eastAsia="zh-CN"/>
        </w:rPr>
        <w:t xml:space="preserve"> = 1），以隔离分配规则本身的影响。</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按式(1) 与均分法、调和计数法、算术递减法分别累计各作者积分并排序，四种方法两两之间的 Spearman 秩相关如表5所示。</w:t>
      </w:r>
    </w:p>
    <w:p w14:paraId="6B41360C">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 xml:space="preserve">表5  四种分配方法下人才排名的 Spearman 秩相关</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1900"/>
        <w:gridCol w:w="1700"/>
        <w:gridCol w:w="1500"/>
        <w:gridCol w:w="1600"/>
        <w:gridCol w:w="1600"/>
      </w:tblGrid>
      <w:tr w14:paraId="17B8A5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2000" w:type="dxa"/>
            <w:tcBorders>
              <w:top w:val="single" w:color="auto" w:sz="12" w:space="0"/>
              <w:left w:val="nil"/>
              <w:right w:val="nil"/>
              <w:bottom w:val="single" w:sz="4" w:color="000000" w:space="0"/>
            </w:tcBorders>
            <w:vAlign w:val="center"/>
          </w:tcPr>
          <w:p w14:paraId="3FC34985">
            <w:pPr>
              <w:spacing w:before="20" w:after="20" w:line="240" w:lineRule="auto"/>
              <w:jc w:val="center"/>
              <w:rPr>
                <w:rFonts w:hint="eastAsia"/>
              </w:rPr>
            </w:pPr>
            <w:r>
              <w:rPr>
                <w:rFonts w:hint="eastAsia" w:ascii="Times New Roman" w:hAnsi="Times New Roman" w:eastAsia="宋体" w:cs="Times New Roman"/>
                <w:bCs/>
                <w:sz w:val="18"/>
                <w:szCs w:val="18"/>
              </w:rPr>
              <w:t xml:space="preserve">分配方法</w:t>
            </w:r>
          </w:p>
        </w:tc>
        <w:tc>
          <w:tcPr>
            <w:tcW w:w="1262" w:type="dxa"/>
            <w:tcBorders>
              <w:top w:val="single" w:color="auto" w:sz="12" w:space="0"/>
              <w:left w:val="nil"/>
              <w:right w:val="nil"/>
              <w:bottom w:val="single" w:sz="4" w:color="000000" w:space="0"/>
            </w:tcBorders>
            <w:vAlign w:val="center"/>
          </w:tcPr>
          <w:p w14:paraId="41E8412B">
            <w:pPr>
              <w:spacing w:before="20" w:after="20" w:line="240" w:lineRule="auto"/>
              <w:jc w:val="center"/>
              <w:rPr>
                <w:rFonts w:hint="eastAsia"/>
              </w:rPr>
            </w:pPr>
            <w:r>
              <w:rPr>
                <w:rFonts w:hint="eastAsia" w:ascii="Times New Roman" w:hAnsi="Times New Roman" w:eastAsia="宋体" w:cs="Times New Roman"/>
                <w:bCs/>
                <w:sz w:val="18"/>
                <w:szCs w:val="18"/>
              </w:rPr>
              <w:t xml:space="preserve">本文分段权重法</w:t>
            </w:r>
          </w:p>
        </w:tc>
        <w:tc>
          <w:tcPr>
            <w:tcW w:w="1262" w:type="dxa"/>
            <w:tcBorders>
              <w:top w:val="single" w:color="auto" w:sz="12" w:space="0"/>
              <w:left w:val="nil"/>
              <w:right w:val="nil"/>
              <w:bottom w:val="single" w:sz="4" w:color="000000" w:space="0"/>
            </w:tcBorders>
            <w:vAlign w:val="center"/>
          </w:tcPr>
          <w:p w14:paraId="0618DDE6">
            <w:pPr>
              <w:spacing w:before="20" w:after="20" w:line="240" w:lineRule="auto"/>
              <w:jc w:val="center"/>
              <w:rPr>
                <w:rFonts w:hint="eastAsia"/>
              </w:rPr>
            </w:pPr>
            <w:r>
              <w:rPr>
                <w:rFonts w:hint="eastAsia" w:ascii="Times New Roman" w:hAnsi="Times New Roman" w:eastAsia="宋体" w:cs="Times New Roman"/>
                <w:bCs/>
                <w:sz w:val="18"/>
                <w:szCs w:val="18"/>
              </w:rPr>
              <w:t xml:space="preserve">均分法</w:t>
            </w:r>
          </w:p>
        </w:tc>
        <w:tc>
          <w:tcPr>
            <w:tcW w:w="1262" w:type="dxa"/>
            <w:tcBorders>
              <w:top w:val="single" w:color="auto" w:sz="12" w:space="0"/>
              <w:left w:val="nil"/>
              <w:right w:val="nil"/>
              <w:bottom w:val="single" w:sz="4" w:color="000000" w:space="0"/>
            </w:tcBorders>
            <w:vAlign w:val="center"/>
          </w:tcPr>
          <w:p w14:paraId="03057AC7">
            <w:pPr>
              <w:spacing w:before="20" w:after="20" w:line="240" w:lineRule="auto"/>
              <w:jc w:val="center"/>
              <w:rPr>
                <w:rFonts w:hint="eastAsia"/>
              </w:rPr>
            </w:pPr>
            <w:r>
              <w:rPr>
                <w:rFonts w:hint="eastAsia" w:ascii="Times New Roman" w:hAnsi="Times New Roman" w:eastAsia="宋体" w:cs="Times New Roman"/>
                <w:bCs/>
                <w:sz w:val="18"/>
                <w:szCs w:val="18"/>
              </w:rPr>
              <w:t xml:space="preserve">调和计数法</w:t>
            </w:r>
          </w:p>
        </w:tc>
        <w:tc>
          <w:tcPr>
            <w:tcW w:w="1262" w:type="dxa"/>
            <w:tcBorders>
              <w:top w:val="single" w:color="auto" w:sz="12" w:space="0"/>
              <w:left w:val="nil"/>
              <w:right w:val="nil"/>
              <w:bottom w:val="single" w:sz="4" w:color="000000" w:space="0"/>
            </w:tcBorders>
            <w:vAlign w:val="center"/>
          </w:tcPr>
          <w:p w14:paraId="03057AC7">
            <w:pPr>
              <w:spacing w:before="20" w:after="20" w:line="240" w:lineRule="auto"/>
              <w:jc w:val="center"/>
              <w:rPr>
                <w:rFonts w:hint="eastAsia"/>
              </w:rPr>
            </w:pPr>
            <w:r>
              <w:rPr>
                <w:rFonts w:hint="eastAsia" w:ascii="Times New Roman" w:hAnsi="Times New Roman" w:eastAsia="宋体" w:cs="Times New Roman"/>
                <w:bCs/>
                <w:sz w:val="18"/>
                <w:szCs w:val="18"/>
              </w:rPr>
              <w:t xml:space="preserve">算术递减法</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本文分段权重法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1.000</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0.864</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0.956</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0.952</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均分法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0.864</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1.000</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0.897</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0.926</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调和计数法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0.956</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0.897</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1.000</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0.981</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算术递减法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0.952</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0.926</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0.981</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1.000</w:t>
            </w:r>
          </w:p>
        </w:tc>
      </w:tr>
    </w:tbl>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秩相关反映整体一致性，头部名次的差异则更直接影响职称评审与激励分配，以本文方法为基准的 Top-N 人员重合度如表6所示。</w:t>
      </w:r>
    </w:p>
    <w:p w14:paraId="6B41360C">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 xml:space="preserve">表6  以本文方法为基准的 Top-N 人员重合度</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2600"/>
        <w:gridCol w:w="2000"/>
        <w:gridCol w:w="2000"/>
      </w:tblGrid>
      <w:tr w14:paraId="17B8A5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2000" w:type="dxa"/>
            <w:tcBorders>
              <w:top w:val="single" w:color="auto" w:sz="12" w:space="0"/>
              <w:left w:val="nil"/>
              <w:right w:val="nil"/>
              <w:bottom w:val="single" w:sz="4" w:color="000000" w:space="0"/>
            </w:tcBorders>
            <w:vAlign w:val="center"/>
          </w:tcPr>
          <w:p w14:paraId="3FC34985">
            <w:pPr>
              <w:spacing w:before="20" w:after="20" w:line="240" w:lineRule="auto"/>
              <w:jc w:val="center"/>
              <w:rPr>
                <w:rFonts w:hint="eastAsia"/>
              </w:rPr>
            </w:pPr>
            <w:r>
              <w:rPr>
                <w:rFonts w:hint="eastAsia" w:ascii="Times New Roman" w:hAnsi="Times New Roman" w:eastAsia="宋体" w:cs="Times New Roman"/>
                <w:bCs/>
                <w:sz w:val="18"/>
                <w:szCs w:val="18"/>
              </w:rPr>
              <w:t xml:space="preserve">对比方法</w:t>
            </w:r>
          </w:p>
        </w:tc>
        <w:tc>
          <w:tcPr>
            <w:tcW w:w="1262" w:type="dxa"/>
            <w:tcBorders>
              <w:top w:val="single" w:color="auto" w:sz="12" w:space="0"/>
              <w:left w:val="nil"/>
              <w:right w:val="nil"/>
              <w:bottom w:val="single" w:sz="4" w:color="000000" w:space="0"/>
            </w:tcBorders>
            <w:vAlign w:val="center"/>
          </w:tcPr>
          <w:p w14:paraId="41E8412B">
            <w:pPr>
              <w:spacing w:before="20" w:after="20" w:line="240" w:lineRule="auto"/>
              <w:jc w:val="center"/>
              <w:rPr>
                <w:rFonts w:hint="eastAsia"/>
              </w:rPr>
            </w:pPr>
            <w:r>
              <w:rPr>
                <w:rFonts w:hint="eastAsia" w:ascii="Times New Roman" w:hAnsi="Times New Roman" w:eastAsia="宋体" w:cs="Times New Roman"/>
                <w:bCs/>
                <w:sz w:val="18"/>
                <w:szCs w:val="18"/>
              </w:rPr>
              <w:t xml:space="preserve">Top-10 重合</w:t>
            </w:r>
          </w:p>
        </w:tc>
        <w:tc>
          <w:tcPr>
            <w:tcW w:w="1262" w:type="dxa"/>
            <w:tcBorders>
              <w:top w:val="single" w:color="auto" w:sz="12" w:space="0"/>
              <w:left w:val="nil"/>
              <w:right w:val="nil"/>
              <w:bottom w:val="single" w:sz="4" w:color="000000" w:space="0"/>
            </w:tcBorders>
            <w:vAlign w:val="center"/>
          </w:tcPr>
          <w:p w14:paraId="0618DDE6">
            <w:pPr>
              <w:spacing w:before="20" w:after="20" w:line="240" w:lineRule="auto"/>
              <w:jc w:val="center"/>
              <w:rPr>
                <w:rFonts w:hint="eastAsia"/>
              </w:rPr>
            </w:pPr>
            <w:r>
              <w:rPr>
                <w:rFonts w:hint="eastAsia" w:ascii="Times New Roman" w:hAnsi="Times New Roman" w:eastAsia="宋体" w:cs="Times New Roman"/>
                <w:bCs/>
                <w:sz w:val="18"/>
                <w:szCs w:val="18"/>
              </w:rPr>
              <w:t xml:space="preserve">Top-30 重合</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均分法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8/10</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21/30</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调和计数法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8/10</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26/30</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算术递减法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8/10</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26/30</w:t>
            </w:r>
          </w:p>
        </w:tc>
      </w:tr>
    </w:tbl>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排名变化落在谁身上，是判断该方法是否符合设计意图的关键。按人均合作规模（个人成果的平均作者数，中位数 5.50 人）将人员分为两组，其相对均分法的名次变动如表7所示。此处不以“多作者成果占比”分组：本中心 183 篇论文中 163 篇为 3 人以上合著，该指标全员饱和，无法区分。</w:t>
      </w:r>
    </w:p>
    <w:p w14:paraId="6B41360C">
      <w:pPr>
        <w:keepNext/>
        <w:keepLines/>
        <w:spacing w:before="37" w:beforeLines="12" w:after="18" w:afterLines="6"/>
        <w:jc w:val="center"/>
        <w:rPr>
          <w:rFonts w:hint="eastAsia"/>
          <w:lang w:eastAsia="zh-CN"/>
        </w:rPr>
      </w:pPr>
      <w:r>
        <w:rPr>
          <w:rFonts w:hint="eastAsia" w:ascii="Times New Roman" w:hAnsi="Times New Roman" w:eastAsia="宋体" w:cs="Times New Roman"/>
          <w:sz w:val="18"/>
          <w:szCs w:val="18"/>
          <w:lang w:eastAsia="zh-CN"/>
        </w:rPr>
        <w:t xml:space="preserve">表7  不同合作规模科研人员的排名变动（本文方法相对均分法）</w:t>
      </w:r>
    </w:p>
    <w:tbl>
      <w:tblPr>
        <w:tblStyle w:val="15"/>
        <w:tblW w:w="8306"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28" w:type="dxa"/>
          <w:left w:w="64" w:type="dxa"/>
          <w:bottom w:w="28" w:type="dxa"/>
          <w:right w:w="64" w:type="dxa"/>
        </w:tblCellMar>
      </w:tblPr>
      <w:tblGrid>
        <w:gridCol w:w="2400"/>
        <w:gridCol w:w="1200"/>
        <w:gridCol w:w="1800"/>
        <w:gridCol w:w="2000"/>
      </w:tblGrid>
      <w:tr w14:paraId="17B8A5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tblHeader/>
          <w:jc w:val="center"/>
        </w:trPr>
        <w:tc>
          <w:tcPr>
            <w:tcW w:w="2000" w:type="dxa"/>
            <w:tcBorders>
              <w:top w:val="single" w:color="auto" w:sz="12" w:space="0"/>
              <w:left w:val="nil"/>
              <w:right w:val="nil"/>
              <w:bottom w:val="single" w:sz="4" w:color="000000" w:space="0"/>
            </w:tcBorders>
            <w:vAlign w:val="center"/>
          </w:tcPr>
          <w:p w14:paraId="3FC34985">
            <w:pPr>
              <w:spacing w:before="20" w:after="20" w:line="240" w:lineRule="auto"/>
              <w:jc w:val="center"/>
              <w:rPr>
                <w:rFonts w:hint="eastAsia"/>
              </w:rPr>
            </w:pPr>
            <w:r>
              <w:rPr>
                <w:rFonts w:hint="eastAsia" w:ascii="Times New Roman" w:hAnsi="Times New Roman" w:eastAsia="宋体" w:cs="Times New Roman"/>
                <w:bCs/>
                <w:sz w:val="18"/>
                <w:szCs w:val="18"/>
              </w:rPr>
              <w:t xml:space="preserve">人员分组</w:t>
            </w:r>
          </w:p>
        </w:tc>
        <w:tc>
          <w:tcPr>
            <w:tcW w:w="1262" w:type="dxa"/>
            <w:tcBorders>
              <w:top w:val="single" w:color="auto" w:sz="12" w:space="0"/>
              <w:left w:val="nil"/>
              <w:right w:val="nil"/>
              <w:bottom w:val="single" w:sz="4" w:color="000000" w:space="0"/>
            </w:tcBorders>
            <w:vAlign w:val="center"/>
          </w:tcPr>
          <w:p w14:paraId="41E8412B">
            <w:pPr>
              <w:spacing w:before="20" w:after="20" w:line="240" w:lineRule="auto"/>
              <w:jc w:val="center"/>
              <w:rPr>
                <w:rFonts w:hint="eastAsia"/>
              </w:rPr>
            </w:pPr>
            <w:r>
              <w:rPr>
                <w:rFonts w:hint="eastAsia" w:ascii="Times New Roman" w:hAnsi="Times New Roman" w:eastAsia="宋体" w:cs="Times New Roman"/>
                <w:bCs/>
                <w:sz w:val="18"/>
                <w:szCs w:val="18"/>
              </w:rPr>
              <w:t xml:space="preserve">人数</w:t>
            </w:r>
          </w:p>
        </w:tc>
        <w:tc>
          <w:tcPr>
            <w:tcW w:w="1262" w:type="dxa"/>
            <w:tcBorders>
              <w:top w:val="single" w:color="auto" w:sz="12" w:space="0"/>
              <w:left w:val="nil"/>
              <w:right w:val="nil"/>
              <w:bottom w:val="single" w:sz="4" w:color="000000" w:space="0"/>
            </w:tcBorders>
            <w:vAlign w:val="center"/>
          </w:tcPr>
          <w:p w14:paraId="0618DDE6">
            <w:pPr>
              <w:spacing w:before="20" w:after="20" w:line="240" w:lineRule="auto"/>
              <w:jc w:val="center"/>
              <w:rPr>
                <w:rFonts w:hint="eastAsia"/>
              </w:rPr>
            </w:pPr>
            <w:r>
              <w:rPr>
                <w:rFonts w:hint="eastAsia" w:ascii="Times New Roman" w:hAnsi="Times New Roman" w:eastAsia="宋体" w:cs="Times New Roman"/>
                <w:bCs/>
                <w:sz w:val="18"/>
                <w:szCs w:val="18"/>
              </w:rPr>
              <w:t xml:space="preserve">平均排名变动</w:t>
            </w:r>
          </w:p>
        </w:tc>
        <w:tc>
          <w:tcPr>
            <w:tcW w:w="1262" w:type="dxa"/>
            <w:tcBorders>
              <w:top w:val="single" w:color="auto" w:sz="12" w:space="0"/>
              <w:left w:val="nil"/>
              <w:right w:val="nil"/>
              <w:bottom w:val="single" w:sz="4" w:color="000000" w:space="0"/>
            </w:tcBorders>
            <w:vAlign w:val="center"/>
          </w:tcPr>
          <w:p w14:paraId="03057AC7">
            <w:pPr>
              <w:spacing w:before="20" w:after="20" w:line="240" w:lineRule="auto"/>
              <w:jc w:val="center"/>
              <w:rPr>
                <w:rFonts w:hint="eastAsia"/>
              </w:rPr>
            </w:pPr>
            <w:r>
              <w:rPr>
                <w:rFonts w:hint="eastAsia" w:ascii="Times New Roman" w:hAnsi="Times New Roman" w:eastAsia="宋体" w:cs="Times New Roman"/>
                <w:bCs/>
                <w:sz w:val="18"/>
                <w:szCs w:val="18"/>
              </w:rPr>
              <w:t xml:space="preserve">名次上升人数占比</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合作规模高于中位数</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126</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+9.8</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58%</w:t>
            </w:r>
          </w:p>
        </w:tc>
      </w:tr>
      <w:tr w14:paraId="2AA631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8" w:type="dxa"/>
            <w:left w:w="64" w:type="dxa"/>
            <w:bottom w:w="28" w:type="dxa"/>
            <w:right w:w="64" w:type="dxa"/>
          </w:tblCellMar>
        </w:tblPrEx>
        <w:trPr>
          <w:cantSplit/>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 xml:space="preserve">合作规模不高于中位数</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 xml:space="preserve">131</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 xml:space="preserve">−9.5</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 xml:space="preserve">39%</w:t>
            </w:r>
          </w:p>
        </w:tc>
      </w:tr>
    </w:tbl>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注：排名变动为正表示在本文方法下名次上升。</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与均分法的秩相关为 0.864，为四种方法两两比较中的最低值，而与调和计数法、算术递减法分别为 0.956 与 0.952，说明本文方法在整体排序上更接近按序位递减的守恒型方法，与均分法差异最大。Top-30 重合度上，均分法为 21/30，即前 30 名中有 9 人不同，而调和计数法与算术递减法均为 26/30，差异集中在均分法一侧。合作规模高于中位数与不高于中位数的两组，平均名次变动分别为上升 9.8 位与下降 9.5 位，方向与名义分值制“鼓励多科室协作”的设计意图一致。</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为检验结论对成果分值方案的敏感性，另以对数正态分布随机赋予各成果标准积分重复 5 次：与均分法的秩相关稳定在 0.864—0.883，Top-30 重合度为 21—24，高合作规模组始终上升、低合作规模组始终下降。可见上述结论不随成果分值方案改变。</w:t>
      </w:r>
    </w:p>
    <w:p w14:paraId="219D904A">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本实验的样本仅含公开发表论文，不含课题、专利等其他成果类型，故所得排名不等同于系统内的完整积分排名，其作用是在真实合作结构下检验分配规则本身的行为差异。</w:t>
      </w:r>
    </w:p>
    <w:p w14:paraId="34B53376">
      <w:pPr>
        <w:keepNext/>
        <w:keepLines/>
        <w:spacing w:before="156" w:beforeLines="50" w:after="93" w:afterLines="30" w:line="360" w:lineRule="auto"/>
        <w:outlineLvl w:val="0"/>
        <w:rPr>
          <w:rFonts w:hint="eastAsia"/>
          <w:lang w:eastAsia="zh-CN"/>
        </w:rPr>
      </w:pPr>
      <w:r>
        <w:rPr>
          <w:rFonts w:hint="eastAsia" w:ascii="Times New Roman" w:hAnsi="Times New Roman" w:eastAsia="宋体" w:cs="Times New Roman"/>
          <w:sz w:val="28"/>
          <w:szCs w:val="24"/>
          <w:lang w:eastAsia="zh-CN"/>
        </w:rPr>
        <w:t xml:space="preserve">6  结论与展望</w:t>
      </w:r>
    </w:p>
    <w:p w14:paraId="268418C6">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系统在南通市疾病预防控制中心运行 3 个月，平均审核周期由 7 d 降至 2 d，积分核算差错率由 3.54% 降至 0.08%，动态能力标签与专家标注的 F1 值为 0.86。把时间衰减放在行为积分层而不是能力得分层，是让标签权重、能力维度得分与画像共用一条量纲一致通路的关键；以本中心 183 篇公开发表论文为样本的对比实验表明，该方法与均分法的排名秩相关为 0.864，合作规模高于中位数的人员名次系统性上升，方向与设计意图一致。多作者分配采用名义分值制则是管理导向下的取舍，其“挂名”代价由年度上限与职称评审口径两项制度约束承担，而非由算法本身消化。本文工作也有局限：式(4)(5) 合成的年度保持率约为 0.26，模型刻画的是近三年的科研活跃度而非长期学术积累，也不评价成果质量，宜与同行评议互补使用；标签—能力维度映射矩阵由本中心专家标定，跨机构推广需重新标定；式(4) 采用极值归一化，对异常高分较敏感。后续将在积累更长周期的积分流水后开展参数敏感性分析与跨机构验证，并与人事、财务等系统打通数据。</w:t>
      </w:r>
    </w:p>
    <w:p w14:paraId="34B734C7">
      <w:pPr>
        <w:spacing w:before="109" w:beforeLines="35" w:after="56" w:afterLines="18"/>
        <w:rPr>
          <w:rFonts w:hint="eastAsia"/>
          <w:lang w:eastAsia="zh-CN"/>
        </w:rPr>
      </w:pPr>
      <w:r>
        <w:rPr>
          <w:rFonts w:hint="eastAsia" w:ascii="Times New Roman" w:hAnsi="Times New Roman" w:eastAsia="宋体" w:cs="Times New Roman"/>
          <w:b/>
          <w:sz w:val="18"/>
          <w:szCs w:val="24"/>
          <w:lang w:eastAsia="zh-CN"/>
        </w:rPr>
        <w:t>参考文献</w:t>
      </w:r>
    </w:p>
    <w:p w14:paraId="73708FC1">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 李涛, 关健, 吴沛新. 卫生政策与管理研究领域科技评价体系的思考和建议[J]. 中华医学科研管理杂志, 2023, 36(4): 259-265.</w:t>
      </w:r>
    </w:p>
    <w:p w14:paraId="4047DAAC">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 黄钊, 袁元, 陶震寰, 等. 疾病预防控制数字化系统的设计与应用[J]. 中国数字医学, 2025, 20(11): 8-13.</w:t>
      </w:r>
    </w:p>
    <w:p w14:paraId="1F9CC031">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[3] 李少琼, 杜雪杰, 金丽珠, 等. 基于德尔菲法构建全国省级疾控中心信息化建设评价指标[J]. 中国数字医学, 2024, 19(10): 111-114.</w:t>
      </w:r>
    </w:p>
    <w:p w14:paraId="5B85EB1F">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[4] 杨思洛, 周展伊, 丁敏. “破五唯”导向下高校科研成果评价: 制度表征与变革路径[J]. 知识管理论坛, 2025, 10(3): 218-231.</w:t>
      </w:r>
    </w:p>
    <w:p w14:paraId="18D35E28">
      <w:pPr>
        <w:spacing w:after="3" w:afterLines="1"/>
        <w:ind w:left="324" w:hanging="324"/>
        <w:jc w:val="both"/>
        <w:rPr>
          <w:rFonts w:hint="eastAsia"/>
          <w:lang w:eastAsia="zh-CN"/>
        </w:rPr>
      </w:pPr>
      <w:r>
        <w:rPr>
          <w:rFonts w:ascii="Times New Roman" w:hAnsi="Times New Roman" w:eastAsia="宋体" w:cs="Times New Roman"/>
          <w:sz w:val="18"/>
          <w:szCs w:val="18"/>
        </w:rPr>
        <w:t xml:space="preserve">[5] Amaral P, Magalhães P. Performance-based funding and research productivity: A longitudinal analysis of European universities[J]. Scientometrics, 2024, 129(3): 1587-1612.</w:t>
      </w:r>
    </w:p>
    <w:p w14:paraId="62BE607C">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[6] 沈杨阳. 国家科研管理机构组织颠覆性技术创新的实践路径[J]. 中国科技论坛, 2026(5): 1-11.</w:t>
      </w:r>
    </w:p>
    <w:p w14:paraId="3C885CF9">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[7] Lei F. Design and implementation assurance of a dynamic indicator system for classified faculty performance evaluation in the post-"breaking the five onlys" era[J]. World Journal of Educational Studies, 2025, 3(9): 16-31.</w:t>
      </w:r>
    </w:p>
    <w:p w14:paraId="566393D3">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[8] 罗仕鉴, 郭和睿, 钟素萍, 等. 智能体驱动的产品设计用户画像生成方法[J]. 计算机集成制造系统, 2025, 31(11): 3919-3931.</w:t>
      </w:r>
    </w:p>
    <w:p w14:paraId="452AD78D">
      <w:pPr>
        <w:spacing w:after="3" w:afterLines="1"/>
        <w:ind w:left="324" w:hanging="324"/>
        <w:jc w:val="both"/>
        <w:rPr>
          <w:rFonts w:hint="eastAsia"/>
          <w:lang w:eastAsia="zh-CN"/>
        </w:rPr>
      </w:pPr>
      <w:bookmarkStart w:id="3" w:name="OLE_LINK17"/>
      <w:bookmarkEnd w:id="3"/>
      <w:r>
        <w:rPr>
          <w:rFonts w:hint="eastAsia" w:ascii="Times New Roman" w:hAnsi="Times New Roman" w:eastAsia="宋体" w:cs="Times New Roman"/>
          <w:sz w:val="18"/>
          <w:szCs w:val="18"/>
          <w:lang w:eastAsia="zh-CN"/>
        </w:rPr>
        <w:t xml:space="preserve">[9] 白菁昊, 庄俊玺, 赖英旭. 面向学习者画像的时序动态标签构建及预测方法[J]. 计算机科学, 2026, 53(5): 79-89.</w:t>
      </w:r>
    </w:p>
    <w:p w14:paraId="6DDED391">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[10] 胡晓莹, 荀亚玲, 李砚峰. 基于项目流行度和用户动态兴趣的纠偏推荐[J]. 计算机技术与发展, 2024, 34(8): 135-142.</w:t>
      </w:r>
    </w:p>
    <w:p w14:paraId="5FDE8AF5">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[11] Chen R, Wang ZL, Tang CD, et al. EMARec: A sequential recommendation with exponential moving average[J]. Neural Computing and Applications, 2024, 36(21): 12917-12933.</w:t>
      </w:r>
    </w:p>
    <w:p w14:paraId="7785C9FE">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[12] 刘盛, 王占云. 基于SpringBoot+Vue微服务架构的科研样本库管理系统的设计与实现[J]. 信息系统工程, 2025(4): 4-7.</w:t>
      </w:r>
    </w:p>
    <w:p w14:paraId="22AA2859">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[13] 张岩. 基于Spring Boot的公共卫生服务平台设计[J]. 现代信息科技, 2026, 10(1): 105-110, 116.</w:t>
      </w:r>
    </w:p>
    <w:p w14:paraId="01043945">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[14] 廖凤露, 许毅, 汤伟. 图书馆数据可视化大屏系统的设计与实现[J]. 电脑与信息技术, 2025(3): 79-83, 97.</w:t>
      </w:r>
    </w:p>
    <w:p w14:paraId="1A15C670">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[15] 来天平, 王永超, 罗盘, 等. 基于角色资源级别的权限控制模型的设计与应用研究[J]. 通信学报, 2024, 45(S2): 153-159.</w:t>
      </w:r>
    </w:p>
    <w:p w14:paraId="6AF5A027">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[16] Zhang YW, Chen LX, Zhu YZ, et al. Privacy-enhanced role-based access control for IoT systems[J]. IEEE Internet of Things Journal, 2025, 12(14): 27269-27279.</w:t>
      </w:r>
    </w:p>
    <w:p w14:paraId="6C0DF047">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[17] 韩颖霄, 张均胜, 郑明, 等. 一种覆盖所有作者的论文荣誉分配方法——缓解署名分歧的量化锚点[J]. 中国科技资源导刊, 2025(6): 48-63.</w:t>
      </w:r>
    </w:p>
    <w:p w14:paraId="6DC7B439">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[18] Xu S, Li L, Wang CC, et al. An improved author-topic (AT) model with authorship credit allocation schemes[J]. Journal of Information Science, 2025, 51(1): 184-204.</w:t>
      </w:r>
    </w:p>
    <w:p w14:paraId="2159E638">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[19] 蒙立东, 林乃斌, 韦文嵚, 等. 基于JSON的轻量级工作流引擎设计与实现[J]. 大众科技, 2025, 27(2): 20-24.</w:t>
      </w:r>
    </w:p>
    <w:p w14:paraId="10E1C165">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[20] 郭圣伟, 张洋. 轻量级工作流系统的设计与应用[J]. 电脑知识与技术, 2025(36): 48-51, 55.</w:t>
      </w:r>
    </w:p>
    <w:p w14:paraId="3FC50B5F">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[21] Li HM, Wu S, Li ZP, et al. Enabling high performance and resource utilization in clustered cache via hotness identification, data copying, and instance merging[J]. IEEE Transactions on Computers, 2025, 74(2): 371-385.</w:t>
      </w:r>
    </w:p>
    <w:p w14:paraId="05520086">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[22] 吕玉桂. Spring Security+JWT实现微服务架构中的身份验证和授权[J]. 电脑知识与技术, 2024(22): 60-63.</w:t>
      </w:r>
    </w:p>
    <w:p w14:paraId="0CB9C4F0">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[23] Di Meglio S, Starace LLL, Pontillo V, et al. Performance testing in open-source web projects: Adoption, maintenance, and a change taxonomy[C]//Proceedings of the 2025 IEEE International Conference on Software Maintenance and Evolution. IEEE, 2025: 199-210.</w:t>
      </w:r>
    </w:p>
    <w:p w14:paraId="507A8B0C">
      <w:pPr>
        <w:pBdr>
          <w:bottom w:val="single" w:color="auto" w:sz="6" w:space="1"/>
        </w:pBdr>
        <w:spacing w:before="56" w:beforeLines="18"/>
        <w:rPr>
          <w:rFonts w:hint="eastAsia"/>
          <w:lang w:eastAsia="zh-CN"/>
        </w:rPr>
      </w:pPr>
    </w:p>
    <w:p w14:paraId="2DA9AC18">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bCs/>
          <w:sz w:val="21"/>
          <w:szCs w:val="21"/>
          <w:vertAlign w:val="superscript"/>
          <w:lang w:eastAsia="zh-CN"/>
        </w:rPr>
        <w:t xml:space="preserve">①</w:t>
      </w:r>
      <w:r>
        <w:rPr>
          <w:rFonts w:hint="eastAsia" w:ascii="Times New Roman" w:hAnsi="Times New Roman" w:eastAsia="宋体" w:cs="Times New Roman"/>
          <w:bCs/>
          <w:sz w:val="21"/>
          <w:szCs w:val="21"/>
          <w:lang w:eastAsia="zh-CN"/>
        </w:rPr>
        <w:t xml:space="preserve"> 基金项目：南通市社科研究课题（网信专项）（WA25-6）</w:t>
      </w:r>
    </w:p>
    <w:p w14:paraId="706BEAB0">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bCs/>
          <w:sz w:val="21"/>
          <w:szCs w:val="21"/>
          <w:lang w:eastAsia="zh-CN"/>
        </w:rPr>
        <w:t xml:space="preserve">收稿日期：xxxx-xx-xx　　修回日期：xxxx-xx-xx</w:t>
      </w:r>
    </w:p>
    <w:p w14:paraId="59BE3A93">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bCs/>
          <w:sz w:val="21"/>
          <w:szCs w:val="21"/>
          <w:lang w:eastAsia="zh-CN"/>
        </w:rPr>
        <w:t xml:space="preserve">作者简介：杨文超（1988—），男，江苏如东人，高级工程师，硕士，主要研究方向为科研管理信息化、公共卫生数据分析，E-mail: yangwecy@gmail.com。</w:t>
      </w:r>
    </w:p>
    <w:p w14:paraId="010DE108">
      <w:pPr>
        <w:spacing w:after="0"/>
        <w:jc w:val="both"/>
        <w:rPr>
          <w:rFonts w:ascii="Times New Roman" w:hAnsi="Times New Roman" w:eastAsia="宋体" w:cs="Times New Roman"/>
          <w:sz w:val="21"/>
          <w:szCs w:val="21"/>
          <w:lang w:eastAsia="zh-CN"/>
        </w:rPr>
      </w:pPr>
      <w:bookmarkStart w:id="4" w:name="OLE_LINK3"/>
      <w:bookmarkEnd w:id="4"/>
      <w:r>
        <w:rPr>
          <w:rFonts w:hint="eastAsia" w:ascii="Times New Roman" w:hAnsi="Times New Roman" w:eastAsia="宋体" w:cs="Times New Roman"/>
          <w:sz w:val="21"/>
          <w:szCs w:val="21"/>
          <w:lang w:eastAsia="zh-CN"/>
        </w:rPr>
        <w:t xml:space="preserve">张卫兵（1971—），男，江苏南通人，主任医师，硕士，主要研究方向为科研管理、预防医学、食品检测，E-mail: 573816315@qq.com。</w:t>
      </w:r>
    </w:p>
    <w:p w14:paraId="46EF3EB7">
      <w:pPr>
        <w:spacing w:after="0"/>
        <w:jc w:val="both"/>
        <w:rPr>
          <w:rFonts w:ascii="Times New Roman" w:hAnsi="Times New Roman" w:eastAsia="宋体" w:cs="Times New Roman"/>
          <w:sz w:val="21"/>
          <w:szCs w:val="21"/>
          <w:lang w:eastAsia="zh-CN"/>
        </w:rPr>
      </w:pPr>
      <w:bookmarkStart w:id="5" w:name="OLE_LINK4"/>
      <w:bookmarkEnd w:id="5"/>
      <w:r>
        <w:rPr>
          <w:rFonts w:hint="eastAsia" w:ascii="Times New Roman" w:hAnsi="Times New Roman" w:eastAsia="宋体" w:cs="Times New Roman"/>
          <w:sz w:val="21"/>
          <w:szCs w:val="21"/>
          <w:lang w:eastAsia="zh-CN"/>
        </w:rPr>
        <w:t xml:space="preserve">练维（1980—），男，江苏如皋人，主任技师，本科，主要研究方向为科研教育、质量管理，E-mail: lianwei@sohu.com。</w:t>
      </w:r>
    </w:p>
    <w:p w14:paraId="70E90606">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徐小卫（1989—），男，江苏如东人，高级工程师，本科，主要研究方向为软件开发、数据管理，E-mail: XXW1306@sina.com。</w:t>
      </w:r>
    </w:p>
    <w:p w14:paraId="7C36CC4C">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王秦（1984—），女，江苏如东人，副主任医师，本科，主要研究方向为科研教育、数据统计，E-mail: WQ112233@sina.com。</w:t>
      </w:r>
    </w:p>
    <w:p w14:paraId="7E79E251">
      <w:pPr>
        <w:spacing w:before="60"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通信地址：江苏省南通市崇川区工农南路 189号 南通市疾病预防控制中心　邮编：226001</w:t>
      </w:r>
    </w:p>
    <w:p w14:paraId="24EC4546">
      <w:pPr>
        <w:spacing w:before="60"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收件人：杨文超　联系电话：18351310755　E-mail: yangwecy@gmail.com</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8E3D08"/>
    <w:rsid w:val="00001389"/>
    <w:rsid w:val="00002657"/>
    <w:rsid w:val="00021476"/>
    <w:rsid w:val="00030E9E"/>
    <w:rsid w:val="0003457F"/>
    <w:rsid w:val="00047837"/>
    <w:rsid w:val="00077879"/>
    <w:rsid w:val="00083549"/>
    <w:rsid w:val="00086AF0"/>
    <w:rsid w:val="0009541E"/>
    <w:rsid w:val="000A44F9"/>
    <w:rsid w:val="000A76E1"/>
    <w:rsid w:val="000B2A1D"/>
    <w:rsid w:val="000B2B95"/>
    <w:rsid w:val="000B528F"/>
    <w:rsid w:val="000B5561"/>
    <w:rsid w:val="000D662A"/>
    <w:rsid w:val="000E3D8D"/>
    <w:rsid w:val="000E77BA"/>
    <w:rsid w:val="00100C81"/>
    <w:rsid w:val="00102829"/>
    <w:rsid w:val="00102F8B"/>
    <w:rsid w:val="00105192"/>
    <w:rsid w:val="00105E66"/>
    <w:rsid w:val="00113A0C"/>
    <w:rsid w:val="00121E97"/>
    <w:rsid w:val="001375F3"/>
    <w:rsid w:val="00137F41"/>
    <w:rsid w:val="00141A88"/>
    <w:rsid w:val="001509DF"/>
    <w:rsid w:val="0015225F"/>
    <w:rsid w:val="001650C7"/>
    <w:rsid w:val="0016734A"/>
    <w:rsid w:val="00185434"/>
    <w:rsid w:val="00195740"/>
    <w:rsid w:val="001A14C5"/>
    <w:rsid w:val="001A70A1"/>
    <w:rsid w:val="001C1152"/>
    <w:rsid w:val="001C2962"/>
    <w:rsid w:val="001D3D58"/>
    <w:rsid w:val="001D4AAF"/>
    <w:rsid w:val="00210DD2"/>
    <w:rsid w:val="00225CDE"/>
    <w:rsid w:val="0026328B"/>
    <w:rsid w:val="00272A10"/>
    <w:rsid w:val="00274CDD"/>
    <w:rsid w:val="0029409F"/>
    <w:rsid w:val="002B1675"/>
    <w:rsid w:val="002C1EE2"/>
    <w:rsid w:val="002C433D"/>
    <w:rsid w:val="002E6926"/>
    <w:rsid w:val="0032250C"/>
    <w:rsid w:val="00345497"/>
    <w:rsid w:val="0036506E"/>
    <w:rsid w:val="003776C6"/>
    <w:rsid w:val="00395316"/>
    <w:rsid w:val="0039656B"/>
    <w:rsid w:val="003B3A98"/>
    <w:rsid w:val="003E415E"/>
    <w:rsid w:val="003F7C45"/>
    <w:rsid w:val="0041664F"/>
    <w:rsid w:val="00461777"/>
    <w:rsid w:val="004618BD"/>
    <w:rsid w:val="00462952"/>
    <w:rsid w:val="004661CE"/>
    <w:rsid w:val="00467B1E"/>
    <w:rsid w:val="004768A6"/>
    <w:rsid w:val="00485C09"/>
    <w:rsid w:val="004868A9"/>
    <w:rsid w:val="004A605A"/>
    <w:rsid w:val="004A7606"/>
    <w:rsid w:val="004C3455"/>
    <w:rsid w:val="004C398D"/>
    <w:rsid w:val="004D2C3A"/>
    <w:rsid w:val="004D47DF"/>
    <w:rsid w:val="004E2C5A"/>
    <w:rsid w:val="004E7822"/>
    <w:rsid w:val="004F0C29"/>
    <w:rsid w:val="004F3A2B"/>
    <w:rsid w:val="00506E41"/>
    <w:rsid w:val="0050734F"/>
    <w:rsid w:val="00517EE6"/>
    <w:rsid w:val="005204A7"/>
    <w:rsid w:val="00524E75"/>
    <w:rsid w:val="005253EE"/>
    <w:rsid w:val="00536BF2"/>
    <w:rsid w:val="00555F57"/>
    <w:rsid w:val="005664EE"/>
    <w:rsid w:val="005839D6"/>
    <w:rsid w:val="005A7A10"/>
    <w:rsid w:val="005B2EE8"/>
    <w:rsid w:val="005B51E2"/>
    <w:rsid w:val="005B700B"/>
    <w:rsid w:val="005C0270"/>
    <w:rsid w:val="005C08A7"/>
    <w:rsid w:val="005D0273"/>
    <w:rsid w:val="005D183C"/>
    <w:rsid w:val="005D75C4"/>
    <w:rsid w:val="005E7DD3"/>
    <w:rsid w:val="00600D71"/>
    <w:rsid w:val="00611B70"/>
    <w:rsid w:val="00662C2F"/>
    <w:rsid w:val="00667BAE"/>
    <w:rsid w:val="0067117A"/>
    <w:rsid w:val="0068567B"/>
    <w:rsid w:val="0069464F"/>
    <w:rsid w:val="006B33D1"/>
    <w:rsid w:val="006B39CC"/>
    <w:rsid w:val="006D3F39"/>
    <w:rsid w:val="006D5CCC"/>
    <w:rsid w:val="006E2399"/>
    <w:rsid w:val="006E4F0D"/>
    <w:rsid w:val="006F38AF"/>
    <w:rsid w:val="00714292"/>
    <w:rsid w:val="007149CA"/>
    <w:rsid w:val="00720321"/>
    <w:rsid w:val="00725CF4"/>
    <w:rsid w:val="00726E47"/>
    <w:rsid w:val="007337FF"/>
    <w:rsid w:val="00746169"/>
    <w:rsid w:val="00752232"/>
    <w:rsid w:val="00761940"/>
    <w:rsid w:val="00785AAE"/>
    <w:rsid w:val="007C7F15"/>
    <w:rsid w:val="007E325F"/>
    <w:rsid w:val="007E4292"/>
    <w:rsid w:val="007F30F1"/>
    <w:rsid w:val="008165A8"/>
    <w:rsid w:val="00837C16"/>
    <w:rsid w:val="00841067"/>
    <w:rsid w:val="008557F7"/>
    <w:rsid w:val="00856FED"/>
    <w:rsid w:val="00862F7A"/>
    <w:rsid w:val="0087417B"/>
    <w:rsid w:val="00875153"/>
    <w:rsid w:val="00877BDE"/>
    <w:rsid w:val="008963A2"/>
    <w:rsid w:val="008A1791"/>
    <w:rsid w:val="008B2229"/>
    <w:rsid w:val="008B2875"/>
    <w:rsid w:val="008B58C6"/>
    <w:rsid w:val="008C143B"/>
    <w:rsid w:val="008D51EC"/>
    <w:rsid w:val="008D62E4"/>
    <w:rsid w:val="008E3D08"/>
    <w:rsid w:val="008E544F"/>
    <w:rsid w:val="008E606E"/>
    <w:rsid w:val="008E74E4"/>
    <w:rsid w:val="009312CD"/>
    <w:rsid w:val="00942F51"/>
    <w:rsid w:val="009731EC"/>
    <w:rsid w:val="009859A3"/>
    <w:rsid w:val="009952BD"/>
    <w:rsid w:val="009A549B"/>
    <w:rsid w:val="009B7C32"/>
    <w:rsid w:val="009F6ED5"/>
    <w:rsid w:val="00A25E48"/>
    <w:rsid w:val="00A32229"/>
    <w:rsid w:val="00A334E5"/>
    <w:rsid w:val="00A55135"/>
    <w:rsid w:val="00A55145"/>
    <w:rsid w:val="00A93786"/>
    <w:rsid w:val="00AA28B2"/>
    <w:rsid w:val="00AA2A57"/>
    <w:rsid w:val="00AB30F1"/>
    <w:rsid w:val="00AB6A77"/>
    <w:rsid w:val="00AC3431"/>
    <w:rsid w:val="00AE3374"/>
    <w:rsid w:val="00AE7103"/>
    <w:rsid w:val="00AF4551"/>
    <w:rsid w:val="00AF766E"/>
    <w:rsid w:val="00B013CD"/>
    <w:rsid w:val="00B02F4E"/>
    <w:rsid w:val="00B05E48"/>
    <w:rsid w:val="00B071D1"/>
    <w:rsid w:val="00B3598A"/>
    <w:rsid w:val="00B47C72"/>
    <w:rsid w:val="00B57D12"/>
    <w:rsid w:val="00B62835"/>
    <w:rsid w:val="00B649D3"/>
    <w:rsid w:val="00B73E7B"/>
    <w:rsid w:val="00B87BD5"/>
    <w:rsid w:val="00B92916"/>
    <w:rsid w:val="00B93E1D"/>
    <w:rsid w:val="00BB17A8"/>
    <w:rsid w:val="00BB1B84"/>
    <w:rsid w:val="00BB20B4"/>
    <w:rsid w:val="00BD0F3F"/>
    <w:rsid w:val="00BD2C4D"/>
    <w:rsid w:val="00BD6237"/>
    <w:rsid w:val="00BE41C0"/>
    <w:rsid w:val="00BF1437"/>
    <w:rsid w:val="00C01D40"/>
    <w:rsid w:val="00C048F5"/>
    <w:rsid w:val="00C11B7F"/>
    <w:rsid w:val="00C14545"/>
    <w:rsid w:val="00C15A6D"/>
    <w:rsid w:val="00C30F17"/>
    <w:rsid w:val="00C740F4"/>
    <w:rsid w:val="00C95DD2"/>
    <w:rsid w:val="00C97E23"/>
    <w:rsid w:val="00CA3F85"/>
    <w:rsid w:val="00CB2F26"/>
    <w:rsid w:val="00CB74F4"/>
    <w:rsid w:val="00CF7776"/>
    <w:rsid w:val="00D124CA"/>
    <w:rsid w:val="00D13D8A"/>
    <w:rsid w:val="00D16D03"/>
    <w:rsid w:val="00D24AF0"/>
    <w:rsid w:val="00D45627"/>
    <w:rsid w:val="00D50012"/>
    <w:rsid w:val="00D60DAC"/>
    <w:rsid w:val="00D630FE"/>
    <w:rsid w:val="00D66A22"/>
    <w:rsid w:val="00D76D93"/>
    <w:rsid w:val="00DA69E2"/>
    <w:rsid w:val="00DB5DAB"/>
    <w:rsid w:val="00DC1107"/>
    <w:rsid w:val="00DE2A7E"/>
    <w:rsid w:val="00DF50EE"/>
    <w:rsid w:val="00E044DE"/>
    <w:rsid w:val="00E06855"/>
    <w:rsid w:val="00E26782"/>
    <w:rsid w:val="00E26FEC"/>
    <w:rsid w:val="00E319C2"/>
    <w:rsid w:val="00E3351D"/>
    <w:rsid w:val="00E531C0"/>
    <w:rsid w:val="00E624EF"/>
    <w:rsid w:val="00E77F02"/>
    <w:rsid w:val="00E92986"/>
    <w:rsid w:val="00E97719"/>
    <w:rsid w:val="00EB170D"/>
    <w:rsid w:val="00EC08BE"/>
    <w:rsid w:val="00EC63F3"/>
    <w:rsid w:val="00EC792E"/>
    <w:rsid w:val="00EF4CC1"/>
    <w:rsid w:val="00F14C49"/>
    <w:rsid w:val="00F23EB3"/>
    <w:rsid w:val="00F255F4"/>
    <w:rsid w:val="00F4510A"/>
    <w:rsid w:val="00F71E08"/>
    <w:rsid w:val="00F71EBF"/>
    <w:rsid w:val="00F735A6"/>
    <w:rsid w:val="00F80986"/>
    <w:rsid w:val="00F84A46"/>
    <w:rsid w:val="00F85605"/>
    <w:rsid w:val="00F9072F"/>
    <w:rsid w:val="00F96C39"/>
    <w:rsid w:val="00FA418D"/>
    <w:rsid w:val="00FB3D83"/>
    <w:rsid w:val="00FD0120"/>
    <w:rsid w:val="00FD348F"/>
    <w:rsid w:val="00FF0B2E"/>
    <w:rsid w:val="00FF536A"/>
    <w:rsid w:val="0D0B69B9"/>
    <w:rsid w:val="1AD5775F"/>
    <w:rsid w:val="4E4D7031"/>
    <w:rsid w:val="524850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sz w:val="21"/>
        <w:szCs w:val="21"/>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1"/>
      <w:szCs w:val="21"/>
      <w:kern w:val="0"/>
      <w:sz w:val="22"/>
      <w:szCs w:val="22"/>
      <w:lang w:val="en-US" w:eastAsia="en-US"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496" w:themeColor="accent1" w:themeShade="BF"/>
      <w:sz w:val="28"/>
      <w:szCs w:val="28"/>
    </w:rPr>
  </w:style>
  <w:style w:type="paragraph" w:styleId="6">
    <w:name w:val="heading 5"/>
    <w:basedOn w:val="1"/>
    <w:next w:val="1"/>
    <w:link w:val="37"/>
    <w:semiHidden/>
    <w:unhideWhenUsed/>
    <w:qFormat/>
    <w:uiPriority w:val="9"/>
    <w:pPr>
      <w:keepNext/>
      <w:keepLines/>
      <w:spacing w:before="80" w:after="40"/>
      <w:outlineLvl w:val="4"/>
    </w:pPr>
    <w:rPr>
      <w:rFonts w:cstheme="majorBidi"/>
      <w:color w:val="2F5496" w:themeColor="accent1" w:themeShade="BF"/>
      <w:sz w:val="24"/>
      <w:szCs w:val="24"/>
    </w:rPr>
  </w:style>
  <w:style w:type="paragraph" w:styleId="7">
    <w:name w:val="heading 6"/>
    <w:basedOn w:val="1"/>
    <w:next w:val="1"/>
    <w:link w:val="38"/>
    <w:semiHidden/>
    <w:unhideWhenUsed/>
    <w:qFormat/>
    <w:uiPriority w:val="9"/>
    <w:pPr>
      <w:keepNext/>
      <w:keepLines/>
      <w:spacing w:before="40"/>
      <w:outlineLvl w:val="5"/>
    </w:pPr>
    <w:rPr>
      <w:rFonts w:cstheme="majorBidi"/>
      <w:b/>
      <w:bCs/>
      <w:color w:val="2F5496"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34"/>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585858" w:themeColor="text1" w:themeTint="A6"/>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22"/>
    <w:unhideWhenUsed/>
    <w:uiPriority w:val="99"/>
    <w:pPr>
      <w:tabs>
        <w:tab w:val="center" w:pos="4153"/>
        <w:tab w:val="right" w:pos="8306"/>
      </w:tabs>
      <w:snapToGrid w:val="0"/>
      <w:spacing w:line="240" w:lineRule="auto"/>
    </w:pPr>
    <w:rPr>
      <w:sz w:val="18"/>
      <w:szCs w:val="18"/>
    </w:rPr>
  </w:style>
  <w:style w:type="paragraph" w:styleId="12">
    <w:name w:val="header"/>
    <w:basedOn w:val="1"/>
    <w:link w:val="33"/>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0563C1" w:themeColor="hyperlink"/>
      <w:u w:val="single"/>
    </w:rPr>
  </w:style>
  <w:style w:type="character" w:customStyle="1" w:styleId="18">
    <w:name w:val="标题 4 字符"/>
    <w:basedOn w:val="16"/>
    <w:link w:val="5"/>
    <w:semiHidden/>
    <w:uiPriority w:val="9"/>
    <w:rPr>
      <w:rFonts w:cstheme="majorBidi"/>
      <w:color w:val="2F5496" w:themeColor="accent1" w:themeShade="BF"/>
      <w:sz w:val="28"/>
      <w:szCs w:val="28"/>
    </w:rPr>
  </w:style>
  <w:style w:type="character" w:customStyle="1" w:styleId="19">
    <w:name w:val="标题 1 字符"/>
    <w:basedOn w:val="16"/>
    <w:link w:val="2"/>
    <w:uiPriority w:val="9"/>
    <w:rPr>
      <w:rFonts w:asciiTheme="majorHAnsi" w:hAnsiTheme="majorHAnsi" w:eastAsiaTheme="majorEastAsia" w:cstheme="majorBidi"/>
      <w:color w:val="2F5496" w:themeColor="accent1" w:themeShade="BF"/>
      <w:sz w:val="48"/>
      <w:szCs w:val="48"/>
    </w:rPr>
  </w:style>
  <w:style w:type="paragraph" w:styleId="20">
    <w:name w:val="List Paragraph"/>
    <w:basedOn w:val="1"/>
    <w:qFormat/>
    <w:uiPriority w:val="34"/>
    <w:pPr>
      <w:ind w:left="720"/>
      <w:contextualSpacing/>
    </w:pPr>
  </w:style>
  <w:style w:type="character" w:customStyle="1" w:styleId="21">
    <w:name w:val="标题 2 字符"/>
    <w:basedOn w:val="16"/>
    <w:link w:val="3"/>
    <w:semiHidden/>
    <w:uiPriority w:val="9"/>
    <w:rPr>
      <w:rFonts w:asciiTheme="majorHAnsi" w:hAnsiTheme="majorHAnsi" w:eastAsiaTheme="majorEastAsia" w:cstheme="majorBidi"/>
      <w:color w:val="2F5496" w:themeColor="accent1" w:themeShade="BF"/>
      <w:sz w:val="40"/>
      <w:szCs w:val="40"/>
    </w:rPr>
  </w:style>
  <w:style w:type="character" w:customStyle="1" w:styleId="22">
    <w:name w:val="页脚 字符"/>
    <w:basedOn w:val="16"/>
    <w:link w:val="11"/>
    <w:uiPriority w:val="99"/>
    <w:rPr>
      <w:kern w:val="0"/>
      <w:sz w:val="18"/>
      <w:szCs w:val="18"/>
      <w:lang w:eastAsia="en-US"/>
    </w:rPr>
  </w:style>
  <w:style w:type="character" w:customStyle="1" w:styleId="23">
    <w:name w:val="Intense Emphasis"/>
    <w:basedOn w:val="16"/>
    <w:qFormat/>
    <w:uiPriority w:val="21"/>
    <w:rPr>
      <w:i/>
      <w:iCs/>
      <w:color w:val="2F5496" w:themeColor="accent1" w:themeShade="BF"/>
    </w:rPr>
  </w:style>
  <w:style w:type="character" w:customStyle="1" w:styleId="24">
    <w:name w:val="标题 7 字符"/>
    <w:basedOn w:val="16"/>
    <w:link w:val="8"/>
    <w:semiHidden/>
    <w:uiPriority w:val="9"/>
    <w:rPr>
      <w:rFonts w:cstheme="majorBidi"/>
      <w:b/>
      <w:bCs/>
      <w:color w:val="585858" w:themeColor="text1" w:themeTint="A6"/>
    </w:rPr>
  </w:style>
  <w:style w:type="character" w:customStyle="1" w:styleId="25">
    <w:name w:val="标题 3 字符"/>
    <w:basedOn w:val="16"/>
    <w:link w:val="4"/>
    <w:semiHidden/>
    <w:uiPriority w:val="9"/>
    <w:rPr>
      <w:rFonts w:asciiTheme="majorHAnsi" w:hAnsiTheme="majorHAnsi" w:eastAsiaTheme="majorEastAsia" w:cstheme="majorBidi"/>
      <w:color w:val="2F5496" w:themeColor="accent1" w:themeShade="BF"/>
      <w:sz w:val="32"/>
      <w:szCs w:val="32"/>
    </w:rPr>
  </w:style>
  <w:style w:type="character" w:customStyle="1" w:styleId="26">
    <w:name w:val="明显引用 字符"/>
    <w:basedOn w:val="16"/>
    <w:link w:val="27"/>
    <w:qFormat/>
    <w:uiPriority w:val="30"/>
    <w:rPr>
      <w:i/>
      <w:iCs/>
      <w:color w:val="2F5496" w:themeColor="accent1" w:themeShade="BF"/>
    </w:rPr>
  </w:style>
  <w:style w:type="paragraph" w:styleId="27">
    <w:name w:val="Intense Quote"/>
    <w:basedOn w:val="1"/>
    <w:next w:val="1"/>
    <w:link w:val="2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28">
    <w:name w:val="副标题 字符"/>
    <w:basedOn w:val="16"/>
    <w:link w:val="13"/>
    <w:uiPriority w:val="11"/>
    <w:rPr>
      <w:rFonts w:asciiTheme="majorHAnsi" w:hAnsiTheme="majorHAnsi" w:eastAsiaTheme="majorEastAsia" w:cstheme="majorBidi"/>
      <w:color w:val="585858" w:themeColor="text1" w:themeTint="A6"/>
      <w:spacing w:val="15"/>
      <w:sz w:val="28"/>
      <w:szCs w:val="28"/>
    </w:rPr>
  </w:style>
  <w:style w:type="character" w:customStyle="1" w:styleId="29">
    <w:name w:val="Unresolved Mention"/>
    <w:basedOn w:val="16"/>
    <w:semiHidden/>
    <w:unhideWhenUsed/>
    <w:uiPriority w:val="99"/>
    <w:rPr>
      <w:color w:val="605E5C"/>
      <w:shd w:val="clear" w:color="auto" w:fill="E1DFDD"/>
    </w:rPr>
  </w:style>
  <w:style w:type="character" w:customStyle="1" w:styleId="30">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31">
    <w:name w:val="Intense Reference"/>
    <w:basedOn w:val="16"/>
    <w:qFormat/>
    <w:uiPriority w:val="32"/>
    <w:rPr>
      <w:b/>
      <w:bCs/>
      <w:smallCaps/>
      <w:color w:val="2F5496" w:themeColor="accent1" w:themeShade="BF"/>
      <w:spacing w:val="5"/>
    </w:rPr>
  </w:style>
  <w:style w:type="paragraph" w:styleId="32">
    <w:name w:val="Quote"/>
    <w:basedOn w:val="1"/>
    <w:next w:val="1"/>
    <w:link w:val="35"/>
    <w:qFormat/>
    <w:uiPriority w:val="29"/>
    <w:pPr>
      <w:spacing w:before="160" w:after="160"/>
      <w:jc w:val="center"/>
    </w:pPr>
    <w:rPr>
      <w:i/>
      <w:iCs/>
      <w:color w:val="3F3F3F" w:themeColor="text1" w:themeTint="BF"/>
    </w:rPr>
  </w:style>
  <w:style w:type="character" w:customStyle="1" w:styleId="33">
    <w:name w:val="页眉 字符"/>
    <w:basedOn w:val="16"/>
    <w:link w:val="12"/>
    <w:uiPriority w:val="99"/>
    <w:rPr>
      <w:kern w:val="0"/>
      <w:sz w:val="18"/>
      <w:szCs w:val="18"/>
      <w:lang w:eastAsia="en-US"/>
    </w:rPr>
  </w:style>
  <w:style w:type="character" w:customStyle="1" w:styleId="34">
    <w:name w:val="标题 8 字符"/>
    <w:basedOn w:val="16"/>
    <w:link w:val="9"/>
    <w:semiHidden/>
    <w:uiPriority w:val="9"/>
    <w:rPr>
      <w:rFonts w:cstheme="majorBidi"/>
      <w:color w:val="585858" w:themeColor="text1" w:themeTint="A6"/>
    </w:rPr>
  </w:style>
  <w:style w:type="character" w:customStyle="1" w:styleId="35">
    <w:name w:val="引用 字符"/>
    <w:basedOn w:val="16"/>
    <w:link w:val="32"/>
    <w:uiPriority w:val="29"/>
    <w:rPr>
      <w:i/>
      <w:iCs/>
      <w:color w:val="3F3F3F" w:themeColor="text1" w:themeTint="BF"/>
    </w:rPr>
  </w:style>
  <w:style w:type="character" w:customStyle="1" w:styleId="36">
    <w:name w:val="标题 9 字符"/>
    <w:basedOn w:val="16"/>
    <w:link w:val="10"/>
    <w:semiHidden/>
    <w:uiPriority w:val="9"/>
    <w:rPr>
      <w:rFonts w:eastAsiaTheme="majorEastAsia" w:cstheme="majorBidi"/>
      <w:color w:val="585858" w:themeColor="text1" w:themeTint="A6"/>
    </w:rPr>
  </w:style>
  <w:style w:type="character" w:customStyle="1" w:styleId="37">
    <w:name w:val="标题 5 字符"/>
    <w:basedOn w:val="16"/>
    <w:link w:val="6"/>
    <w:semiHidden/>
    <w:uiPriority w:val="9"/>
    <w:rPr>
      <w:rFonts w:cstheme="majorBidi"/>
      <w:color w:val="2F5496" w:themeColor="accent1" w:themeShade="BF"/>
      <w:sz w:val="24"/>
      <w:szCs w:val="24"/>
    </w:rPr>
  </w:style>
  <w:style w:type="character" w:customStyle="1" w:styleId="38">
    <w:name w:val="标题 6 字符"/>
    <w:basedOn w:val="16"/>
    <w:link w:val="7"/>
    <w:semiHidden/>
    <w:uiPriority w:val="9"/>
    <w:rPr>
      <w:rFonts w:cstheme="majorBidi"/>
      <w:b/>
      <w:bCs/>
      <w:color w:val="2F5496" w:themeColor="accent1" w:themeShade="B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2193</Words>
  <Characters>3897</Characters>
  <TotalTime>1</TotalTime>
  <ScaleCrop>false</ScaleCrop>
  <LinksUpToDate>false</LinksUpToDate>
  <CharactersWithSpaces>4384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2026-09-02T10:21:00Z</dcterms:created>
  <dc:creator>YangWecy.DESKTOP-GVIPJIR</dc:creator>
  <cp:lastModifiedBy> Chloe</cp:lastModifiedBy>
  <dcterms:modified xsi:type="dcterms:W3CDTF">2026-09-02T06:21:40Z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eyJoZGlkIjoiYTBlZjJlNDI2NjAwMDMwMmVkNmViMTJjYTM3MDFmNGQiLCJ1c2VySWQiOiIxMDE5Mzc1NTM0In0=</vt:lpwstr>
  </property>
  <property fmtid="{D5CDD505-2E9C-101B-9397-08002B2CF9AE}" pid="3" name="KSOProductBuildVer">
    <vt:lpwstr>2052-12.1.0.28505</vt:lpwstr>
  </property>
  <property fmtid="{D5CDD505-2E9C-101B-9397-08002B2CF9AE}" pid="4" name="ICV">
    <vt:lpwstr>B5A814FA77FC4186B0CC4E46229F8119_12</vt:lpwstr>
  </property>
</Properties>
</file>