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Lines="18" w:after="54" w:line="300" w:lineRule="auto"/>
        <w:jc w:val="center"/>
      </w:pPr>
      <w:r>
        <w:rPr>
          <w:rFonts w:ascii="Times New Roman" w:hAnsi="Times New Roman" w:eastAsia="黑体" w:cs="Times New Roman"/>
          <w:sz w:val="32"/>
          <w:szCs w:val="32"/>
        </w:rPr>
        <w:t xml:space="preserve">基于动态积分与标签画像的疾控科研人才评价系统设计与实现</w:t>
      </w:r>
    </w:p>
    <w:p>
      <w:pPr>
        <w:spacing w:afterLines="8" w:after="24"/>
        <w:jc w:val="center"/>
      </w:pPr>
      <w:r>
        <w:rPr>
          <w:rFonts w:ascii="Times New Roman" w:hAnsi="Times New Roman" w:eastAsia="楷体" w:cs="Times New Roman"/>
          <w:sz w:val="28"/>
          <w:szCs w:val="28"/>
        </w:rPr>
        <w:t xml:space="preserve">杨文超</w:t>
      </w:r>
    </w:p>
    <w:p>
      <w:pPr>
        <w:spacing w:afterLines="20" w:after="60"/>
        <w:jc w:val="center"/>
      </w:pPr>
      <w:r>
        <w:rPr>
          <w:rFonts w:ascii="Times New Roman" w:hAnsi="Times New Roman" w:eastAsia="宋体" w:cs="Times New Roman"/>
          <w:sz w:val="18"/>
          <w:szCs w:val="18"/>
        </w:rPr>
        <w:t xml:space="preserve">（南通市疾病预防控制中心，江苏 南通　226001）</w:t>
      </w:r>
    </w:p>
    <w:p>
      <w:pPr>
        <w:spacing w:afterLines="8" w:after="24" w:line="280" w:lineRule="auto"/>
        <w:jc w:val="center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Design and Implementation of a Research Talent Evaluation System for CDC Institutions Based on Dynamic Points and Tag Profiling</w:t>
      </w:r>
    </w:p>
    <w:p>
      <w:pPr>
        <w:spacing w:afterLines="6" w:after="18"/>
        <w:jc w:val="center"/>
      </w:pPr>
      <w:r>
        <w:rPr>
          <w:rFonts w:ascii="Times New Roman" w:hAnsi="Times New Roman" w:eastAsia="Times New Roman" w:cs="Times New Roman"/>
          <w:sz w:val="21"/>
          <w:szCs w:val="21"/>
        </w:rPr>
        <w:t xml:space="preserve">YANG Wenchao</w:t>
      </w:r>
    </w:p>
    <w:p>
      <w:pPr>
        <w:spacing w:afterLines="22" w:after="66"/>
        <w:jc w:val="center"/>
      </w:pPr>
      <w:r>
        <w:rPr>
          <w:rFonts w:ascii="Times New Roman" w:hAnsi="Times New Roman" w:eastAsia="Times New Roman" w:cs="Times New Roman"/>
          <w:i/>
          <w:iCs/>
          <w:sz w:val="18"/>
          <w:szCs w:val="18"/>
        </w:rPr>
        <w:t xml:space="preserve">(Nantong Center for Disease Control and Prevention, Nantong 226001, Jiangsu, China)</w:t>
      </w:r>
    </w:p>
    <w:p>
      <w:pPr>
        <w:spacing w:afterLines="6" w:after="18" w:line="270" w:lineRule="auto"/>
      </w:pPr>
      <w:r>
        <w:rPr>
          <w:rFonts w:ascii="Times New Roman" w:hAnsi="Times New Roman" w:eastAsia="宋体" w:cs="Times New Roman"/>
          <w:b/>
          <w:bCs/>
          <w:sz w:val="18"/>
          <w:szCs w:val="18"/>
        </w:rPr>
        <w:t xml:space="preserve">摘要：</w:t>
      </w:r>
      <w:r>
        <w:rPr>
          <w:rFonts w:ascii="Times New Roman" w:hAnsi="Times New Roman" w:eastAsia="宋体" w:cs="Times New Roman"/>
          <w:sz w:val="18"/>
          <w:szCs w:val="18"/>
        </w:rPr>
        <w:t xml:space="preserve">针对疾控机构科研人才评价精细化程度不足的问题，设计并实现了基于 Spring Boot 与 MyBatis 的四层架构科研积分管理系统。提出面向多作者成果的分段权重积分分配模型，并与均分法、调和计数法作对比；设计基于一阶指数加权移动平均的动态标签权重模型（</w:t>
      </w:r>
      <w:r>
        <w:rPr>
          <w:rFonts w:ascii="Times New Roman" w:hAnsi="Times New Roman" w:eastAsia="宋体" w:cs="Times New Roman"/>
          <w:i/>
          <w:iCs/>
          <w:sz w:val="18"/>
          <w:szCs w:val="18"/>
        </w:rPr>
        <w:t xml:space="preserve">α</w:t>
      </w:r>
      <w:r>
        <w:rPr>
          <w:rFonts w:ascii="Times New Roman" w:hAnsi="Times New Roman" w:eastAsia="宋体" w:cs="Times New Roman"/>
          <w:sz w:val="18"/>
          <w:szCs w:val="18"/>
        </w:rPr>
        <w:t xml:space="preserve"> = 0.7），将半衰期约 4.95 年（</w:t>
      </w:r>
      <w:r>
        <w:rPr>
          <w:rFonts w:ascii="Times New Roman" w:hAnsi="Times New Roman" w:eastAsia="宋体" w:cs="Times New Roman"/>
          <w:i/>
          <w:iCs/>
          <w:sz w:val="18"/>
          <w:szCs w:val="18"/>
        </w:rPr>
        <w:t xml:space="preserve">λ</w:t>
      </w:r>
      <w:r>
        <w:rPr>
          <w:rFonts w:ascii="Times New Roman" w:hAnsi="Times New Roman" w:eastAsia="宋体" w:cs="Times New Roman"/>
          <w:sz w:val="18"/>
          <w:szCs w:val="18"/>
        </w:rPr>
        <w:t xml:space="preserve"> = 0.14）的指数时间衰减因子前置嵌入行为积分归一化环节，使标签权重、能力维度得分与人才画像构成量纲一致的统一计算链路；基于有限状态机实现无第三方依赖的四级审批工作流引擎。系统在南通市疾病预防控制中心运行 3 个月，覆盖 15 个业务科室、270 名科研人员，审核周期由平均 </w:t>
      </w:r>
      <w:r>
        <w:rPr>
          <w:rFonts w:ascii="Times New Roman" w:hAnsi="Times New Roman" w:eastAsia="宋体" w:cs="Times New Roman"/>
          <w:sz w:val="21"/>
          <w:szCs w:val="21"/>
          <w:highlight w:val="yellow"/>
        </w:rPr>
        <w:t xml:space="preserve">××</w:t>
      </w:r>
      <w:r>
        <w:rPr>
          <w:rFonts w:ascii="Times New Roman" w:hAnsi="Times New Roman" w:eastAsia="宋体" w:cs="Times New Roman"/>
          <w:sz w:val="18"/>
          <w:szCs w:val="18"/>
        </w:rPr>
        <w:t xml:space="preserve"> 天缩短至 </w:t>
      </w:r>
      <w:r>
        <w:rPr>
          <w:rFonts w:ascii="Times New Roman" w:hAnsi="Times New Roman" w:eastAsia="宋体" w:cs="Times New Roman"/>
          <w:sz w:val="21"/>
          <w:szCs w:val="21"/>
          <w:highlight w:val="yellow"/>
        </w:rPr>
        <w:t xml:space="preserve">××</w:t>
      </w:r>
      <w:r>
        <w:rPr>
          <w:rFonts w:ascii="Times New Roman" w:hAnsi="Times New Roman" w:eastAsia="宋体" w:cs="Times New Roman"/>
          <w:sz w:val="18"/>
          <w:szCs w:val="18"/>
        </w:rPr>
        <w:t xml:space="preserve"> 天，积分核算人为差错率由 5% 降至 0，核心业务平均响应时间为 </w:t>
      </w:r>
      <w:r>
        <w:rPr>
          <w:rFonts w:ascii="Times New Roman" w:hAnsi="Times New Roman" w:eastAsia="宋体" w:cs="Times New Roman"/>
          <w:sz w:val="21"/>
          <w:szCs w:val="21"/>
          <w:highlight w:val="yellow"/>
        </w:rPr>
        <w:t xml:space="preserve">××</w:t>
      </w:r>
      <w:r>
        <w:rPr>
          <w:rFonts w:ascii="Times New Roman" w:hAnsi="Times New Roman" w:eastAsia="宋体" w:cs="Times New Roman"/>
          <w:sz w:val="18"/>
          <w:szCs w:val="18"/>
        </w:rPr>
        <w:t xml:space="preserve"> ms。“积分量化 + 标签画像”双维度模式可为同类公共卫生机构提供参考。</w:t>
      </w:r>
    </w:p>
    <w:p>
      <w:pPr>
        <w:spacing w:afterLines="6" w:after="18" w:line="270" w:lineRule="auto"/>
      </w:pPr>
      <w:r>
        <w:rPr>
          <w:rFonts w:ascii="Times New Roman" w:hAnsi="Times New Roman" w:eastAsia="宋体" w:cs="Times New Roman"/>
          <w:b/>
          <w:bCs/>
          <w:sz w:val="18"/>
          <w:szCs w:val="18"/>
        </w:rPr>
        <w:t xml:space="preserve">关键词：</w:t>
      </w:r>
      <w:r>
        <w:rPr>
          <w:rFonts w:ascii="Times New Roman" w:hAnsi="Times New Roman" w:eastAsia="宋体" w:cs="Times New Roman"/>
          <w:sz w:val="18"/>
          <w:szCs w:val="18"/>
        </w:rPr>
        <w:t xml:space="preserve">积分量化评价；标签权重模型；时间衰减算法；工作流引擎；前后端分离架构</w:t>
      </w:r>
    </w:p>
    <w:p>
      <w:pPr>
        <w:spacing w:afterLines="20" w:after="60" w:line="270" w:lineRule="auto"/>
      </w:pPr>
      <w:r>
        <w:rPr>
          <w:rFonts w:ascii="Times New Roman" w:hAnsi="Times New Roman" w:eastAsia="宋体" w:cs="Times New Roman"/>
          <w:b/>
          <w:bCs/>
          <w:sz w:val="18"/>
          <w:szCs w:val="18"/>
        </w:rPr>
        <w:t xml:space="preserve">中图分类号：</w:t>
      </w:r>
      <w:r>
        <w:rPr>
          <w:rFonts w:ascii="Times New Roman" w:hAnsi="Times New Roman" w:eastAsia="宋体" w:cs="Times New Roman"/>
          <w:sz w:val="18"/>
          <w:szCs w:val="18"/>
        </w:rPr>
        <w:t xml:space="preserve">TP311.5　　</w:t>
      </w:r>
      <w:r>
        <w:rPr>
          <w:rFonts w:ascii="Times New Roman" w:hAnsi="Times New Roman" w:eastAsia="宋体" w:cs="Times New Roman"/>
          <w:b/>
          <w:bCs/>
          <w:sz w:val="18"/>
          <w:szCs w:val="18"/>
        </w:rPr>
        <w:t xml:space="preserve">文献标识码：</w:t>
      </w:r>
      <w:r>
        <w:rPr>
          <w:rFonts w:ascii="Times New Roman" w:hAnsi="Times New Roman" w:eastAsia="宋体" w:cs="Times New Roman"/>
          <w:sz w:val="18"/>
          <w:szCs w:val="18"/>
        </w:rPr>
        <w:t xml:space="preserve">A</w:t>
      </w:r>
    </w:p>
    <w:p>
      <w:pPr>
        <w:spacing w:afterLines="6" w:after="18" w:line="270" w:lineRule="auto"/>
      </w:pPr>
      <w:r>
        <w:rPr>
          <w:rFonts w:ascii="Times New Roman" w:hAnsi="Times New Roman" w:eastAsia="Times New Roman" w:cs="Times New Roman"/>
          <w:b/>
          <w:bCs/>
          <w:sz w:val="18"/>
          <w:szCs w:val="18"/>
        </w:rPr>
        <w:t xml:space="preserve">Abstract: 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To address the insufficient granularity of research talent evaluation in centers for disease control and prevention, a four-layer research points management system based on Spring Boot and MyBatis is designed and implemented. A piecewise weighting model is proposed for allocating points among the multiple authors of a research output and is compared with the equal-sharing and harmonic counting methods. A dynamic tag weight model based on a first-order exponentially weighted moving average is designed, into which an exponential time-decay factor with a half-life of about 4.95 years is embedded ahead of behaviour-score normalization, so that tag weights, capability dimension scores and the talent profile form a single dimensionally consistent computation chain. A lightweight four-level approval workflow engine is implemented as a finite state machine without third-party dependency. Running at Nantong Center for Disease Control and Prevention for three months and covering 15 divisions and 270 researchers, the system shortened the average approval cycle from </w:t>
      </w:r>
      <w:r>
        <w:rPr>
          <w:rFonts w:ascii="Times New Roman" w:hAnsi="Times New Roman" w:eastAsia="宋体" w:cs="Times New Roman"/>
          <w:sz w:val="21"/>
          <w:szCs w:val="21"/>
          <w:highlight w:val="yellow"/>
        </w:rPr>
        <w:t xml:space="preserve">××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days to </w:t>
      </w:r>
      <w:r>
        <w:rPr>
          <w:rFonts w:ascii="Times New Roman" w:hAnsi="Times New Roman" w:eastAsia="宋体" w:cs="Times New Roman"/>
          <w:sz w:val="21"/>
          <w:szCs w:val="21"/>
          <w:highlight w:val="yellow"/>
        </w:rPr>
        <w:t xml:space="preserve">××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days, eliminated manual errors in points accounting, and kept the average response time of core services at </w:t>
      </w:r>
      <w:r>
        <w:rPr>
          <w:rFonts w:ascii="Times New Roman" w:hAnsi="Times New Roman" w:eastAsia="宋体" w:cs="Times New Roman"/>
          <w:sz w:val="21"/>
          <w:szCs w:val="21"/>
          <w:highlight w:val="yellow"/>
        </w:rPr>
        <w:t xml:space="preserve">××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ms. The dual-dimension model of points-based quantification combined with tag profiling provides a reference for research management informatization in comparable public health institutions.</w:t>
      </w:r>
    </w:p>
    <w:p>
      <w:pPr>
        <w:spacing w:afterLines="20" w:after="60" w:line="270" w:lineRule="auto"/>
      </w:pPr>
      <w:r>
        <w:rPr>
          <w:rFonts w:ascii="Times New Roman" w:hAnsi="Times New Roman" w:eastAsia="Times New Roman" w:cs="Times New Roman"/>
          <w:b/>
          <w:bCs/>
          <w:sz w:val="18"/>
          <w:szCs w:val="18"/>
        </w:rPr>
        <w:t xml:space="preserve">Key words: 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points-based quantitative evaluation; tag weight model; time decay algorithm; workflow engine; front-end and back-end separation architecture</w:t>
      </w:r>
    </w:p>
    <w:p>
      <w:pPr>
        <w:keepNext/>
        <w:keepLines/>
        <w:spacing w:beforeLines="50" w:before="150" w:afterLines="30" w:after="90"/>
        <w:outlineLvl w:val="0"/>
      </w:pPr>
      <w:r>
        <w:rPr>
          <w:rFonts w:ascii="Times New Roman" w:hAnsi="Times New Roman" w:eastAsia="黑体" w:cs="Times New Roman"/>
          <w:sz w:val="24"/>
          <w:szCs w:val="24"/>
        </w:rPr>
        <w:t xml:space="preserve">1  引言</w:t>
      </w:r>
    </w:p>
    <w:p>
      <w:pPr>
        <w:spacing w:line="300" w:lineRule="auto"/>
        <w:ind w:firstLineChars="200" w:firstLine="420"/>
      </w:pPr>
      <w:r>
        <w:rPr>
          <w:rFonts w:ascii="Times New Roman" w:hAnsi="Times New Roman" w:eastAsia="宋体" w:cs="Times New Roman"/>
          <w:sz w:val="21"/>
          <w:szCs w:val="21"/>
        </w:rPr>
        <w:t xml:space="preserve">在“科教兴卫、人才强卫”战略指引下，各级疾病预防控制机构日益重视科研能力建设，但基层疾控机构的科研人才评价仍存在方式粗放、“四唯”倾向明显、缺少动态量化手段等问题[1-2]，难以支撑科研梯队建设与精准激励。</w:t>
      </w:r>
    </w:p>
    <w:p>
      <w:pPr>
        <w:spacing w:line="300" w:lineRule="auto"/>
        <w:ind w:firstLineChars="200" w:firstLine="420"/>
      </w:pPr>
      <w:r>
        <w:rPr>
          <w:rFonts w:ascii="Times New Roman" w:hAnsi="Times New Roman" w:eastAsia="宋体" w:cs="Times New Roman"/>
          <w:sz w:val="21"/>
          <w:szCs w:val="21"/>
        </w:rPr>
        <w:t xml:space="preserve">科研评价量化方面，李涛等[1]、沈杨阳[2]与 Amaral 等[3]分别从指标体系、组织机制与经费分配角度作了探讨，但评价对象均为机构而非个人；Lei[4]面向“破五唯”设计的高校教师分类绩效指标体系与本文思路接近，但其指标构成与疾控机构以公共卫生服务、现场流行病学调查为主的产出结构差异较大。人才画像方面，罗仕鉴等[9]与白菁昊等[10]验证了动态标签刻画能力演进的有效性，但其权重更新机制面向消费与学习行为，未考虑科研成果的长周期性与时效衰减特征。系统实现方面，刘盛等[6]与张岩[8]验证了 Spring Boot 技术栈在卫生行业的适用性，但功能定位偏向业务数据管理，未涉及评价的量化建模。</w:t>
      </w:r>
    </w:p>
    <w:p>
      <w:pPr>
        <w:spacing w:line="300" w:lineRule="auto"/>
        <w:ind w:firstLineChars="200" w:firstLine="420"/>
      </w:pPr>
      <w:r>
        <w:rPr>
          <w:rFonts w:ascii="Times New Roman" w:hAnsi="Times New Roman" w:eastAsia="宋体" w:cs="Times New Roman"/>
          <w:sz w:val="21"/>
          <w:szCs w:val="21"/>
        </w:rPr>
        <w:t xml:space="preserve">可见，面向公共卫生领域、同时整合积分量化与人才标签画像的专用科研管理系统仍比较少见。本文的主要工作如下：① 提出面向多作者成果的分段权重积分分配模型，给出其与均分法、调和计数法的对比及在积分总量口径上的制度性约束；② 构建“指数加权移动平均标签权重 + 指数时间衰减”的动态画像模型，将时间衰减前置于行为积分归一化环节，使标签权重、能力维度得分与可视化画像构成量纲一致的统一计算链路；③ 实现无第三方框架依赖的状态机工作流引擎与可配置积分规则引擎，支持审核环节与积分规则的免发布调整。系统面向的南通市疾控中心设有 15 个业务科室、270 名科研人员，科研成果涵盖 12 个大类，核心业务响应时间要求控制在 3 s 以内。</w:t>
      </w:r>
    </w:p>
    <w:p>
      <w:pPr>
        <w:keepNext/>
        <w:keepLines/>
        <w:spacing w:beforeLines="50" w:before="150" w:afterLines="30" w:after="90"/>
        <w:outlineLvl w:val="0"/>
      </w:pPr>
      <w:r>
        <w:rPr>
          <w:rFonts w:ascii="Times New Roman" w:hAnsi="Times New Roman" w:eastAsia="黑体" w:cs="Times New Roman"/>
          <w:sz w:val="24"/>
          <w:szCs w:val="24"/>
        </w:rPr>
        <w:t xml:space="preserve">2  系统总体架构</w:t>
      </w:r>
    </w:p>
    <w:p>
      <w:pPr>
        <w:spacing w:line="300" w:lineRule="auto"/>
        <w:ind w:firstLineChars="200" w:firstLine="420"/>
      </w:pPr>
      <w:r>
        <w:rPr>
          <w:rFonts w:ascii="Times New Roman" w:hAnsi="Times New Roman" w:eastAsia="宋体" w:cs="Times New Roman"/>
          <w:sz w:val="21"/>
          <w:szCs w:val="21"/>
        </w:rPr>
        <w:t xml:space="preserve">系统采用四层架构：表现层由 Spring Boot 的 @RestController 构成，负责接收 HTTP 请求并调用业务服务，实现前后端分离；业务逻辑层由 Service 组件构成，封装积分计算、审核流程控制、画像生成与排行统计等规则并管理事务；数据访问层通过 MyBatis 的 Mapper 接口与 XML 映射文件实现对象关系映射，可在复杂场景下直接优化 SQL[8]；数据层负责持久化与存储管理。前端采用 Vue.js，通过 RESTful API 与后端交互；数据库选用 MySQL 8.0，并引入 Redis 缓存提升查询效率[5-8]。分层架构如图 1 所示。</w:t>
      </w:r>
    </w:p>
    <w:p>
      <w:pPr>
        <w:keepNext/>
        <w:keepLines/>
        <w:spacing w:beforeLines="15" w:before="45" w:afterLines="5" w:after="15"/>
        <w:jc w:val="center"/>
      </w:pPr>
      <w:r>
        <w:rPr>
          <w:rFonts w:ascii="Times New Roman" w:hAnsi="Times New Roman" w:eastAsia="宋体" w:cs="Times New Roman"/>
          <w:sz w:val="21"/>
          <w:szCs w:val="21"/>
        </w:rPr>
        <w:drawing>
          <wp:anchor distT="0" distB="0" distL="114300" distR="114300" simplePos="0" relativeHeight="251602432" behindDoc="0" locked="0" layoutInCell="1" allowOverlap="1" wp14:anchorId="1A1F1FF7" wp14:editId="59EEC34D">
            <wp:simplePos x="0" y="0"/>
            <wp:positionH relativeFrom="column">
              <wp:posOffset>882650</wp:posOffset>
            </wp:positionH>
            <wp:positionV relativeFrom="paragraph">
              <wp:posOffset>302260</wp:posOffset>
            </wp:positionV>
            <wp:extent cx="2926080" cy="2713806"/>
            <wp:effectExtent l="0" t="0" r="0" b="0"/>
            <wp:wrapNone/>
            <wp:docPr id="1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080" cy="27138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keepNext/>
        <w:keepLines/>
        <w:spacing w:beforeLines="10" w:before="30" w:afterLines="30" w:after="90"/>
        <w:jc w:val="center"/>
      </w:pPr>
      <w:r>
        <w:rPr>
          <w:rFonts w:ascii="Times New Roman" w:hAnsi="Times New Roman" w:eastAsia="黑体" w:cs="Times New Roman"/>
          <w:sz w:val="18"/>
          <w:szCs w:val="18"/>
        </w:rPr>
        <w:t xml:space="preserve">图 1  系统分层架构</w:t>
      </w:r>
    </w:p>
    <w:p>
      <w:pPr>
        <w:keepNext/>
        <w:keepLines/>
        <w:spacing w:beforeLines="50" w:before="150" w:afterLines="30" w:after="90"/>
        <w:outlineLvl w:val="0"/>
      </w:pPr>
      <w:r>
        <w:rPr>
          <w:rFonts w:ascii="Times New Roman" w:hAnsi="Times New Roman" w:eastAsia="黑体" w:cs="Times New Roman"/>
          <w:sz w:val="24"/>
          <w:szCs w:val="24"/>
        </w:rPr>
        <w:t xml:space="preserve">3  核心功能模块设计</w:t>
      </w:r>
    </w:p>
    <w:p>
      <w:pPr>
        <w:spacing w:line="300" w:lineRule="auto"/>
        <w:ind w:firstLineChars="200" w:firstLine="420"/>
      </w:pPr>
      <w:r>
        <w:rPr>
          <w:rFonts w:ascii="Times New Roman" w:hAnsi="Times New Roman" w:eastAsia="宋体" w:cs="Times New Roman"/>
          <w:sz w:val="21"/>
          <w:szCs w:val="21"/>
        </w:rPr>
        <w:t xml:space="preserve">系统设计了五大功能模块，构成申报、计算、画像、展示、权限的完整闭环，如图 2 所示。积分管理模块支持可视化配置 12 大类 46 项积分规则，成果提交后由计算引擎自动校验并核算分值、生成积分流水[8-9]；人才画像模块构建涵盖结构化标签（学历、职称、专业）与非结构化能力标签（科研能力、项目管理、数据分析）的动态标签体系，自动关联积分流水与科研成果[9-10]；统计分析模块的“人才晴雨表”仪表盘集成 Apache ECharts，支持多维交叉统计与数据下钻；申报审核模块内置轻量级工作流引擎驱动四级审批；系统管理模块采用 RBAC 模型构建用户—角色—权限三层架构，预设 5 类角色，并承担基础数据维护、规则调整与操作日志审计等职能[11-13]。</w:t>
      </w:r>
    </w:p>
    <w:p>
      <w:pPr>
        <w:keepNext/>
        <w:keepLines/>
        <w:spacing w:beforeLines="15" w:before="45" w:afterLines="5" w:after="15"/>
        <w:jc w:val="center"/>
      </w:pPr>
      <w:r>
        <w:rPr>
          <w:rFonts w:ascii="Times New Roman" w:hAnsi="Times New Roman" w:eastAsia="宋体" w:cs="Times New Roman"/>
          <w:sz w:val="21"/>
          <w:szCs w:val="21"/>
        </w:rPr>
        <w:drawing>
          <wp:anchor distT="0" distB="0" distL="114300" distR="114300" simplePos="0" relativeHeight="251605504" behindDoc="0" locked="0" layoutInCell="1" allowOverlap="1" wp14:anchorId="68644931" wp14:editId="24382D51">
            <wp:simplePos x="0" y="0"/>
            <wp:positionH relativeFrom="column">
              <wp:posOffset>0</wp:posOffset>
            </wp:positionH>
            <wp:positionV relativeFrom="paragraph">
              <wp:posOffset>95250</wp:posOffset>
            </wp:positionV>
            <wp:extent cx="5120640" cy="2360552"/>
            <wp:effectExtent l="0" t="0" r="635" b="6350"/>
            <wp:wrapNone/>
            <wp:docPr id="102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091618" name="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3605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>
      <w:pPr>
        <w:keepNext/>
        <w:keepLines/>
        <w:spacing w:beforeLines="10" w:before="30" w:afterLines="30" w:after="90"/>
        <w:jc w:val="center"/>
      </w:pPr>
      <w:r>
        <w:rPr>
          <w:rFonts w:ascii="Times New Roman" w:hAnsi="Times New Roman" w:eastAsia="黑体" w:cs="Times New Roman"/>
          <w:sz w:val="18"/>
          <w:szCs w:val="18"/>
        </w:rPr>
        <w:t xml:space="preserve">图 2  功能模块详细设计</w:t>
      </w:r>
    </w:p>
    <w:p>
      <w:pPr>
        <w:keepNext/>
        <w:keepLines/>
        <w:spacing w:beforeLines="50" w:before="150" w:afterLines="30" w:after="90"/>
        <w:outlineLvl w:val="0"/>
      </w:pPr>
      <w:r>
        <w:rPr>
          <w:rFonts w:ascii="Times New Roman" w:hAnsi="Times New Roman" w:eastAsia="黑体" w:cs="Times New Roman"/>
          <w:sz w:val="24"/>
          <w:szCs w:val="24"/>
        </w:rPr>
        <w:t xml:space="preserve">4  关键技术实现</w:t>
      </w:r>
    </w:p>
    <w:p>
      <w:pPr>
        <w:keepNext/>
        <w:keepLines/>
        <w:spacing w:beforeLines="30" w:before="90" w:afterLines="20" w:after="60"/>
        <w:outlineLvl w:val="1"/>
      </w:pPr>
      <w:r>
        <w:rPr>
          <w:rFonts w:ascii="Times New Roman" w:hAnsi="Times New Roman" w:eastAsia="黑体" w:cs="Times New Roman"/>
          <w:sz w:val="21"/>
          <w:szCs w:val="21"/>
        </w:rPr>
        <w:t xml:space="preserve">4.1  可配置积分规则引擎</w:t>
      </w:r>
    </w:p>
    <w:p>
      <w:pPr>
        <w:spacing w:line="300" w:lineRule="auto"/>
        <w:ind w:firstLineChars="200" w:firstLine="420"/>
      </w:pPr>
      <w:r>
        <w:rPr>
          <w:rFonts w:ascii="Times New Roman" w:hAnsi="Times New Roman" w:eastAsia="宋体" w:cs="Times New Roman"/>
          <w:sz w:val="21"/>
          <w:szCs w:val="21"/>
        </w:rPr>
        <w:t xml:space="preserve">传统实现中积分规则的调整需修改代码并重新发布。为此，系统将全部积分规则存入数据库配置表：points_category 存储 12 个成果大类，points_item 定义分值标准、年度上限、有效期与适用职称范围，points_record 记录积分变动明细。管理员在后台修改配置即可实时生效，无需重新编译部署。为确保数据一致性，系统采用 Spring 声明式事务，将成果校验、重复申报拦截、年度上限判断、按作者排序分配、总积分更新与流水生成封装在同一事务中，任一步骤出错即回滚。</w:t>
      </w:r>
    </w:p>
    <w:p>
      <w:pPr>
        <w:keepNext/>
        <w:keepLines/>
        <w:spacing w:beforeLines="30" w:before="90" w:afterLines="20" w:after="60"/>
        <w:outlineLvl w:val="1"/>
      </w:pPr>
      <w:r>
        <w:rPr>
          <w:rFonts w:ascii="Times New Roman" w:hAnsi="Times New Roman" w:eastAsia="黑体" w:cs="Times New Roman"/>
          <w:sz w:val="21"/>
          <w:szCs w:val="21"/>
        </w:rPr>
        <w:t xml:space="preserve">4.2  多作者积分权重分配模型</w:t>
      </w:r>
    </w:p>
    <w:p>
      <w:pPr>
        <w:spacing w:line="300" w:lineRule="auto"/>
        <w:ind w:firstLineChars="200" w:firstLine="420"/>
      </w:pPr>
      <w:r>
        <w:rPr>
          <w:rFonts w:ascii="Times New Roman" w:hAnsi="Times New Roman" w:eastAsia="宋体" w:cs="Times New Roman"/>
          <w:sz w:val="21"/>
          <w:szCs w:val="21"/>
        </w:rPr>
        <w:t xml:space="preserve">结合该中心的科研管理实践，本文采用基于 Kronecker δ 函数的分段权重模型对作者序位与分配系数的映射关系统一建模，如式(1)、式(2)所示。</w:t>
      </w:r>
    </w:p>
    <w:p>
      <w:pPr>
        <w:keepNext/>
        <w:keepLines/>
        <w:tabs>
          <w:tab w:val="center" w:pos="4153"/>
          <w:tab w:val="right" w:pos="8306"/>
        </w:tabs>
        <w:spacing w:beforeLines="15" w:before="45" w:afterLines="15" w:after="45"/>
      </w:pPr>
      <w:r>
        <w:tab/>
      </w:r>
      <m:oMath>
        <m:sSub>
          <m:e>
            <m:r>
              <w:rPr>
                <w:rFonts w:ascii="Cambria Math" w:hAnsi="Cambria Math"/>
                <w:sz w:val="21"/>
                <w:szCs w:val="21"/>
              </w:rPr>
              <m:t>S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sz w:val="21"/>
            <w:szCs w:val="21"/>
          </w:rPr>
          <m:t> = </m:t>
        </m:r>
        <m:sSub>
          <m:e>
            <m:r>
              <w:rPr>
                <w:rFonts w:ascii="Cambria Math" w:hAnsi="Cambria Math"/>
                <w:sz w:val="21"/>
                <w:szCs w:val="21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total</m:t>
            </m:r>
          </m:sub>
        </m:sSub>
        <m:r>
          <m:rPr>
            <m:sty m:val="p"/>
          </m:rPr>
          <w:rPr>
            <w:rFonts w:ascii="Cambria Math" w:hAnsi="Cambria Math"/>
            <w:sz w:val="21"/>
            <w:szCs w:val="21"/>
          </w:rPr>
          <m:t> × </m:t>
        </m:r>
        <m:d>
          <m:dPr>
            <m:begChr m:val="("/>
            <m:endChr m:val=")"/>
            <m:ctrlPr/>
          </m:d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0.2 + 0.8</m:t>
            </m:r>
            <m:sSub>
              <m:e>
                <m:r>
                  <w:rPr>
                    <w:rFonts w:ascii="Cambria Math" w:hAnsi="Cambria Math"/>
                    <w:sz w:val="21"/>
                    <w:szCs w:val="21"/>
                  </w:rPr>
                  <m:t>δ</m:t>
                </m:r>
              </m:e>
              <m:sub>
                <m:r>
                  <w:rPr>
                    <w:rFonts w:ascii="Cambria Math" w:hAnsi="Cambria Math"/>
                    <w:sz w:val="21"/>
                    <w:szCs w:val="21"/>
                  </w:rPr>
                  <m:t>i,1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 + 0.6</m:t>
            </m:r>
            <m:sSub>
              <m:e>
                <m:r>
                  <w:rPr>
                    <w:rFonts w:ascii="Cambria Math" w:hAnsi="Cambria Math"/>
                    <w:sz w:val="21"/>
                    <w:szCs w:val="21"/>
                  </w:rPr>
                  <m:t>δ</m:t>
                </m:r>
              </m:e>
              <m:sub>
                <m:r>
                  <w:rPr>
                    <w:rFonts w:ascii="Cambria Math" w:hAnsi="Cambria Math"/>
                    <w:sz w:val="21"/>
                    <w:szCs w:val="21"/>
                  </w:rPr>
                  <m:t>i,2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 + 0.3</m:t>
            </m:r>
            <m:sSub>
              <m:e>
                <m:r>
                  <w:rPr>
                    <w:rFonts w:ascii="Cambria Math" w:hAnsi="Cambria Math"/>
                    <w:sz w:val="21"/>
                    <w:szCs w:val="21"/>
                  </w:rPr>
                  <m:t>δ</m:t>
                </m:r>
              </m:e>
              <m:sub>
                <m:r>
                  <w:rPr>
                    <w:rFonts w:ascii="Cambria Math" w:hAnsi="Cambria Math"/>
                    <w:sz w:val="21"/>
                    <w:szCs w:val="21"/>
                  </w:rPr>
                  <m:t>i,3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sz w:val="21"/>
            <w:szCs w:val="21"/>
          </w:rPr>
          <m:t>,    </m:t>
        </m:r>
        <m:r>
          <w:rPr>
            <w:rFonts w:ascii="Cambria Math" w:hAnsi="Cambria Math"/>
            <w:sz w:val="21"/>
            <w:szCs w:val="21"/>
          </w:rPr>
          <m:t>i</m:t>
        </m:r>
        <m:r>
          <m:rPr>
            <m:sty m:val="p"/>
          </m:rPr>
          <w:rPr>
            <w:rFonts w:ascii="Cambria Math" w:hAnsi="Cambria Math"/>
            <w:sz w:val="21"/>
            <w:szCs w:val="21"/>
          </w:rPr>
          <m:t> = 1, 2, …, </m:t>
        </m:r>
        <m:r>
          <w:rPr>
            <w:rFonts w:ascii="Cambria Math" w:hAnsi="Cambria Math"/>
            <w:sz w:val="21"/>
            <w:szCs w:val="21"/>
          </w:rPr>
          <m:t>n</m:t>
        </m:r>
      </m:oMath>
      <w:r>
        <w:tab/>
      </w:r>
      <w:r>
        <w:rPr>
          <w:rFonts w:ascii="Times New Roman" w:hAnsi="Times New Roman" w:eastAsia="宋体" w:cs="Times New Roman"/>
          <w:sz w:val="21"/>
          <w:szCs w:val="21"/>
        </w:rPr>
        <w:t xml:space="preserve">(1)</w:t>
      </w:r>
    </w:p>
    <w:p>
      <w:pPr>
        <w:keepNext/>
        <w:keepLines/>
        <w:tabs>
          <w:tab w:val="center" w:pos="4153"/>
          <w:tab w:val="right" w:pos="8306"/>
        </w:tabs>
        <w:spacing w:beforeLines="15" w:before="45" w:afterLines="15" w:after="45"/>
      </w:pPr>
      <w:r>
        <w:tab/>
      </w:r>
      <m:oMath>
        <m:sSub>
          <m:e>
            <m:r>
              <w:rPr>
                <w:rFonts w:ascii="Cambria Math" w:hAnsi="Cambria Math"/>
                <w:sz w:val="21"/>
                <w:szCs w:val="21"/>
              </w:rPr>
              <m:t>δ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i,j</m:t>
            </m:r>
          </m:sub>
        </m:sSub>
        <m:r>
          <m:rPr>
            <m:sty m:val="p"/>
          </m:rPr>
          <w:rPr>
            <w:rFonts w:ascii="Cambria Math" w:hAnsi="Cambria Math"/>
            <w:sz w:val="21"/>
            <w:szCs w:val="21"/>
          </w:rPr>
          <m:t> = </m:t>
        </m:r>
        <m:d>
          <m:dPr>
            <m:begChr m:val="{"/>
            <m:endChr m:val=""/>
            <m:ctrlPr/>
          </m:dPr>
          <m:e>
            <m:m>
              <m:mPr>
                <m:mcs>
                  <m:mc>
                    <m:mcPr>
                      <m:count m:val="2"/>
                      <m:mcJc m:val="left"/>
                    </m:mcPr>
                  </m:mc>
                </m:mcs>
                <m:ctrlPr/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1,</m:t>
                  </m:r>
                </m:e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 = </m:t>
                  </m:r>
                  <m:r>
                    <w:rPr>
                      <w:rFonts w:ascii="Cambria Math" w:hAnsi="Cambria Math"/>
                      <w:sz w:val="21"/>
                      <w:szCs w:val="21"/>
                    </w:rPr>
                    <m:t>j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0,</m:t>
                  </m:r>
                </m:e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 ≠ </m:t>
                  </m:r>
                  <m:r>
                    <w:rPr>
                      <w:rFonts w:ascii="Cambria Math" w:hAnsi="Cambria Math"/>
                      <w:sz w:val="21"/>
                      <w:szCs w:val="21"/>
                    </w:rPr>
                    <m:t>j</m:t>
                  </m:r>
                </m:e>
              </m:mr>
            </m:m>
          </m:e>
        </m:d>
      </m:oMath>
      <w:r>
        <w:tab/>
      </w:r>
      <w:r>
        <w:rPr>
          <w:rFonts w:ascii="Times New Roman" w:hAnsi="Times New Roman" w:eastAsia="宋体" w:cs="Times New Roman"/>
          <w:sz w:val="21"/>
          <w:szCs w:val="21"/>
        </w:rPr>
        <w:t xml:space="preserve">(2)</w:t>
      </w:r>
    </w:p>
    <w:p>
      <w:pPr>
        <w:spacing w:line="300" w:lineRule="auto"/>
        <w:ind w:firstLineChars="200" w:firstLine="420"/>
      </w:pPr>
      <w:r>
        <w:rPr>
          <w:rFonts w:ascii="Times New Roman" w:hAnsi="Times New Roman" w:eastAsia="宋体" w:cs="Times New Roman"/>
          <w:sz w:val="21"/>
          <w:szCs w:val="21"/>
        </w:rPr>
        <w:t xml:space="preserve">式中：</w:t>
      </w:r>
      <w:r>
        <w:rPr>
          <w:rFonts w:ascii="Times New Roman" w:hAnsi="Times New Roman" w:eastAsia="宋体" w:cs="Times New Roman"/>
          <w:i/>
          <w:iCs/>
          <w:sz w:val="21"/>
          <w:szCs w:val="21"/>
        </w:rPr>
        <w:t xml:space="preserve">S</w:t>
      </w:r>
      <w:r>
        <w:rPr>
          <w:rFonts w:ascii="Times New Roman" w:hAnsi="Times New Roman" w:eastAsia="宋体" w:cs="Times New Roman"/>
          <w:sz w:val="21"/>
          <w:szCs w:val="21"/>
          <w:vertAlign w:val="subscript"/>
        </w:rPr>
        <w:t xml:space="preserve">i</w:t>
      </w:r>
      <w:r>
        <w:rPr>
          <w:rFonts w:ascii="Times New Roman" w:hAnsi="Times New Roman" w:eastAsia="宋体" w:cs="Times New Roman"/>
          <w:sz w:val="21"/>
          <w:szCs w:val="21"/>
        </w:rPr>
        <w:t xml:space="preserve"> 为第 </w:t>
      </w:r>
      <w:r>
        <w:rPr>
          <w:rFonts w:ascii="Times New Roman" w:hAnsi="Times New Roman" w:eastAsia="宋体" w:cs="Times New Roman"/>
          <w:i/>
          <w:iCs/>
          <w:sz w:val="21"/>
          <w:szCs w:val="21"/>
        </w:rPr>
        <w:t xml:space="preserve">i</w:t>
      </w:r>
      <w:r>
        <w:rPr>
          <w:rFonts w:ascii="Times New Roman" w:hAnsi="Times New Roman" w:eastAsia="宋体" w:cs="Times New Roman"/>
          <w:sz w:val="21"/>
          <w:szCs w:val="21"/>
        </w:rPr>
        <w:t xml:space="preserve"> 作者获得的积分；</w:t>
      </w:r>
      <w:r>
        <w:rPr>
          <w:rFonts w:ascii="Times New Roman" w:hAnsi="Times New Roman" w:eastAsia="宋体" w:cs="Times New Roman"/>
          <w:i/>
          <w:iCs/>
          <w:sz w:val="21"/>
          <w:szCs w:val="21"/>
        </w:rPr>
        <w:t xml:space="preserve">S</w:t>
      </w:r>
      <w:r>
        <w:rPr>
          <w:rFonts w:ascii="Times New Roman" w:hAnsi="Times New Roman" w:eastAsia="宋体" w:cs="Times New Roman"/>
          <w:sz w:val="21"/>
          <w:szCs w:val="21"/>
          <w:vertAlign w:val="subscript"/>
        </w:rPr>
        <w:t xml:space="preserve">total</w:t>
      </w:r>
      <w:r>
        <w:rPr>
          <w:rFonts w:ascii="Times New Roman" w:hAnsi="Times New Roman" w:eastAsia="宋体" w:cs="Times New Roman"/>
          <w:sz w:val="21"/>
          <w:szCs w:val="21"/>
        </w:rPr>
        <w:t xml:space="preserve"> 为成果标准积分；</w:t>
      </w:r>
      <w:r>
        <w:rPr>
          <w:rFonts w:ascii="Times New Roman" w:hAnsi="Times New Roman" w:eastAsia="宋体" w:cs="Times New Roman"/>
          <w:i/>
          <w:iCs/>
          <w:sz w:val="21"/>
          <w:szCs w:val="21"/>
        </w:rPr>
        <w:t xml:space="preserve">n</w:t>
      </w:r>
      <w:r>
        <w:rPr>
          <w:rFonts w:ascii="Times New Roman" w:hAnsi="Times New Roman" w:eastAsia="宋体" w:cs="Times New Roman"/>
          <w:sz w:val="21"/>
          <w:szCs w:val="21"/>
        </w:rPr>
        <w:t xml:space="preserve"> 为作者总数。展开后第 1、2、3 作者的分配系数分别为 1.0、0.8、0.5，第 4 作者及以后统一按 0.2 计；通讯作者按第 1 作者计，共同第一作者按并列第 1 作者计[9]。</w:t>
      </w:r>
    </w:p>
    <w:p>
      <w:pPr>
        <w:spacing w:line="300" w:lineRule="auto"/>
        <w:ind w:firstLineChars="200" w:firstLine="420"/>
      </w:pPr>
      <w:r>
        <w:rPr>
          <w:rFonts w:ascii="Times New Roman" w:hAnsi="Times New Roman" w:eastAsia="宋体" w:cs="Times New Roman"/>
          <w:sz w:val="21"/>
          <w:szCs w:val="21"/>
        </w:rPr>
        <w:t xml:space="preserve">式(1)采用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名义分值制</w:t>
      </w:r>
      <w:r>
        <w:rPr>
          <w:rFonts w:ascii="Times New Roman" w:hAnsi="Times New Roman" w:eastAsia="宋体" w:cs="Times New Roman"/>
          <w:sz w:val="21"/>
          <w:szCs w:val="21"/>
        </w:rPr>
        <w:t xml:space="preserve">而非总量守恒制，即各作者所得之和可能大于成果标准积分（4 位作者时为 2.5 倍）。这一设计源于疾控机构鼓励多科室协作攻关的管理导向，其“挂名”风险由两项制度约束控制：points_item 表的年度上限对各类积分累计值封顶；第 4 作者及以后的积分不计入职称评审口径。本文模型与常见守恒型方法的对比如表 1 所示。对需控制积分总量的场景，系统另提供可配置的归一化模式，如式(3)所示。</w:t>
      </w:r>
    </w:p>
    <w:p>
      <w:pPr>
        <w:keepNext/>
        <w:keepLines/>
        <w:spacing w:beforeLines="12" w:before="36" w:afterLines="6" w:after="18"/>
        <w:jc w:val="center"/>
      </w:pPr>
      <w:r>
        <w:rPr>
          <w:rFonts w:ascii="Times New Roman" w:hAnsi="Times New Roman" w:eastAsia="黑体" w:cs="Times New Roman"/>
          <w:sz w:val="18"/>
          <w:szCs w:val="18"/>
        </w:rPr>
        <w:t xml:space="preserve">表 1  多作者积分权重分配方法对比（以 4 位作者为例）</w:t>
      </w:r>
    </w:p>
    <w:tbl>
      <w:tblPr>
        <w:tblW w:w="8306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28" w:type="dxa"/>
          <w:left w:w="64" w:type="dxa"/>
          <w:bottom w:w="28" w:type="dxa"/>
          <w:right w:w="64" w:type="dxa"/>
        </w:tblCellMar>
      </w:tblPr>
      <w:tblGrid>
        <w:gridCol w:w="2000"/>
        <w:gridCol w:w="1262"/>
        <w:gridCol w:w="1262"/>
        <w:gridCol w:w="1262"/>
        <w:gridCol w:w="1262"/>
        <w:gridCol w:w="1258"/>
      </w:tblGrid>
      <w:tr>
        <w:trPr>
          <w:cantSplit/>
          <w:tblHeader/>
        </w:trPr>
        <w:tc>
          <w:tcPr>
            <w:tcW w:w="2000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 xml:space="preserve">分配方法</w:t>
            </w:r>
          </w:p>
        </w:tc>
        <w:tc>
          <w:tcPr>
            <w:tcW w:w="1262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 xml:space="preserve">第 1 作者</w:t>
            </w:r>
          </w:p>
        </w:tc>
        <w:tc>
          <w:tcPr>
            <w:tcW w:w="1262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 xml:space="preserve">第 2 作者</w:t>
            </w:r>
          </w:p>
        </w:tc>
        <w:tc>
          <w:tcPr>
            <w:tcW w:w="1262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 xml:space="preserve">第 3 作者</w:t>
            </w:r>
          </w:p>
        </w:tc>
        <w:tc>
          <w:tcPr>
            <w:tcW w:w="1262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 xml:space="preserve">第 4 作者</w:t>
            </w:r>
          </w:p>
        </w:tc>
        <w:tc>
          <w:tcPr>
            <w:tcW w:w="1258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 xml:space="preserve">合计</w:t>
            </w:r>
          </w:p>
        </w:tc>
      </w:tr>
      <w:tr>
        <w:trPr>
          <w:cantSplit/>
        </w:trPr>
        <w:tc>
          <w:tcPr>
            <w:tcW w:w="2000" w:type="dxa"/>
            <w:tcBorders>
              <w:top w:val="nil" w:sz="0" w:space="0" w:color="auto"/>
              <w:left w:val="nil"/>
              <w:bottom w:val="nil" w:sz="0" w:space="0" w:color="auto"/>
              <w:right w:val="nil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均分法</w:t>
            </w:r>
          </w:p>
        </w:tc>
        <w:tc>
          <w:tcPr>
            <w:tcW w:w="1262" w:type="dxa"/>
            <w:tcBorders>
              <w:top w:val="nil" w:sz="0" w:space="0" w:color="auto"/>
              <w:left w:val="nil"/>
              <w:bottom w:val="nil" w:sz="0" w:space="0" w:color="auto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0.25</w:t>
            </w:r>
          </w:p>
        </w:tc>
        <w:tc>
          <w:tcPr>
            <w:tcW w:w="1262" w:type="dxa"/>
            <w:tcBorders>
              <w:top w:val="nil" w:sz="0" w:space="0" w:color="auto"/>
              <w:left w:val="nil"/>
              <w:bottom w:val="nil" w:sz="0" w:space="0" w:color="auto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0.25</w:t>
            </w:r>
          </w:p>
        </w:tc>
        <w:tc>
          <w:tcPr>
            <w:tcW w:w="1262" w:type="dxa"/>
            <w:tcBorders>
              <w:top w:val="nil" w:sz="0" w:space="0" w:color="auto"/>
              <w:left w:val="nil"/>
              <w:bottom w:val="nil" w:sz="0" w:space="0" w:color="auto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0.25</w:t>
            </w:r>
          </w:p>
        </w:tc>
        <w:tc>
          <w:tcPr>
            <w:tcW w:w="1262" w:type="dxa"/>
            <w:tcBorders>
              <w:top w:val="nil" w:sz="0" w:space="0" w:color="auto"/>
              <w:left w:val="nil"/>
              <w:bottom w:val="nil" w:sz="0" w:space="0" w:color="auto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0.25</w:t>
            </w:r>
          </w:p>
        </w:tc>
        <w:tc>
          <w:tcPr>
            <w:tcW w:w="1258" w:type="dxa"/>
            <w:tcBorders>
              <w:top w:val="nil" w:sz="0" w:space="0" w:color="auto"/>
              <w:left w:val="nil"/>
              <w:bottom w:val="nil" w:sz="0" w:space="0" w:color="auto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1.00</w:t>
            </w:r>
          </w:p>
        </w:tc>
      </w:tr>
      <w:tr>
        <w:trPr>
          <w:cantSplit/>
        </w:trPr>
        <w:tc>
          <w:tcPr>
            <w:tcW w:w="2000" w:type="dxa"/>
            <w:tcBorders>
              <w:top w:val="nil" w:sz="0" w:space="0" w:color="auto"/>
              <w:left w:val="nil"/>
              <w:bottom w:val="nil" w:sz="0" w:space="0" w:color="auto"/>
              <w:right w:val="nil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调和计数法</w:t>
            </w:r>
          </w:p>
        </w:tc>
        <w:tc>
          <w:tcPr>
            <w:tcW w:w="1262" w:type="dxa"/>
            <w:tcBorders>
              <w:top w:val="nil" w:sz="0" w:space="0" w:color="auto"/>
              <w:left w:val="nil"/>
              <w:bottom w:val="nil" w:sz="0" w:space="0" w:color="auto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0.48</w:t>
            </w:r>
          </w:p>
        </w:tc>
        <w:tc>
          <w:tcPr>
            <w:tcW w:w="1262" w:type="dxa"/>
            <w:tcBorders>
              <w:top w:val="nil" w:sz="0" w:space="0" w:color="auto"/>
              <w:left w:val="nil"/>
              <w:bottom w:val="nil" w:sz="0" w:space="0" w:color="auto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0.24</w:t>
            </w:r>
          </w:p>
        </w:tc>
        <w:tc>
          <w:tcPr>
            <w:tcW w:w="1262" w:type="dxa"/>
            <w:tcBorders>
              <w:top w:val="nil" w:sz="0" w:space="0" w:color="auto"/>
              <w:left w:val="nil"/>
              <w:bottom w:val="nil" w:sz="0" w:space="0" w:color="auto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0.16</w:t>
            </w:r>
          </w:p>
        </w:tc>
        <w:tc>
          <w:tcPr>
            <w:tcW w:w="1262" w:type="dxa"/>
            <w:tcBorders>
              <w:top w:val="nil" w:sz="0" w:space="0" w:color="auto"/>
              <w:left w:val="nil"/>
              <w:bottom w:val="nil" w:sz="0" w:space="0" w:color="auto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0.12</w:t>
            </w:r>
          </w:p>
        </w:tc>
        <w:tc>
          <w:tcPr>
            <w:tcW w:w="1258" w:type="dxa"/>
            <w:tcBorders>
              <w:top w:val="nil" w:sz="0" w:space="0" w:color="auto"/>
              <w:left w:val="nil"/>
              <w:bottom w:val="nil" w:sz="0" w:space="0" w:color="auto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1.00</w:t>
            </w:r>
          </w:p>
        </w:tc>
      </w:tr>
      <w:tr>
        <w:trPr>
          <w:cantSplit/>
        </w:trPr>
        <w:tc>
          <w:tcPr>
            <w:tcW w:w="2000" w:type="dxa"/>
            <w:tcBorders>
              <w:top w:val="nil" w:sz="0" w:space="0" w:color="auto"/>
              <w:left w:val="nil"/>
              <w:bottom w:val="nil" w:sz="0" w:space="0" w:color="auto"/>
              <w:right w:val="nil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算术递减法</w:t>
            </w:r>
          </w:p>
        </w:tc>
        <w:tc>
          <w:tcPr>
            <w:tcW w:w="1262" w:type="dxa"/>
            <w:tcBorders>
              <w:top w:val="nil" w:sz="0" w:space="0" w:color="auto"/>
              <w:left w:val="nil"/>
              <w:bottom w:val="nil" w:sz="0" w:space="0" w:color="auto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0.40</w:t>
            </w:r>
          </w:p>
        </w:tc>
        <w:tc>
          <w:tcPr>
            <w:tcW w:w="1262" w:type="dxa"/>
            <w:tcBorders>
              <w:top w:val="nil" w:sz="0" w:space="0" w:color="auto"/>
              <w:left w:val="nil"/>
              <w:bottom w:val="nil" w:sz="0" w:space="0" w:color="auto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0.30</w:t>
            </w:r>
          </w:p>
        </w:tc>
        <w:tc>
          <w:tcPr>
            <w:tcW w:w="1262" w:type="dxa"/>
            <w:tcBorders>
              <w:top w:val="nil" w:sz="0" w:space="0" w:color="auto"/>
              <w:left w:val="nil"/>
              <w:bottom w:val="nil" w:sz="0" w:space="0" w:color="auto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0.20</w:t>
            </w:r>
          </w:p>
        </w:tc>
        <w:tc>
          <w:tcPr>
            <w:tcW w:w="1262" w:type="dxa"/>
            <w:tcBorders>
              <w:top w:val="nil" w:sz="0" w:space="0" w:color="auto"/>
              <w:left w:val="nil"/>
              <w:bottom w:val="nil" w:sz="0" w:space="0" w:color="auto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0.10</w:t>
            </w:r>
          </w:p>
        </w:tc>
        <w:tc>
          <w:tcPr>
            <w:tcW w:w="1258" w:type="dxa"/>
            <w:tcBorders>
              <w:top w:val="nil" w:sz="0" w:space="0" w:color="auto"/>
              <w:left w:val="nil"/>
              <w:bottom w:val="nil" w:sz="0" w:space="0" w:color="auto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1.00</w:t>
            </w:r>
          </w:p>
        </w:tc>
      </w:tr>
      <w:tr>
        <w:trPr>
          <w:cantSplit/>
        </w:trPr>
        <w:tc>
          <w:tcPr>
            <w:tcW w:w="2000" w:type="dxa"/>
            <w:tcBorders>
              <w:top w:val="nil" w:sz="0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本文分段权重法</w:t>
            </w:r>
          </w:p>
        </w:tc>
        <w:tc>
          <w:tcPr>
            <w:tcW w:w="1262" w:type="dxa"/>
            <w:tcBorders>
              <w:top w:val="nil" w:sz="0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1.00</w:t>
            </w:r>
          </w:p>
        </w:tc>
        <w:tc>
          <w:tcPr>
            <w:tcW w:w="1262" w:type="dxa"/>
            <w:tcBorders>
              <w:top w:val="nil" w:sz="0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0.80</w:t>
            </w:r>
          </w:p>
        </w:tc>
        <w:tc>
          <w:tcPr>
            <w:tcW w:w="1262" w:type="dxa"/>
            <w:tcBorders>
              <w:top w:val="nil" w:sz="0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0.50</w:t>
            </w:r>
          </w:p>
        </w:tc>
        <w:tc>
          <w:tcPr>
            <w:tcW w:w="1262" w:type="dxa"/>
            <w:tcBorders>
              <w:top w:val="nil" w:sz="0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0.20</w:t>
            </w:r>
          </w:p>
        </w:tc>
        <w:tc>
          <w:tcPr>
            <w:tcW w:w="1258" w:type="dxa"/>
            <w:tcBorders>
              <w:top w:val="nil" w:sz="0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2.50</w:t>
            </w:r>
          </w:p>
        </w:tc>
      </w:tr>
    </w:tbl>
    <w:p>
      <w:pPr>
        <w:keepNext/>
        <w:keepLines/>
        <w:tabs>
          <w:tab w:val="center" w:pos="4153"/>
          <w:tab w:val="right" w:pos="8306"/>
        </w:tabs>
        <w:spacing w:beforeLines="15" w:before="45" w:afterLines="15" w:after="45"/>
      </w:pPr>
      <w:r>
        <w:tab/>
      </w:r>
      <m:oMath>
        <m:sSubSup>
          <m:e>
            <m:r>
              <w:rPr>
                <w:rFonts w:ascii="Cambria Math" w:hAnsi="Cambria Math"/>
                <w:sz w:val="21"/>
                <w:szCs w:val="21"/>
              </w:rPr>
              <m:t>S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i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norm</m:t>
            </m:r>
          </m:sup>
        </m:sSubSup>
        <m:r>
          <m:rPr>
            <m:sty m:val="p"/>
          </m:rPr>
          <w:rPr>
            <w:rFonts w:ascii="Cambria Math" w:hAnsi="Cambria Math"/>
            <w:sz w:val="21"/>
            <w:szCs w:val="21"/>
          </w:rPr>
          <m:t> = </m:t>
        </m:r>
        <m:sSub>
          <m:e>
            <m:r>
              <w:rPr>
                <w:rFonts w:ascii="Cambria Math" w:hAnsi="Cambria Math"/>
                <w:sz w:val="21"/>
                <w:szCs w:val="21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total</m:t>
            </m:r>
          </m:sub>
        </m:sSub>
        <m:r>
          <m:rPr>
            <m:sty m:val="p"/>
          </m:rPr>
          <w:rPr>
            <w:rFonts w:ascii="Cambria Math" w:hAnsi="Cambria Math"/>
            <w:sz w:val="21"/>
            <w:szCs w:val="21"/>
          </w:rPr>
          <m:t> × </m:t>
        </m:r>
        <m:f>
          <m:fPr>
            <m:ctrlPr/>
          </m:fPr>
          <m:num>
            <m:sSub>
              <m:e>
                <m:r>
                  <w:rPr>
                    <w:rFonts w:ascii="Cambria Math" w:hAnsi="Cambria Math"/>
                    <w:sz w:val="21"/>
                    <w:szCs w:val="21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21"/>
                    <w:szCs w:val="21"/>
                  </w:rPr>
                  <m:t>i</m:t>
                </m:r>
              </m:sub>
            </m:sSub>
          </m:num>
          <m:den>
            <m:nary>
              <m:naryPr>
                <m:chr m:val="∑"/>
                <m:limLoc m:val="subSup"/>
                <m:grow m:val="1"/>
                <m:subHide m:val="0"/>
                <m:supHide m:val="0"/>
                <m:ctrlPr/>
              </m:naryPr>
              <m:sub>
                <m:r>
                  <w:rPr>
                    <w:rFonts w:ascii="Cambria Math" w:hAnsi="Cambria Math"/>
                    <w:sz w:val="21"/>
                    <w:szCs w:val="21"/>
                  </w:rPr>
                  <m:t>j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 = 1</m:t>
                </m:r>
              </m:sub>
              <m:sup>
                <m:r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</m:sup>
              <m:e>
                <m:sSub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j</m:t>
                    </m:r>
                  </m:sub>
                </m:sSub>
              </m:e>
            </m:nary>
          </m:den>
        </m:f>
      </m:oMath>
      <w:r>
        <w:tab/>
      </w:r>
      <w:r>
        <w:rPr>
          <w:rFonts w:ascii="Times New Roman" w:hAnsi="Times New Roman" w:eastAsia="宋体" w:cs="Times New Roman"/>
          <w:sz w:val="21"/>
          <w:szCs w:val="21"/>
        </w:rPr>
        <w:t xml:space="preserve">(3)</w:t>
      </w:r>
    </w:p>
    <w:p>
      <w:pPr>
        <w:spacing w:line="300" w:lineRule="auto"/>
        <w:ind w:firstLineChars="200" w:firstLine="420"/>
      </w:pPr>
      <w:r>
        <w:rPr>
          <w:rFonts w:ascii="Times New Roman" w:hAnsi="Times New Roman" w:eastAsia="宋体" w:cs="Times New Roman"/>
          <w:sz w:val="21"/>
          <w:szCs w:val="21"/>
        </w:rPr>
        <w:t xml:space="preserve">式中：</w:t>
      </w:r>
      <w:r>
        <w:rPr>
          <w:rFonts w:ascii="Times New Roman" w:hAnsi="Times New Roman" w:eastAsia="宋体" w:cs="Times New Roman"/>
          <w:i/>
          <w:iCs/>
          <w:sz w:val="21"/>
          <w:szCs w:val="21"/>
        </w:rPr>
        <w:t xml:space="preserve">v</w:t>
      </w:r>
      <w:r>
        <w:rPr>
          <w:rFonts w:ascii="Times New Roman" w:hAnsi="Times New Roman" w:eastAsia="宋体" w:cs="Times New Roman"/>
          <w:sz w:val="21"/>
          <w:szCs w:val="21"/>
          <w:vertAlign w:val="subscript"/>
        </w:rPr>
        <w:t xml:space="preserve">i</w:t>
      </w:r>
      <w:r>
        <w:rPr>
          <w:rFonts w:ascii="Times New Roman" w:hAnsi="Times New Roman" w:eastAsia="宋体" w:cs="Times New Roman"/>
          <w:sz w:val="21"/>
          <w:szCs w:val="21"/>
        </w:rPr>
        <w:t xml:space="preserve"> 为第 </w:t>
      </w:r>
      <w:r>
        <w:rPr>
          <w:rFonts w:ascii="Times New Roman" w:hAnsi="Times New Roman" w:eastAsia="宋体" w:cs="Times New Roman"/>
          <w:i/>
          <w:iCs/>
          <w:sz w:val="21"/>
          <w:szCs w:val="21"/>
        </w:rPr>
        <w:t xml:space="preserve">i</w:t>
      </w:r>
      <w:r>
        <w:rPr>
          <w:rFonts w:ascii="Times New Roman" w:hAnsi="Times New Roman" w:eastAsia="宋体" w:cs="Times New Roman"/>
          <w:sz w:val="21"/>
          <w:szCs w:val="21"/>
        </w:rPr>
        <w:t xml:space="preserve"> 作者按式(1)得到的原始分配系数。</w:t>
      </w:r>
    </w:p>
    <w:p>
      <w:pPr>
        <w:keepNext/>
        <w:keepLines/>
        <w:spacing w:beforeLines="30" w:before="90" w:afterLines="20" w:after="60"/>
        <w:outlineLvl w:val="1"/>
      </w:pPr>
      <w:r>
        <w:rPr>
          <w:rFonts w:ascii="Times New Roman" w:hAnsi="Times New Roman" w:eastAsia="黑体" w:cs="Times New Roman"/>
          <w:sz w:val="21"/>
          <w:szCs w:val="21"/>
        </w:rPr>
        <w:t xml:space="preserve">4.3  动态标签权重模型</w:t>
      </w:r>
    </w:p>
    <w:p>
      <w:pPr>
        <w:spacing w:line="300" w:lineRule="auto"/>
        <w:ind w:firstLineChars="200" w:firstLine="420"/>
      </w:pPr>
      <w:r>
        <w:rPr>
          <w:rFonts w:ascii="Times New Roman" w:hAnsi="Times New Roman" w:eastAsia="宋体" w:cs="Times New Roman"/>
          <w:sz w:val="21"/>
          <w:szCs w:val="21"/>
        </w:rPr>
        <w:t xml:space="preserve">系统构建了基础属性、能力维度与专业方向三维标签体系。考虑到科研贡献具有明显时效性，本文将指数时间衰减因子前置嵌入行为积分的归一化环节（式(4)），标签权重则在此基础上按一阶指数加权移动平均更新（式(5)）。</w:t>
      </w:r>
    </w:p>
    <w:p>
      <w:pPr>
        <w:keepNext/>
        <w:keepLines/>
        <w:tabs>
          <w:tab w:val="center" w:pos="4153"/>
          <w:tab w:val="right" w:pos="8306"/>
        </w:tabs>
        <w:spacing w:beforeLines="15" w:before="45" w:afterLines="15" w:after="45"/>
      </w:pPr>
      <w:r>
        <w:tab/>
      </w:r>
      <m:oMath>
        <m:sSub>
          <m:e>
            <m:acc>
              <m:accPr>
                <m:chr m:val="̃"/>
                <m:ctrlPr/>
              </m:acc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s</m:t>
                </m:r>
              </m:e>
            </m:acc>
          </m:e>
          <m:sub>
            <m:r>
              <w:rPr>
                <w:rFonts w:ascii="Cambria Math" w:hAnsi="Cambria Math"/>
                <w:sz w:val="21"/>
                <w:szCs w:val="21"/>
              </w:rPr>
              <m:t>i,u</m:t>
            </m:r>
          </m:sub>
        </m:sSub>
        <m:r>
          <m:rPr>
            <m:sty m:val="p"/>
          </m:rPr>
          <w:rPr>
            <w:rFonts w:ascii="Cambria Math" w:hAnsi="Cambria Math"/>
            <w:sz w:val="21"/>
            <w:szCs w:val="21"/>
          </w:rPr>
          <m:t> = </m:t>
        </m:r>
        <m:f>
          <m:fPr>
            <m:ctrlPr/>
          </m:fPr>
          <m:num>
            <m:sSub>
              <m:e>
                <m:r>
                  <w:rPr>
                    <w:rFonts w:ascii="Cambria Math" w:hAnsi="Cambria Math"/>
                    <w:sz w:val="21"/>
                    <w:szCs w:val="21"/>
                  </w:rPr>
                  <m:t>s</m:t>
                </m:r>
              </m:e>
              <m:sub>
                <m:r>
                  <w:rPr>
                    <w:rFonts w:ascii="Cambria Math" w:hAnsi="Cambria Math"/>
                    <w:sz w:val="21"/>
                    <w:szCs w:val="21"/>
                  </w:rPr>
                  <m:t>i,u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 · </m:t>
            </m:r>
            <m:sSup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e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hAnsi="Cambria Math"/>
                    <w:sz w:val="21"/>
                    <w:szCs w:val="21"/>
                  </w:rPr>
                  <m:t>λ</m:t>
                </m:r>
                <m:d>
                  <m:dPr>
                    <m:begChr m:val="("/>
                    <m:endChr m:val=")"/>
                    <m:ctrlPr/>
                  </m:dPr>
                  <m:e>
                    <m:sSub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now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</w:rPr>
                      <m:t> − </m:t>
                    </m:r>
                    <m:sSub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i</m:t>
                        </m:r>
                      </m:sub>
                    </m:sSub>
                  </m:e>
                </m:d>
              </m:sup>
            </m:sSup>
          </m:num>
          <m:den>
            <m:sSub>
              <m:e>
                <m:r>
                  <w:rPr>
                    <w:rFonts w:ascii="Cambria Math" w:hAnsi="Cambria Math"/>
                    <w:sz w:val="21"/>
                    <w:szCs w:val="21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max,</m:t>
                </m:r>
                <m:r>
                  <w:rPr>
                    <w:rFonts w:ascii="Cambria Math" w:hAnsi="Cambria Math"/>
                    <w:sz w:val="21"/>
                    <w:szCs w:val="21"/>
                  </w:rPr>
                  <m:t>t</m:t>
                </m:r>
              </m:sub>
            </m:sSub>
          </m:den>
        </m:f>
      </m:oMath>
      <w:r>
        <w:tab/>
      </w:r>
      <w:r>
        <w:rPr>
          <w:rFonts w:ascii="Times New Roman" w:hAnsi="Times New Roman" w:eastAsia="宋体" w:cs="Times New Roman"/>
          <w:sz w:val="21"/>
          <w:szCs w:val="21"/>
        </w:rPr>
        <w:t xml:space="preserve">(4)</w:t>
      </w:r>
    </w:p>
    <w:p>
      <w:pPr>
        <w:keepNext/>
        <w:keepLines/>
        <w:tabs>
          <w:tab w:val="center" w:pos="4153"/>
          <w:tab w:val="right" w:pos="8306"/>
        </w:tabs>
        <w:spacing w:beforeLines="15" w:before="45" w:afterLines="15" w:after="45"/>
      </w:pPr>
      <w:r>
        <w:tab/>
      </w:r>
      <m:oMath>
        <m:sSubSup>
          <m:e>
            <m:r>
              <w:rPr>
                <w:rFonts w:ascii="Cambria Math" w:hAnsi="Cambria Math"/>
                <w:sz w:val="21"/>
                <w:szCs w:val="21"/>
              </w:rPr>
              <m:t>W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t,u</m:t>
            </m:r>
          </m:sub>
          <m:sup>
            <m:d>
              <m:dPr>
                <m:begChr m:val="("/>
                <m:endChr m:val=")"/>
                <m:ctrlPr/>
              </m:d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k</m:t>
                </m:r>
              </m:e>
            </m:d>
          </m:sup>
        </m:sSubSup>
        <m:r>
          <m:rPr>
            <m:sty m:val="p"/>
          </m:rPr>
          <w:rPr>
            <w:rFonts w:ascii="Cambria Math" w:hAnsi="Cambria Math"/>
            <w:sz w:val="21"/>
            <w:szCs w:val="21"/>
          </w:rPr>
          <m:t> = </m:t>
        </m:r>
        <m:r>
          <w:rPr>
            <w:rFonts w:ascii="Cambria Math" w:hAnsi="Cambria Math"/>
            <w:sz w:val="21"/>
            <w:szCs w:val="21"/>
          </w:rPr>
          <m:t>α</m:t>
        </m:r>
        <m:r>
          <m:rPr>
            <m:sty m:val="p"/>
          </m:rPr>
          <w:rPr>
            <w:rFonts w:ascii="Cambria Math" w:hAnsi="Cambria Math"/>
            <w:sz w:val="21"/>
            <w:szCs w:val="21"/>
          </w:rPr>
          <m:t> · </m:t>
        </m:r>
        <m:nary>
          <m:naryPr>
            <m:chr m:val="∑"/>
            <m:limLoc m:val="subSup"/>
            <m:grow m:val="1"/>
            <m:subHide m:val="0"/>
            <m:supHide m:val="0"/>
            <m:ctrlPr/>
          </m:naryPr>
          <m:sub>
            <m:r>
              <w:rPr>
                <w:rFonts w:ascii="Cambria Math" w:hAnsi="Cambria Math"/>
                <w:sz w:val="21"/>
                <w:szCs w:val="21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 = 1</m:t>
            </m:r>
          </m:sub>
          <m:sup>
            <m:r>
              <w:rPr>
                <w:rFonts w:ascii="Cambria Math" w:hAnsi="Cambria Math"/>
                <w:sz w:val="21"/>
                <w:szCs w:val="21"/>
              </w:rPr>
              <m:t>m</m:t>
            </m:r>
          </m:sup>
          <m:e>
            <m:d>
              <m:dPr>
                <m:begChr m:val="("/>
                <m:endChr m:val=")"/>
                <m:ctrlPr/>
              </m:dPr>
              <m:e>
                <m:sSub>
                  <m:e>
                    <m:acc>
                      <m:accPr>
                        <m:chr m:val="̃"/>
                        <m:ctrlPr/>
                      </m:acc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s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i,u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 · </m:t>
                </m:r>
                <m:sSub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i</m:t>
                    </m:r>
                  </m:sub>
                </m:sSub>
              </m:e>
            </m:d>
          </m:e>
        </m:nary>
        <m:r>
          <m:rPr>
            <m:sty m:val="p"/>
          </m:rPr>
          <w:rPr>
            <w:rFonts w:ascii="Cambria Math" w:hAnsi="Cambria Math"/>
            <w:sz w:val="21"/>
            <w:szCs w:val="21"/>
          </w:rPr>
          <m:t> + </m:t>
        </m:r>
        <m:d>
          <m:dPr>
            <m:begChr m:val="("/>
            <m:endChr m:val=")"/>
            <m:ctrlPr/>
          </m:d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1 − </m:t>
            </m:r>
            <m:r>
              <w:rPr>
                <w:rFonts w:ascii="Cambria Math" w:hAnsi="Cambria Math"/>
                <w:sz w:val="21"/>
                <w:szCs w:val="21"/>
              </w:rPr>
              <m:t>α</m:t>
            </m:r>
          </m:e>
        </m:d>
        <m:r>
          <m:rPr>
            <m:sty m:val="p"/>
          </m:rPr>
          <w:rPr>
            <w:rFonts w:ascii="Cambria Math" w:hAnsi="Cambria Math"/>
            <w:sz w:val="21"/>
            <w:szCs w:val="21"/>
          </w:rPr>
          <m:t> · </m:t>
        </m:r>
        <m:sSubSup>
          <m:e>
            <m:r>
              <w:rPr>
                <w:rFonts w:ascii="Cambria Math" w:hAnsi="Cambria Math"/>
                <w:sz w:val="21"/>
                <w:szCs w:val="21"/>
              </w:rPr>
              <m:t>W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t,u</m:t>
            </m:r>
          </m:sub>
          <m:sup>
            <m:d>
              <m:dPr>
                <m:begChr m:val="("/>
                <m:endChr m:val=")"/>
                <m:ctrlPr/>
              </m:d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 − 1</m:t>
                </m:r>
              </m:e>
            </m:d>
          </m:sup>
        </m:sSubSup>
      </m:oMath>
      <w:r>
        <w:tab/>
      </w:r>
      <w:r>
        <w:rPr>
          <w:rFonts w:ascii="Times New Roman" w:hAnsi="Times New Roman" w:eastAsia="宋体" w:cs="Times New Roman"/>
          <w:sz w:val="21"/>
          <w:szCs w:val="21"/>
        </w:rPr>
        <w:t xml:space="preserve">(5)</w:t>
      </w:r>
    </w:p>
    <w:p>
      <w:pPr>
        <w:spacing w:line="300" w:lineRule="auto"/>
        <w:ind w:firstLineChars="200" w:firstLine="420"/>
      </w:pPr>
      <w:r>
        <w:rPr>
          <w:rFonts w:ascii="Times New Roman" w:hAnsi="Times New Roman" w:eastAsia="宋体" w:cs="Times New Roman"/>
          <w:sz w:val="21"/>
          <w:szCs w:val="21"/>
        </w:rPr>
        <w:t xml:space="preserve">式中：</w:t>
      </w:r>
      <w:r>
        <w:rPr>
          <w:rFonts w:ascii="Times New Roman" w:hAnsi="Times New Roman" w:eastAsia="宋体" w:cs="Times New Roman"/>
          <w:i/>
          <w:iCs/>
          <w:sz w:val="21"/>
          <w:szCs w:val="21"/>
        </w:rPr>
        <w:t xml:space="preserve">W</w:t>
      </w:r>
      <w:r>
        <w:rPr>
          <w:rFonts w:ascii="Times New Roman" w:hAnsi="Times New Roman" w:eastAsia="宋体" w:cs="Times New Roman"/>
          <w:sz w:val="21"/>
          <w:szCs w:val="21"/>
          <w:vertAlign w:val="superscript"/>
        </w:rPr>
        <w:t xml:space="preserve">(k)</w:t>
      </w:r>
      <w:r>
        <w:rPr>
          <w:rFonts w:ascii="Times New Roman" w:hAnsi="Times New Roman" w:eastAsia="宋体" w:cs="Times New Roman"/>
          <w:sz w:val="21"/>
          <w:szCs w:val="21"/>
          <w:vertAlign w:val="subscript"/>
        </w:rPr>
        <w:t xml:space="preserve">t,u</w:t>
      </w:r>
      <w:r>
        <w:rPr>
          <w:rFonts w:ascii="Times New Roman" w:hAnsi="Times New Roman" w:eastAsia="宋体" w:cs="Times New Roman"/>
          <w:sz w:val="21"/>
          <w:szCs w:val="21"/>
        </w:rPr>
        <w:t xml:space="preserve"> 为用户 </w:t>
      </w:r>
      <w:r>
        <w:rPr>
          <w:rFonts w:ascii="Times New Roman" w:hAnsi="Times New Roman" w:eastAsia="宋体" w:cs="Times New Roman"/>
          <w:i/>
          <w:iCs/>
          <w:sz w:val="21"/>
          <w:szCs w:val="21"/>
        </w:rPr>
        <w:t xml:space="preserve">u</w:t>
      </w:r>
      <w:r>
        <w:rPr>
          <w:rFonts w:ascii="Times New Roman" w:hAnsi="Times New Roman" w:eastAsia="宋体" w:cs="Times New Roman"/>
          <w:sz w:val="21"/>
          <w:szCs w:val="21"/>
        </w:rPr>
        <w:t xml:space="preserve"> 在标签 </w:t>
      </w:r>
      <w:r>
        <w:rPr>
          <w:rFonts w:ascii="Times New Roman" w:hAnsi="Times New Roman" w:eastAsia="宋体" w:cs="Times New Roman"/>
          <w:i/>
          <w:iCs/>
          <w:sz w:val="21"/>
          <w:szCs w:val="21"/>
        </w:rPr>
        <w:t xml:space="preserve">t</w:t>
      </w:r>
      <w:r>
        <w:rPr>
          <w:rFonts w:ascii="Times New Roman" w:hAnsi="Times New Roman" w:eastAsia="宋体" w:cs="Times New Roman"/>
          <w:sz w:val="21"/>
          <w:szCs w:val="21"/>
        </w:rPr>
        <w:t xml:space="preserve"> 上第 </w:t>
      </w:r>
      <w:r>
        <w:rPr>
          <w:rFonts w:ascii="Times New Roman" w:hAnsi="Times New Roman" w:eastAsia="宋体" w:cs="Times New Roman"/>
          <w:i/>
          <w:iCs/>
          <w:sz w:val="21"/>
          <w:szCs w:val="21"/>
        </w:rPr>
        <w:t xml:space="preserve">k</w:t>
      </w:r>
      <w:r>
        <w:rPr>
          <w:rFonts w:ascii="Times New Roman" w:hAnsi="Times New Roman" w:eastAsia="宋体" w:cs="Times New Roman"/>
          <w:sz w:val="21"/>
          <w:szCs w:val="21"/>
        </w:rPr>
        <w:t xml:space="preserve"> 个周期的权重；</w:t>
      </w:r>
      <w:r>
        <w:rPr>
          <w:rFonts w:ascii="Times New Roman" w:hAnsi="Times New Roman" w:eastAsia="宋体" w:cs="Times New Roman"/>
          <w:i/>
          <w:iCs/>
          <w:sz w:val="21"/>
          <w:szCs w:val="21"/>
        </w:rPr>
        <w:t xml:space="preserve">s</w:t>
      </w:r>
      <w:r>
        <w:rPr>
          <w:rFonts w:ascii="Times New Roman" w:hAnsi="Times New Roman" w:eastAsia="宋体" w:cs="Times New Roman"/>
          <w:sz w:val="21"/>
          <w:szCs w:val="21"/>
          <w:vertAlign w:val="subscript"/>
        </w:rPr>
        <w:t xml:space="preserve">i,u</w:t>
      </w:r>
      <w:r>
        <w:rPr>
          <w:rFonts w:ascii="Times New Roman" w:hAnsi="Times New Roman" w:eastAsia="宋体" w:cs="Times New Roman"/>
          <w:sz w:val="21"/>
          <w:szCs w:val="21"/>
        </w:rPr>
        <w:t xml:space="preserve"> 为其在行为 </w:t>
      </w:r>
      <w:r>
        <w:rPr>
          <w:rFonts w:ascii="Times New Roman" w:hAnsi="Times New Roman" w:eastAsia="宋体" w:cs="Times New Roman"/>
          <w:i/>
          <w:iCs/>
          <w:sz w:val="21"/>
          <w:szCs w:val="21"/>
        </w:rPr>
        <w:t xml:space="preserve">i</w:t>
      </w:r>
      <w:r>
        <w:rPr>
          <w:rFonts w:ascii="Times New Roman" w:hAnsi="Times New Roman" w:eastAsia="宋体" w:cs="Times New Roman"/>
          <w:sz w:val="21"/>
          <w:szCs w:val="21"/>
        </w:rPr>
        <w:t xml:space="preserve"> 上的原始积分；</w:t>
      </w:r>
      <w:r>
        <w:rPr>
          <w:rFonts w:ascii="Times New Roman" w:hAnsi="Times New Roman" w:eastAsia="宋体" w:cs="Times New Roman"/>
          <w:i/>
          <w:iCs/>
          <w:sz w:val="21"/>
          <w:szCs w:val="21"/>
        </w:rPr>
        <w:t xml:space="preserve">S</w:t>
      </w:r>
      <w:r>
        <w:rPr>
          <w:rFonts w:ascii="Times New Roman" w:hAnsi="Times New Roman" w:eastAsia="宋体" w:cs="Times New Roman"/>
          <w:sz w:val="21"/>
          <w:szCs w:val="21"/>
          <w:vertAlign w:val="subscript"/>
        </w:rPr>
        <w:t xml:space="preserve">max,t</w:t>
      </w:r>
      <w:r>
        <w:rPr>
          <w:rFonts w:ascii="Times New Roman" w:hAnsi="Times New Roman" w:eastAsia="宋体" w:cs="Times New Roman"/>
          <w:sz w:val="21"/>
          <w:szCs w:val="21"/>
        </w:rPr>
        <w:t xml:space="preserve"> 为本周期全中心在标签 </w:t>
      </w:r>
      <w:r>
        <w:rPr>
          <w:rFonts w:ascii="Times New Roman" w:hAnsi="Times New Roman" w:eastAsia="宋体" w:cs="Times New Roman"/>
          <w:i/>
          <w:iCs/>
          <w:sz w:val="21"/>
          <w:szCs w:val="21"/>
        </w:rPr>
        <w:t xml:space="preserve">t</w:t>
      </w:r>
      <w:r>
        <w:rPr>
          <w:rFonts w:ascii="Times New Roman" w:hAnsi="Times New Roman" w:eastAsia="宋体" w:cs="Times New Roman"/>
          <w:sz w:val="21"/>
          <w:szCs w:val="21"/>
        </w:rPr>
        <w:t xml:space="preserve"> 下的最高行为积分，用于将行为项归一化至 [0, 1]，与历史权重项保持量纲一致；</w:t>
      </w:r>
      <w:r>
        <w:rPr>
          <w:rFonts w:ascii="Times New Roman" w:hAnsi="Times New Roman" w:eastAsia="宋体" w:cs="Times New Roman"/>
          <w:i/>
          <w:iCs/>
          <w:sz w:val="21"/>
          <w:szCs w:val="21"/>
        </w:rPr>
        <w:t xml:space="preserve">w</w:t>
      </w:r>
      <w:r>
        <w:rPr>
          <w:rFonts w:ascii="Times New Roman" w:hAnsi="Times New Roman" w:eastAsia="宋体" w:cs="Times New Roman"/>
          <w:sz w:val="21"/>
          <w:szCs w:val="21"/>
          <w:vertAlign w:val="subscript"/>
        </w:rPr>
        <w:t xml:space="preserve">i</w:t>
      </w:r>
      <w:r>
        <w:rPr>
          <w:rFonts w:ascii="Times New Roman" w:hAnsi="Times New Roman" w:eastAsia="宋体" w:cs="Times New Roman"/>
          <w:sz w:val="21"/>
          <w:szCs w:val="21"/>
        </w:rPr>
        <w:t xml:space="preserve"> 为行为 </w:t>
      </w:r>
      <w:r>
        <w:rPr>
          <w:rFonts w:ascii="Times New Roman" w:hAnsi="Times New Roman" w:eastAsia="宋体" w:cs="Times New Roman"/>
          <w:i/>
          <w:iCs/>
          <w:sz w:val="21"/>
          <w:szCs w:val="21"/>
        </w:rPr>
        <w:t xml:space="preserve">i</w:t>
      </w:r>
      <w:r>
        <w:rPr>
          <w:rFonts w:ascii="Times New Roman" w:hAnsi="Times New Roman" w:eastAsia="宋体" w:cs="Times New Roman"/>
          <w:sz w:val="21"/>
          <w:szCs w:val="21"/>
        </w:rPr>
        <w:t xml:space="preserve"> 的贡献系数，满足 Σ</w:t>
      </w:r>
      <w:r>
        <w:rPr>
          <w:rFonts w:ascii="Times New Roman" w:hAnsi="Times New Roman" w:eastAsia="宋体" w:cs="Times New Roman"/>
          <w:i/>
          <w:iCs/>
          <w:sz w:val="21"/>
          <w:szCs w:val="21"/>
        </w:rPr>
        <w:t xml:space="preserve">w</w:t>
      </w:r>
      <w:r>
        <w:rPr>
          <w:rFonts w:ascii="Times New Roman" w:hAnsi="Times New Roman" w:eastAsia="宋体" w:cs="Times New Roman"/>
          <w:sz w:val="21"/>
          <w:szCs w:val="21"/>
          <w:vertAlign w:val="subscript"/>
        </w:rPr>
        <w:t xml:space="preserve">i</w:t>
      </w:r>
      <w:r>
        <w:rPr>
          <w:rFonts w:ascii="Times New Roman" w:hAnsi="Times New Roman" w:eastAsia="宋体" w:cs="Times New Roman"/>
          <w:sz w:val="21"/>
          <w:szCs w:val="21"/>
        </w:rPr>
        <w:t xml:space="preserve"> = 1；</w:t>
      </w:r>
      <w:r>
        <w:rPr>
          <w:rFonts w:ascii="Times New Roman" w:hAnsi="Times New Roman" w:eastAsia="宋体" w:cs="Times New Roman"/>
          <w:i/>
          <w:iCs/>
          <w:sz w:val="21"/>
          <w:szCs w:val="21"/>
        </w:rPr>
        <w:t xml:space="preserve">t</w:t>
      </w:r>
      <w:r>
        <w:rPr>
          <w:rFonts w:ascii="Times New Roman" w:hAnsi="Times New Roman" w:eastAsia="宋体" w:cs="Times New Roman"/>
          <w:sz w:val="21"/>
          <w:szCs w:val="21"/>
          <w:vertAlign w:val="subscript"/>
        </w:rPr>
        <w:t xml:space="preserve">now</w:t>
      </w:r>
      <w:r>
        <w:rPr>
          <w:rFonts w:ascii="Times New Roman" w:hAnsi="Times New Roman" w:eastAsia="宋体" w:cs="Times New Roman"/>
          <w:sz w:val="21"/>
          <w:szCs w:val="21"/>
        </w:rPr>
        <w:t xml:space="preserve"> 与 </w:t>
      </w:r>
      <w:r>
        <w:rPr>
          <w:rFonts w:ascii="Times New Roman" w:hAnsi="Times New Roman" w:eastAsia="宋体" w:cs="Times New Roman"/>
          <w:i/>
          <w:iCs/>
          <w:sz w:val="21"/>
          <w:szCs w:val="21"/>
        </w:rPr>
        <w:t xml:space="preserve">t</w:t>
      </w:r>
      <w:r>
        <w:rPr>
          <w:rFonts w:ascii="Times New Roman" w:hAnsi="Times New Roman" w:eastAsia="宋体" w:cs="Times New Roman"/>
          <w:sz w:val="21"/>
          <w:szCs w:val="21"/>
          <w:vertAlign w:val="subscript"/>
        </w:rPr>
        <w:t xml:space="preserve">i</w:t>
      </w:r>
      <w:r>
        <w:rPr>
          <w:rFonts w:ascii="Times New Roman" w:hAnsi="Times New Roman" w:eastAsia="宋体" w:cs="Times New Roman"/>
          <w:sz w:val="21"/>
          <w:szCs w:val="21"/>
        </w:rPr>
        <w:t xml:space="preserve"> 分别为当前时间与成果完成时间。</w:t>
      </w:r>
    </w:p>
    <w:p>
      <w:pPr>
        <w:spacing w:line="300" w:lineRule="auto"/>
        <w:ind w:firstLineChars="200" w:firstLine="420"/>
      </w:pPr>
      <w:r>
        <w:rPr>
          <w:rFonts w:ascii="Times New Roman" w:hAnsi="Times New Roman" w:eastAsia="宋体" w:cs="Times New Roman"/>
          <w:sz w:val="21"/>
          <w:szCs w:val="21"/>
        </w:rPr>
        <w:t xml:space="preserve">式(5)是一阶指数加权移动平均，</w:t>
      </w:r>
      <w:r>
        <w:rPr>
          <w:rFonts w:ascii="Times New Roman" w:hAnsi="Times New Roman" w:eastAsia="宋体" w:cs="Times New Roman"/>
          <w:i/>
          <w:iCs/>
          <w:sz w:val="21"/>
          <w:szCs w:val="21"/>
        </w:rPr>
        <w:t xml:space="preserve">α</w:t>
      </w:r>
      <w:r>
        <w:rPr>
          <w:rFonts w:ascii="Times New Roman" w:hAnsi="Times New Roman" w:eastAsia="宋体" w:cs="Times New Roman"/>
          <w:sz w:val="21"/>
          <w:szCs w:val="21"/>
        </w:rPr>
        <w:t xml:space="preserve"> 取 0.7 对应记忆长度约 1/(1 − </w:t>
      </w:r>
      <w:r>
        <w:rPr>
          <w:rFonts w:ascii="Times New Roman" w:hAnsi="Times New Roman" w:eastAsia="宋体" w:cs="Times New Roman"/>
          <w:i/>
          <w:iCs/>
          <w:sz w:val="21"/>
          <w:szCs w:val="21"/>
        </w:rPr>
        <w:t xml:space="preserve">α</w:t>
      </w:r>
      <w:r>
        <w:rPr>
          <w:rFonts w:ascii="Times New Roman" w:hAnsi="Times New Roman" w:eastAsia="宋体" w:cs="Times New Roman"/>
          <w:sz w:val="21"/>
          <w:szCs w:val="21"/>
        </w:rPr>
        <w:t xml:space="preserve">) ≈ 3.3 个周期，即最新一年贡献约占 70%、历史累积约占 30%，既突出近期活跃度也保留资深人员的积累。时间衰减系数取 </w:t>
      </w:r>
      <w:r>
        <w:rPr>
          <w:rFonts w:ascii="Times New Roman" w:hAnsi="Times New Roman" w:eastAsia="宋体" w:cs="Times New Roman"/>
          <w:i/>
          <w:iCs/>
          <w:sz w:val="21"/>
          <w:szCs w:val="21"/>
        </w:rPr>
        <w:t xml:space="preserve">λ</w:t>
      </w:r>
      <w:r>
        <w:rPr>
          <w:rFonts w:ascii="Times New Roman" w:hAnsi="Times New Roman" w:eastAsia="宋体" w:cs="Times New Roman"/>
          <w:sz w:val="21"/>
          <w:szCs w:val="21"/>
        </w:rPr>
        <w:t xml:space="preserve"> = 0.14，对应半衰期 ln2</w:t>
      </w:r>
      <w:r>
        <w:rPr>
          <w:rFonts w:ascii="Times New Roman" w:hAnsi="Times New Roman" w:eastAsia="宋体" w:cs="Times New Roman"/>
          <w:i/>
          <w:iCs/>
          <w:sz w:val="21"/>
          <w:szCs w:val="21"/>
        </w:rPr>
        <w:t xml:space="preserve">/λ</w:t>
      </w:r>
      <w:r>
        <w:rPr>
          <w:rFonts w:ascii="Times New Roman" w:hAnsi="Times New Roman" w:eastAsia="宋体" w:cs="Times New Roman"/>
          <w:sz w:val="21"/>
          <w:szCs w:val="21"/>
        </w:rPr>
        <w:t xml:space="preserve"> ≈ 4.95 年，成果权重每年降至上年的 86.9%（年衰减约 13.1%），既避免成果永久有效导致评价僵化，也防止衰减过快挫伤长期积累型科研人员的积极性。</w:t>
      </w:r>
    </w:p>
    <w:p>
      <w:pPr>
        <w:spacing w:line="300" w:lineRule="auto"/>
        <w:ind w:firstLineChars="200" w:firstLine="420"/>
      </w:pPr>
      <w:r>
        <w:rPr>
          <w:rFonts w:ascii="Times New Roman" w:hAnsi="Times New Roman" w:eastAsia="宋体" w:cs="Times New Roman"/>
          <w:sz w:val="21"/>
          <w:szCs w:val="21"/>
        </w:rPr>
        <w:t xml:space="preserve">标签更新采用双策略：基于 Spring Event 的准实时更新在积分流水生成后 1 s 内触发，异步微调相关权重；每日 2:00 的全量更新批量重算活跃用户近一年的标签权重，并清理权重低于 0.1 的标签。</w:t>
      </w:r>
    </w:p>
    <w:p>
      <w:pPr>
        <w:keepNext/>
        <w:keepLines/>
        <w:spacing w:beforeLines="30" w:before="90" w:afterLines="20" w:after="60"/>
        <w:outlineLvl w:val="1"/>
      </w:pPr>
      <w:r>
        <w:rPr>
          <w:rFonts w:ascii="Times New Roman" w:hAnsi="Times New Roman" w:eastAsia="黑体" w:cs="Times New Roman"/>
          <w:sz w:val="21"/>
          <w:szCs w:val="21"/>
        </w:rPr>
        <w:t xml:space="preserve">4.4  多维能力得分与画像渲染</w:t>
      </w:r>
    </w:p>
    <w:p>
      <w:pPr>
        <w:spacing w:line="300" w:lineRule="auto"/>
        <w:ind w:firstLineChars="200" w:firstLine="420"/>
      </w:pPr>
      <w:r>
        <w:rPr>
          <w:rFonts w:ascii="Times New Roman" w:hAnsi="Times New Roman" w:eastAsia="宋体" w:cs="Times New Roman"/>
          <w:sz w:val="21"/>
          <w:szCs w:val="21"/>
        </w:rPr>
        <w:t xml:space="preserve">定义标签—能力维度映射矩阵 </w:t>
      </w:r>
      <w:r>
        <w:rPr>
          <w:rFonts w:ascii="Times New Roman" w:hAnsi="Times New Roman" w:eastAsia="宋体" w:cs="Times New Roman"/>
          <w:i/>
          <w:iCs/>
          <w:sz w:val="21"/>
          <w:szCs w:val="21"/>
        </w:rPr>
        <w:t xml:space="preserve">M</w:t>
      </w:r>
      <w:r>
        <w:rPr>
          <w:rFonts w:ascii="Times New Roman" w:hAnsi="Times New Roman" w:eastAsia="宋体" w:cs="Times New Roman"/>
          <w:sz w:val="21"/>
          <w:szCs w:val="21"/>
        </w:rPr>
        <w:t xml:space="preserve"> ∈ ℝ</w:t>
      </w:r>
      <w:r>
        <w:rPr>
          <w:rFonts w:ascii="Times New Roman" w:hAnsi="Times New Roman" w:eastAsia="宋体" w:cs="Times New Roman"/>
          <w:sz w:val="21"/>
          <w:szCs w:val="21"/>
          <w:vertAlign w:val="superscript"/>
        </w:rPr>
        <w:t xml:space="preserve">T×D</w:t>
      </w:r>
      <w:r>
        <w:rPr>
          <w:rFonts w:ascii="Times New Roman" w:hAnsi="Times New Roman" w:eastAsia="宋体" w:cs="Times New Roman"/>
          <w:sz w:val="21"/>
          <w:szCs w:val="21"/>
        </w:rPr>
        <w:t xml:space="preserve">，</w:t>
      </w:r>
      <w:r>
        <w:rPr>
          <w:rFonts w:ascii="Times New Roman" w:hAnsi="Times New Roman" w:eastAsia="宋体" w:cs="Times New Roman"/>
          <w:i/>
          <w:iCs/>
          <w:sz w:val="21"/>
          <w:szCs w:val="21"/>
        </w:rPr>
        <w:t xml:space="preserve">T</w:t>
      </w:r>
      <w:r>
        <w:rPr>
          <w:rFonts w:ascii="Times New Roman" w:hAnsi="Times New Roman" w:eastAsia="宋体" w:cs="Times New Roman"/>
          <w:sz w:val="21"/>
          <w:szCs w:val="21"/>
        </w:rPr>
        <w:t xml:space="preserve"> 为标签总数，</w:t>
      </w:r>
      <w:r>
        <w:rPr>
          <w:rFonts w:ascii="Times New Roman" w:hAnsi="Times New Roman" w:eastAsia="宋体" w:cs="Times New Roman"/>
          <w:i/>
          <w:iCs/>
          <w:sz w:val="21"/>
          <w:szCs w:val="21"/>
        </w:rPr>
        <w:t xml:space="preserve">D</w:t>
      </w:r>
      <w:r>
        <w:rPr>
          <w:rFonts w:ascii="Times New Roman" w:hAnsi="Times New Roman" w:eastAsia="宋体" w:cs="Times New Roman"/>
          <w:sz w:val="21"/>
          <w:szCs w:val="21"/>
        </w:rPr>
        <w:t xml:space="preserve"> 为能力维度数（本系统取 </w:t>
      </w:r>
      <w:r>
        <w:rPr>
          <w:rFonts w:ascii="Times New Roman" w:hAnsi="Times New Roman" w:eastAsia="宋体" w:cs="Times New Roman"/>
          <w:i/>
          <w:iCs/>
          <w:sz w:val="21"/>
          <w:szCs w:val="21"/>
        </w:rPr>
        <w:t xml:space="preserve">D</w:t>
      </w:r>
      <w:r>
        <w:rPr>
          <w:rFonts w:ascii="Times New Roman" w:hAnsi="Times New Roman" w:eastAsia="宋体" w:cs="Times New Roman"/>
          <w:sz w:val="21"/>
          <w:szCs w:val="21"/>
        </w:rPr>
        <w:t xml:space="preserve"> = 16，即发表论文、专利发明、项目课题、成果奖励、成果转化、出版著作、技术标准、继续教育、科普作品、荣誉表彰、学术团队、学术地位、学术比赛、学术交流、技能资质与工作文章，如图 3 所示）。矩阵元素 </w:t>
      </w:r>
      <w:r>
        <w:rPr>
          <w:rFonts w:ascii="Times New Roman" w:hAnsi="Times New Roman" w:eastAsia="宋体" w:cs="Times New Roman"/>
          <w:i/>
          <w:iCs/>
          <w:sz w:val="21"/>
          <w:szCs w:val="21"/>
        </w:rPr>
        <w:t xml:space="preserve">m</w:t>
      </w:r>
      <w:r>
        <w:rPr>
          <w:rFonts w:ascii="Times New Roman" w:hAnsi="Times New Roman" w:eastAsia="宋体" w:cs="Times New Roman"/>
          <w:sz w:val="21"/>
          <w:szCs w:val="21"/>
          <w:vertAlign w:val="subscript"/>
        </w:rPr>
        <w:t xml:space="preserve">t,d</w:t>
      </w:r>
      <w:r>
        <w:rPr>
          <w:rFonts w:ascii="Times New Roman" w:hAnsi="Times New Roman" w:eastAsia="宋体" w:cs="Times New Roman"/>
          <w:sz w:val="21"/>
          <w:szCs w:val="21"/>
        </w:rPr>
        <w:t xml:space="preserve"> ∈ [0, 1] 表示标签 </w:t>
      </w:r>
      <w:r>
        <w:rPr>
          <w:rFonts w:ascii="Times New Roman" w:hAnsi="Times New Roman" w:eastAsia="宋体" w:cs="Times New Roman"/>
          <w:i/>
          <w:iCs/>
          <w:sz w:val="21"/>
          <w:szCs w:val="21"/>
        </w:rPr>
        <w:t xml:space="preserve">t</w:t>
      </w:r>
      <w:r>
        <w:rPr>
          <w:rFonts w:ascii="Times New Roman" w:hAnsi="Times New Roman" w:eastAsia="宋体" w:cs="Times New Roman"/>
          <w:sz w:val="21"/>
          <w:szCs w:val="21"/>
        </w:rPr>
        <w:t xml:space="preserve"> 对维度 </w:t>
      </w:r>
      <w:r>
        <w:rPr>
          <w:rFonts w:ascii="Times New Roman" w:hAnsi="Times New Roman" w:eastAsia="宋体" w:cs="Times New Roman"/>
          <w:i/>
          <w:iCs/>
          <w:sz w:val="21"/>
          <w:szCs w:val="21"/>
        </w:rPr>
        <w:t xml:space="preserve">d</w:t>
      </w:r>
      <w:r>
        <w:rPr>
          <w:rFonts w:ascii="Times New Roman" w:hAnsi="Times New Roman" w:eastAsia="宋体" w:cs="Times New Roman"/>
          <w:sz w:val="21"/>
          <w:szCs w:val="21"/>
        </w:rPr>
        <w:t xml:space="preserve"> 的贡献度，满足 Σ</w:t>
      </w:r>
      <w:r>
        <w:rPr>
          <w:rFonts w:ascii="Times New Roman" w:hAnsi="Times New Roman" w:eastAsia="宋体" w:cs="Times New Roman"/>
          <w:sz w:val="21"/>
          <w:szCs w:val="21"/>
          <w:vertAlign w:val="subscript"/>
        </w:rPr>
        <w:t xml:space="preserve">d</w:t>
      </w:r>
      <w:r>
        <w:rPr>
          <w:rFonts w:ascii="Times New Roman" w:hAnsi="Times New Roman" w:eastAsia="宋体" w:cs="Times New Roman"/>
          <w:i/>
          <w:iCs/>
          <w:sz w:val="21"/>
          <w:szCs w:val="21"/>
        </w:rPr>
        <w:t xml:space="preserve">m</w:t>
      </w:r>
      <w:r>
        <w:rPr>
          <w:rFonts w:ascii="Times New Roman" w:hAnsi="Times New Roman" w:eastAsia="宋体" w:cs="Times New Roman"/>
          <w:sz w:val="21"/>
          <w:szCs w:val="21"/>
          <w:vertAlign w:val="subscript"/>
        </w:rPr>
        <w:t xml:space="preserve">t,d</w:t>
      </w:r>
      <w:r>
        <w:rPr>
          <w:rFonts w:ascii="Times New Roman" w:hAnsi="Times New Roman" w:eastAsia="宋体" w:cs="Times New Roman"/>
          <w:sz w:val="21"/>
          <w:szCs w:val="21"/>
        </w:rPr>
        <w:t xml:space="preserve"> = 1，由 3 名科研管理专家按德尔菲法两轮打分确定。用户在各维度上的原始得分为所有标签权重的加权和（式(6)）。由于式(5)已在行为积分层面完成时间衰减修正，式(6)无需再次引入衰减因子，标签权重、能力得分与画像渲染由此构成一条量纲一致的计算链路。</w:t>
      </w:r>
    </w:p>
    <w:p>
      <w:pPr>
        <w:keepNext/>
        <w:keepLines/>
        <w:tabs>
          <w:tab w:val="center" w:pos="4153"/>
          <w:tab w:val="right" w:pos="8306"/>
        </w:tabs>
        <w:spacing w:beforeLines="15" w:before="45" w:afterLines="15" w:after="45"/>
      </w:pPr>
      <w:r>
        <w:tab/>
      </w:r>
      <m:oMath>
        <m:sSub>
          <m:e>
            <m:r>
              <w:rPr>
                <w:rFonts w:ascii="Cambria Math" w:hAnsi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d,u</m:t>
            </m:r>
          </m:sub>
        </m:sSub>
        <m:r>
          <m:rPr>
            <m:sty m:val="p"/>
          </m:rPr>
          <w:rPr>
            <w:rFonts w:ascii="Cambria Math" w:hAnsi="Cambria Math"/>
            <w:sz w:val="21"/>
            <w:szCs w:val="21"/>
          </w:rPr>
          <m:t> = </m:t>
        </m:r>
        <m:nary>
          <m:naryPr>
            <m:chr m:val="∑"/>
            <m:limLoc m:val="subSup"/>
            <m:grow m:val="1"/>
            <m:subHide m:val="0"/>
            <m:supHide m:val="0"/>
            <m:ctrlPr/>
          </m:naryPr>
          <m:sub>
            <m:r>
              <w:rPr>
                <w:rFonts w:ascii="Cambria Math" w:hAnsi="Cambria Math"/>
                <w:sz w:val="21"/>
                <w:szCs w:val="21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 = 1</m:t>
            </m:r>
          </m:sub>
          <m:sup>
            <m:r>
              <w:rPr>
                <w:rFonts w:ascii="Cambria Math" w:hAnsi="Cambria Math"/>
                <w:sz w:val="21"/>
                <w:szCs w:val="21"/>
              </w:rPr>
              <m:t>T</m:t>
            </m:r>
          </m:sup>
          <m:e>
            <m:d>
              <m:dPr>
                <m:begChr m:val="("/>
                <m:endChr m:val=")"/>
                <m:ctrlPr/>
              </m:dPr>
              <m:e>
                <m:sSub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t,u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 · </m:t>
                </m:r>
                <m:sSub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t,d</m:t>
                    </m:r>
                  </m:sub>
                </m:sSub>
              </m:e>
            </m:d>
          </m:e>
        </m:nary>
      </m:oMath>
      <w:r>
        <w:tab/>
      </w:r>
      <w:r>
        <w:rPr>
          <w:rFonts w:ascii="Times New Roman" w:hAnsi="Times New Roman" w:eastAsia="宋体" w:cs="Times New Roman"/>
          <w:sz w:val="21"/>
          <w:szCs w:val="21"/>
        </w:rPr>
        <w:t xml:space="preserve">(6)</w:t>
      </w:r>
    </w:p>
    <w:p>
      <w:pPr>
        <w:spacing w:line="300" w:lineRule="auto"/>
        <w:ind w:firstLineChars="200" w:firstLine="420"/>
      </w:pPr>
      <w:r>
        <w:rPr>
          <w:rFonts w:ascii="Times New Roman" w:hAnsi="Times New Roman" w:eastAsia="宋体" w:cs="Times New Roman"/>
          <w:sz w:val="21"/>
          <w:szCs w:val="21"/>
        </w:rPr>
        <w:t xml:space="preserve">为消除维度间的量纲差异，对原始得分作归一化处理（式(7)）。</w:t>
      </w:r>
    </w:p>
    <w:p>
      <w:pPr>
        <w:keepNext/>
        <w:keepLines/>
        <w:tabs>
          <w:tab w:val="center" w:pos="4153"/>
          <w:tab w:val="right" w:pos="8306"/>
        </w:tabs>
        <w:spacing w:beforeLines="15" w:before="45" w:afterLines="15" w:after="45"/>
      </w:pPr>
      <w:r>
        <w:tab/>
      </w:r>
      <m:oMath>
        <m:sSubSup>
          <m:e>
            <m:r>
              <w:rPr>
                <w:rFonts w:ascii="Cambria Math" w:hAnsi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d,u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′</m:t>
            </m:r>
          </m:sup>
        </m:sSubSup>
        <m:r>
          <m:rPr>
            <m:sty m:val="p"/>
          </m:rPr>
          <w:rPr>
            <w:rFonts w:ascii="Cambria Math" w:hAnsi="Cambria Math"/>
            <w:sz w:val="21"/>
            <w:szCs w:val="21"/>
          </w:rPr>
          <m:t> = </m:t>
        </m:r>
        <m:f>
          <m:fPr>
            <m:ctrlPr/>
          </m:fPr>
          <m:num>
            <m:sSub>
              <m:e>
                <m:r>
                  <w:rPr>
                    <w:rFonts w:ascii="Cambria Math" w:hAnsi="Cambria Math"/>
                    <w:sz w:val="21"/>
                    <w:szCs w:val="21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21"/>
                    <w:szCs w:val="21"/>
                  </w:rPr>
                  <m:t>d,u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 − </m:t>
            </m:r>
            <m:sSub>
              <m:e>
                <m:r>
                  <w:rPr>
                    <w:rFonts w:ascii="Cambria Math" w:hAnsi="Cambria Math"/>
                    <w:sz w:val="21"/>
                    <w:szCs w:val="21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21"/>
                    <w:szCs w:val="21"/>
                  </w:rPr>
                  <m:t>d,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min</m:t>
                </m:r>
              </m:sub>
            </m:sSub>
          </m:num>
          <m:den>
            <m:sSub>
              <m:e>
                <m:r>
                  <w:rPr>
                    <w:rFonts w:ascii="Cambria Math" w:hAnsi="Cambria Math"/>
                    <w:sz w:val="21"/>
                    <w:szCs w:val="21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21"/>
                    <w:szCs w:val="21"/>
                  </w:rPr>
                  <m:t>d,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max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 − </m:t>
            </m:r>
            <m:sSub>
              <m:e>
                <m:r>
                  <w:rPr>
                    <w:rFonts w:ascii="Cambria Math" w:hAnsi="Cambria Math"/>
                    <w:sz w:val="21"/>
                    <w:szCs w:val="21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21"/>
                    <w:szCs w:val="21"/>
                  </w:rPr>
                  <m:t>d,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min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  <w:sz w:val="21"/>
            <w:szCs w:val="21"/>
          </w:rPr>
          <m:t> × 80 + 20</m:t>
        </m:r>
      </m:oMath>
      <w:r>
        <w:tab/>
      </w:r>
      <w:r>
        <w:rPr>
          <w:rFonts w:ascii="Times New Roman" w:hAnsi="Times New Roman" w:eastAsia="宋体" w:cs="Times New Roman"/>
          <w:sz w:val="21"/>
          <w:szCs w:val="21"/>
        </w:rPr>
        <w:t xml:space="preserve">(7)</w:t>
      </w:r>
    </w:p>
    <w:p>
      <w:pPr>
        <w:spacing w:line="300" w:lineRule="auto"/>
        <w:ind w:firstLineChars="200" w:firstLine="420"/>
      </w:pPr>
      <w:r>
        <w:rPr>
          <w:rFonts w:ascii="Times New Roman" w:hAnsi="Times New Roman" w:eastAsia="宋体" w:cs="Times New Roman"/>
          <w:sz w:val="21"/>
          <w:szCs w:val="21"/>
        </w:rPr>
        <w:t xml:space="preserve">式中：</w:t>
      </w:r>
      <w:r>
        <w:rPr>
          <w:rFonts w:ascii="Times New Roman" w:hAnsi="Times New Roman" w:eastAsia="宋体" w:cs="Times New Roman"/>
          <w:i/>
          <w:iCs/>
          <w:sz w:val="21"/>
          <w:szCs w:val="21"/>
        </w:rPr>
        <w:t xml:space="preserve">C</w:t>
      </w:r>
      <w:r>
        <w:rPr>
          <w:rFonts w:ascii="Times New Roman" w:hAnsi="Times New Roman" w:eastAsia="宋体" w:cs="Times New Roman"/>
          <w:sz w:val="21"/>
          <w:szCs w:val="21"/>
          <w:vertAlign w:val="subscript"/>
        </w:rPr>
        <w:t xml:space="preserve">d,min</w:t>
      </w:r>
      <w:r>
        <w:rPr>
          <w:rFonts w:ascii="Times New Roman" w:hAnsi="Times New Roman" w:eastAsia="宋体" w:cs="Times New Roman"/>
          <w:sz w:val="21"/>
          <w:szCs w:val="21"/>
        </w:rPr>
        <w:t xml:space="preserve"> 与 </w:t>
      </w:r>
      <w:r>
        <w:rPr>
          <w:rFonts w:ascii="Times New Roman" w:hAnsi="Times New Roman" w:eastAsia="宋体" w:cs="Times New Roman"/>
          <w:i/>
          <w:iCs/>
          <w:sz w:val="21"/>
          <w:szCs w:val="21"/>
        </w:rPr>
        <w:t xml:space="preserve">C</w:t>
      </w:r>
      <w:r>
        <w:rPr>
          <w:rFonts w:ascii="Times New Roman" w:hAnsi="Times New Roman" w:eastAsia="宋体" w:cs="Times New Roman"/>
          <w:sz w:val="21"/>
          <w:szCs w:val="21"/>
          <w:vertAlign w:val="subscript"/>
        </w:rPr>
        <w:t xml:space="preserve">d,max</w:t>
      </w:r>
      <w:r>
        <w:rPr>
          <w:rFonts w:ascii="Times New Roman" w:hAnsi="Times New Roman" w:eastAsia="宋体" w:cs="Times New Roman"/>
          <w:sz w:val="21"/>
          <w:szCs w:val="21"/>
        </w:rPr>
        <w:t xml:space="preserve"> 分别为全中心用户在维度 </w:t>
      </w:r>
      <w:r>
        <w:rPr>
          <w:rFonts w:ascii="Times New Roman" w:hAnsi="Times New Roman" w:eastAsia="宋体" w:cs="Times New Roman"/>
          <w:i/>
          <w:iCs/>
          <w:sz w:val="21"/>
          <w:szCs w:val="21"/>
        </w:rPr>
        <w:t xml:space="preserve">d</w:t>
      </w:r>
      <w:r>
        <w:rPr>
          <w:rFonts w:ascii="Times New Roman" w:hAnsi="Times New Roman" w:eastAsia="宋体" w:cs="Times New Roman"/>
          <w:sz w:val="21"/>
          <w:szCs w:val="21"/>
        </w:rPr>
        <w:t xml:space="preserve"> 上的最低与最高原始得分。结果映射至 [20, 100] 而非 [0, 100]，以避免最低分用户恒为 0、雷达图退化为尖刺；当 </w:t>
      </w:r>
      <w:r>
        <w:rPr>
          <w:rFonts w:ascii="Times New Roman" w:hAnsi="Times New Roman" w:eastAsia="宋体" w:cs="Times New Roman"/>
          <w:i/>
          <w:iCs/>
          <w:sz w:val="21"/>
          <w:szCs w:val="21"/>
        </w:rPr>
        <w:t xml:space="preserve">C</w:t>
      </w:r>
      <w:r>
        <w:rPr>
          <w:rFonts w:ascii="Times New Roman" w:hAnsi="Times New Roman" w:eastAsia="宋体" w:cs="Times New Roman"/>
          <w:sz w:val="21"/>
          <w:szCs w:val="21"/>
          <w:vertAlign w:val="subscript"/>
        </w:rPr>
        <w:t xml:space="preserve">d,max</w:t>
      </w:r>
      <w:r>
        <w:rPr>
          <w:rFonts w:ascii="Times New Roman" w:hAnsi="Times New Roman" w:eastAsia="宋体" w:cs="Times New Roman"/>
          <w:sz w:val="21"/>
          <w:szCs w:val="21"/>
        </w:rPr>
        <w:t xml:space="preserve"> = </w:t>
      </w:r>
      <w:r>
        <w:rPr>
          <w:rFonts w:ascii="Times New Roman" w:hAnsi="Times New Roman" w:eastAsia="宋体" w:cs="Times New Roman"/>
          <w:i/>
          <w:iCs/>
          <w:sz w:val="21"/>
          <w:szCs w:val="21"/>
        </w:rPr>
        <w:t xml:space="preserve">C</w:t>
      </w:r>
      <w:r>
        <w:rPr>
          <w:rFonts w:ascii="Times New Roman" w:hAnsi="Times New Roman" w:eastAsia="宋体" w:cs="Times New Roman"/>
          <w:sz w:val="21"/>
          <w:szCs w:val="21"/>
          <w:vertAlign w:val="subscript"/>
        </w:rPr>
        <w:t xml:space="preserve">d,min</w:t>
      </w:r>
      <w:r>
        <w:rPr>
          <w:rFonts w:ascii="Times New Roman" w:hAnsi="Times New Roman" w:eastAsia="宋体" w:cs="Times New Roman"/>
          <w:sz w:val="21"/>
          <w:szCs w:val="21"/>
        </w:rPr>
        <w:t xml:space="preserve"> 时直接取 </w:t>
      </w:r>
      <w:r>
        <w:rPr>
          <w:rFonts w:ascii="Times New Roman" w:hAnsi="Times New Roman" w:eastAsia="宋体" w:cs="Times New Roman"/>
          <w:i/>
          <w:iCs/>
          <w:sz w:val="21"/>
          <w:szCs w:val="21"/>
        </w:rPr>
        <w:t xml:space="preserve">C</w:t>
      </w:r>
      <w:r>
        <w:rPr>
          <w:rFonts w:ascii="Times New Roman" w:hAnsi="Times New Roman" w:eastAsia="宋体" w:cs="Times New Roman"/>
          <w:sz w:val="21"/>
          <w:szCs w:val="21"/>
        </w:rPr>
        <w:t xml:space="preserve">′</w:t>
      </w:r>
      <w:r>
        <w:rPr>
          <w:rFonts w:ascii="Times New Roman" w:hAnsi="Times New Roman" w:eastAsia="宋体" w:cs="Times New Roman"/>
          <w:sz w:val="21"/>
          <w:szCs w:val="21"/>
          <w:vertAlign w:val="subscript"/>
        </w:rPr>
        <w:t xml:space="preserve">d,u</w:t>
      </w:r>
      <w:r>
        <w:rPr>
          <w:rFonts w:ascii="Times New Roman" w:hAnsi="Times New Roman" w:eastAsia="宋体" w:cs="Times New Roman"/>
          <w:sz w:val="21"/>
          <w:szCs w:val="21"/>
        </w:rPr>
        <w:t xml:space="preserve"> = 60，避免分母为零。因二者随人员流动与年度产出变化，式(7)适用于同一周期内的横向比较，跨年度比较时以上线首年的分布为固定基准。归一化得分直接对应雷达图半径，前端另配积分趋势折线图、团队贡献矩阵与标签云图[10]。</w:t>
      </w:r>
    </w:p>
    <w:p>
      <w:pPr>
        <w:keepNext/>
        <w:keepLines/>
        <w:spacing w:beforeLines="15" w:before="45" w:afterLines="5" w:after="15"/>
        <w:jc w:val="center"/>
      </w:pPr>
      <w:r>
        <w:rPr>
          <w:rFonts w:ascii="Times New Roman" w:hAnsi="Times New Roman" w:eastAsia="宋体" w:cs="Times New Roman"/>
          <w:sz w:val="21"/>
          <w:szCs w:val="21"/>
        </w:rPr>
        <w:drawing>
          <wp:anchor distT="0" distB="0" distL="114300" distR="114300" simplePos="0" relativeHeight="251713024" behindDoc="0" locked="0" layoutInCell="1" allowOverlap="1" wp14:anchorId="6493539C" wp14:editId="410FDD2C">
            <wp:simplePos x="0" y="0"/>
            <wp:positionH relativeFrom="column">
              <wp:posOffset>2597150</wp:posOffset>
            </wp:positionH>
            <wp:positionV relativeFrom="paragraph">
              <wp:posOffset>152400</wp:posOffset>
            </wp:positionV>
            <wp:extent cx="2926080" cy="2762427"/>
            <wp:effectExtent l="0" t="0" r="0" b="0"/>
            <wp:wrapNone/>
            <wp:docPr id="1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500" t="5000" r="3000" b="480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080" cy="27624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>
      <w:pPr>
        <w:keepNext/>
        <w:keepLines/>
        <w:spacing w:beforeLines="10" w:before="30" w:afterLines="30" w:after="90"/>
        <w:jc w:val="center"/>
      </w:pPr>
      <w:r>
        <w:rPr>
          <w:rFonts w:ascii="Times New Roman" w:hAnsi="Times New Roman" w:eastAsia="黑体" w:cs="Times New Roman"/>
          <w:sz w:val="18"/>
          <w:szCs w:val="18"/>
        </w:rPr>
        <w:t xml:space="preserve">图 3  人才画像能力雷达图</w:t>
      </w:r>
    </w:p>
    <w:p>
      <w:pPr>
        <w:keepNext/>
        <w:keepLines/>
        <w:spacing w:beforeLines="30" w:before="90" w:afterLines="20" w:after="60"/>
        <w:outlineLvl w:val="1"/>
      </w:pPr>
      <w:r>
        <w:rPr>
          <w:rFonts w:ascii="Times New Roman" w:hAnsi="Times New Roman" w:eastAsia="黑体" w:cs="Times New Roman"/>
          <w:sz w:val="21"/>
          <w:szCs w:val="21"/>
        </w:rPr>
        <w:t xml:space="preserve">4.5  轻量级状态机工作流引擎</w:t>
      </w:r>
    </w:p>
    <w:p>
      <w:pPr>
        <w:spacing w:line="300" w:lineRule="auto"/>
        <w:ind w:firstLineChars="200" w:firstLine="420"/>
      </w:pPr>
      <w:r>
        <w:rPr>
          <w:rFonts w:ascii="Times New Roman" w:hAnsi="Times New Roman" w:eastAsia="宋体" w:cs="Times New Roman"/>
          <w:sz w:val="21"/>
          <w:szCs w:val="21"/>
        </w:rPr>
        <w:t xml:space="preserve">针对疾控中心审核流程相对固定但存在微调需求的特点，本文实现了无第三方框架依赖的状态机工作流引擎。引擎定义草稿、待初审、初审驳回、待复核、复核驳回、待终审与终审通过 7 种状态，以及提交、初审通过/驳回、复核通过/驳回、终审通过/驳回 7 种转换事件：草稿经提交进入待初审，初审与复核通过后依次进入待复核、待终审；任一环节驳回则回退至对应驳回态，修改后重新提交回到待初审。系统通过 workflow_config 表配置每个状态的处理人、处理时限与下一状态；事件触发时引擎依次校验操作权限、更新状态、记录操作日志、通知下一处理人，并在终审通过时触发积分计算。管理员可通过修改配置调整审核环节或处理人，无需重启系统[5]。</w:t>
      </w:r>
    </w:p>
    <w:p>
      <w:pPr>
        <w:keepNext/>
        <w:keepLines/>
        <w:spacing w:beforeLines="30" w:before="90" w:afterLines="20" w:after="60"/>
        <w:outlineLvl w:val="1"/>
      </w:pPr>
      <w:r>
        <w:rPr>
          <w:rFonts w:ascii="Times New Roman" w:hAnsi="Times New Roman" w:eastAsia="黑体" w:cs="Times New Roman"/>
          <w:sz w:val="21"/>
          <w:szCs w:val="21"/>
        </w:rPr>
        <w:t xml:space="preserve">4.6  性能优化与安全设计</w:t>
      </w:r>
    </w:p>
    <w:p>
      <w:pPr>
        <w:spacing w:beforeLines="6" w:before="18" w:line="300" w:lineRule="auto"/>
        <w:ind w:firstLineChars="200" w:firstLine="420"/>
      </w:pPr>
      <w:r>
        <w:rPr>
          <w:rFonts w:ascii="Times New Roman" w:hAnsi="Times New Roman" w:eastAsia="宋体" w:cs="Times New Roman"/>
          <w:sz w:val="21"/>
          <w:szCs w:val="21"/>
        </w:rPr>
        <w:t xml:space="preserve">系统引入 Redis 缓存应对高频积分查询，采用 Cache-Aside 模式（写入时先更新数据库再删除缓存），并以空值缓存与分布式锁分别防止缓存穿透与击穿[15]；数据库层面针对核心查询路径建立联合索引，启用慢查询日志并优化 InnoDB 配置[16]。安全方面整合 Spring Security 与 JWT 实现无状态认证，通过令牌过期与刷新防止会话劫持[14]；系统涉及 270 名科研人员的学历、职称与成果数据，均按《中华人民共和国个人信息保护法》实施最小必要采集与分级授权访问，敏感字段脱敏并留存审计日志。</w:t>
      </w:r>
    </w:p>
    <w:p>
      <w:pPr>
        <w:keepNext/>
        <w:keepLines/>
        <w:spacing w:beforeLines="50" w:before="150" w:afterLines="30" w:after="90"/>
        <w:outlineLvl w:val="0"/>
      </w:pPr>
      <w:r>
        <w:rPr>
          <w:rFonts w:ascii="Times New Roman" w:hAnsi="Times New Roman" w:eastAsia="黑体" w:cs="Times New Roman"/>
          <w:sz w:val="24"/>
          <w:szCs w:val="24"/>
        </w:rPr>
        <w:t xml:space="preserve">5  系统测试与应用效果</w:t>
      </w:r>
    </w:p>
    <w:p>
      <w:pPr>
        <w:spacing w:line="300" w:lineRule="auto"/>
        <w:ind w:firstLineChars="200" w:firstLine="420"/>
      </w:pPr>
      <w:r>
        <w:rPr>
          <w:rFonts w:ascii="Times New Roman" w:hAnsi="Times New Roman" w:eastAsia="宋体" w:cs="Times New Roman"/>
          <w:sz w:val="21"/>
          <w:szCs w:val="21"/>
        </w:rPr>
        <w:t xml:space="preserve">测试环境为 </w:t>
      </w:r>
      <w:r>
        <w:rPr>
          <w:rFonts w:ascii="Times New Roman" w:hAnsi="Times New Roman" w:eastAsia="宋体" w:cs="Times New Roman"/>
          <w:sz w:val="21"/>
          <w:szCs w:val="21"/>
          <w:highlight w:val="yellow"/>
        </w:rPr>
        <w:t xml:space="preserve">×× 核 CPU / ×× GB 内存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Times New Roman" w:hAnsi="Times New Roman" w:eastAsia="宋体" w:cs="Times New Roman"/>
          <w:sz w:val="21"/>
          <w:szCs w:val="21"/>
          <w:highlight w:val="yellow"/>
        </w:rPr>
        <w:t xml:space="preserve">CentOS ××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Times New Roman" w:hAnsi="Times New Roman" w:eastAsia="宋体" w:cs="Times New Roman"/>
          <w:sz w:val="21"/>
          <w:szCs w:val="21"/>
          <w:highlight w:val="yellow"/>
        </w:rPr>
        <w:t xml:space="preserve">OpenJDK ××</w:t>
      </w:r>
      <w:r>
        <w:rPr>
          <w:rFonts w:ascii="Times New Roman" w:hAnsi="Times New Roman" w:eastAsia="宋体" w:cs="Times New Roman"/>
          <w:sz w:val="21"/>
          <w:szCs w:val="21"/>
        </w:rPr>
        <w:t xml:space="preserve">、MySQL 8.0 与 </w:t>
      </w:r>
      <w:r>
        <w:rPr>
          <w:rFonts w:ascii="Times New Roman" w:hAnsi="Times New Roman" w:eastAsia="宋体" w:cs="Times New Roman"/>
          <w:sz w:val="21"/>
          <w:szCs w:val="21"/>
          <w:highlight w:val="yellow"/>
        </w:rPr>
        <w:t xml:space="preserve">Redis ××</w:t>
      </w:r>
      <w:r>
        <w:rPr>
          <w:rFonts w:ascii="Times New Roman" w:hAnsi="Times New Roman" w:eastAsia="宋体" w:cs="Times New Roman"/>
          <w:sz w:val="21"/>
          <w:szCs w:val="21"/>
        </w:rPr>
        <w:t xml:space="preserve">，压力测试工具为 Apache JMeter。按五大模块设计的功能测试用例覆盖正常流程、边界条件与异常输入，结果如表 2 所示；核心接口在不同并发下的性能（含关闭 Redis 缓存的对照）如表 3 所示。</w:t>
      </w:r>
    </w:p>
    <w:p>
      <w:pPr>
        <w:keepNext/>
        <w:keepLines/>
        <w:spacing w:beforeLines="12" w:before="36" w:afterLines="6" w:after="18"/>
        <w:jc w:val="center"/>
      </w:pPr>
      <w:r>
        <w:rPr>
          <w:rFonts w:ascii="Times New Roman" w:hAnsi="Times New Roman" w:eastAsia="黑体" w:cs="Times New Roman"/>
          <w:sz w:val="18"/>
          <w:szCs w:val="18"/>
        </w:rPr>
        <w:t xml:space="preserve">表 2  功能测试结果</w:t>
      </w:r>
    </w:p>
    <w:tbl>
      <w:tblPr>
        <w:tblW w:w="8306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28" w:type="dxa"/>
          <w:left w:w="64" w:type="dxa"/>
          <w:bottom w:w="28" w:type="dxa"/>
          <w:right w:w="64" w:type="dxa"/>
        </w:tblCellMar>
      </w:tblPr>
      <w:tblGrid>
        <w:gridCol w:w="1406"/>
        <w:gridCol w:w="1150"/>
        <w:gridCol w:w="1150"/>
        <w:gridCol w:w="1150"/>
        <w:gridCol w:w="1150"/>
        <w:gridCol w:w="1150"/>
        <w:gridCol w:w="1150"/>
      </w:tblGrid>
      <w:tr>
        <w:trPr>
          <w:cantSplit/>
          <w:tblHeader/>
        </w:trPr>
        <w:tc>
          <w:tcPr>
            <w:tcW w:w="1406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 xml:space="preserve">功能模块</w:t>
            </w:r>
          </w:p>
        </w:tc>
        <w:tc>
          <w:tcPr>
            <w:tcW w:w="1150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 xml:space="preserve">积分管理</w:t>
            </w:r>
          </w:p>
        </w:tc>
        <w:tc>
          <w:tcPr>
            <w:tcW w:w="1150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 xml:space="preserve">人才画像</w:t>
            </w:r>
          </w:p>
        </w:tc>
        <w:tc>
          <w:tcPr>
            <w:tcW w:w="1150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 xml:space="preserve">统计分析</w:t>
            </w:r>
          </w:p>
        </w:tc>
        <w:tc>
          <w:tcPr>
            <w:tcW w:w="1150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 xml:space="preserve">申报审核</w:t>
            </w:r>
          </w:p>
        </w:tc>
        <w:tc>
          <w:tcPr>
            <w:tcW w:w="1150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 xml:space="preserve">系统管理</w:t>
            </w:r>
          </w:p>
        </w:tc>
        <w:tc>
          <w:tcPr>
            <w:tcW w:w="1150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 xml:space="preserve">合计</w:t>
            </w:r>
          </w:p>
        </w:tc>
      </w:tr>
      <w:tr>
        <w:trPr>
          <w:cantSplit/>
        </w:trPr>
        <w:tc>
          <w:tcPr>
            <w:tcW w:w="1406" w:type="dxa"/>
            <w:tcBorders>
              <w:top w:val="nil" w:sz="0" w:space="0" w:color="auto"/>
              <w:left w:val="nil"/>
              <w:bottom w:val="nil" w:sz="0" w:space="0" w:color="auto"/>
              <w:right w:val="nil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用例数</w:t>
            </w:r>
          </w:p>
        </w:tc>
        <w:tc>
          <w:tcPr>
            <w:tcW w:w="1150" w:type="dxa"/>
            <w:tcBorders>
              <w:top w:val="nil" w:sz="0" w:space="0" w:color="auto"/>
              <w:left w:val="nil"/>
              <w:bottom w:val="nil" w:sz="0" w:space="0" w:color="auto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sz w:val="18"/>
                <w:szCs w:val="18"/>
                <w:highlight w:val="yellow"/>
              </w:rPr>
              <w:t xml:space="preserve">××</w:t>
            </w:r>
          </w:p>
        </w:tc>
        <w:tc>
          <w:tcPr>
            <w:tcW w:w="1150" w:type="dxa"/>
            <w:tcBorders>
              <w:top w:val="nil" w:sz="0" w:space="0" w:color="auto"/>
              <w:left w:val="nil"/>
              <w:bottom w:val="nil" w:sz="0" w:space="0" w:color="auto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sz w:val="18"/>
                <w:szCs w:val="18"/>
                <w:highlight w:val="yellow"/>
              </w:rPr>
              <w:t xml:space="preserve">××</w:t>
            </w:r>
          </w:p>
        </w:tc>
        <w:tc>
          <w:tcPr>
            <w:tcW w:w="1150" w:type="dxa"/>
            <w:tcBorders>
              <w:top w:val="nil" w:sz="0" w:space="0" w:color="auto"/>
              <w:left w:val="nil"/>
              <w:bottom w:val="nil" w:sz="0" w:space="0" w:color="auto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sz w:val="18"/>
                <w:szCs w:val="18"/>
                <w:highlight w:val="yellow"/>
              </w:rPr>
              <w:t xml:space="preserve">××</w:t>
            </w:r>
          </w:p>
        </w:tc>
        <w:tc>
          <w:tcPr>
            <w:tcW w:w="1150" w:type="dxa"/>
            <w:tcBorders>
              <w:top w:val="nil" w:sz="0" w:space="0" w:color="auto"/>
              <w:left w:val="nil"/>
              <w:bottom w:val="nil" w:sz="0" w:space="0" w:color="auto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sz w:val="18"/>
                <w:szCs w:val="18"/>
                <w:highlight w:val="yellow"/>
              </w:rPr>
              <w:t xml:space="preserve">××</w:t>
            </w:r>
          </w:p>
        </w:tc>
        <w:tc>
          <w:tcPr>
            <w:tcW w:w="1150" w:type="dxa"/>
            <w:tcBorders>
              <w:top w:val="nil" w:sz="0" w:space="0" w:color="auto"/>
              <w:left w:val="nil"/>
              <w:bottom w:val="nil" w:sz="0" w:space="0" w:color="auto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sz w:val="18"/>
                <w:szCs w:val="18"/>
                <w:highlight w:val="yellow"/>
              </w:rPr>
              <w:t xml:space="preserve">××</w:t>
            </w:r>
          </w:p>
        </w:tc>
        <w:tc>
          <w:tcPr>
            <w:tcW w:w="1150" w:type="dxa"/>
            <w:tcBorders>
              <w:top w:val="nil" w:sz="0" w:space="0" w:color="auto"/>
              <w:left w:val="nil"/>
              <w:bottom w:val="nil" w:sz="0" w:space="0" w:color="auto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sz w:val="18"/>
                <w:szCs w:val="18"/>
                <w:highlight w:val="yellow"/>
              </w:rPr>
              <w:t xml:space="preserve">××</w:t>
            </w:r>
          </w:p>
        </w:tc>
      </w:tr>
      <w:tr>
        <w:trPr>
          <w:cantSplit/>
        </w:trPr>
        <w:tc>
          <w:tcPr>
            <w:tcW w:w="1406" w:type="dxa"/>
            <w:tcBorders>
              <w:top w:val="nil" w:sz="0" w:space="0" w:color="auto"/>
              <w:left w:val="nil"/>
              <w:bottom w:val="nil" w:sz="0" w:space="0" w:color="auto"/>
              <w:right w:val="nil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通过数</w:t>
            </w:r>
          </w:p>
        </w:tc>
        <w:tc>
          <w:tcPr>
            <w:tcW w:w="1150" w:type="dxa"/>
            <w:tcBorders>
              <w:top w:val="nil" w:sz="0" w:space="0" w:color="auto"/>
              <w:left w:val="nil"/>
              <w:bottom w:val="nil" w:sz="0" w:space="0" w:color="auto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sz w:val="18"/>
                <w:szCs w:val="18"/>
                <w:highlight w:val="yellow"/>
              </w:rPr>
              <w:t xml:space="preserve">××</w:t>
            </w:r>
          </w:p>
        </w:tc>
        <w:tc>
          <w:tcPr>
            <w:tcW w:w="1150" w:type="dxa"/>
            <w:tcBorders>
              <w:top w:val="nil" w:sz="0" w:space="0" w:color="auto"/>
              <w:left w:val="nil"/>
              <w:bottom w:val="nil" w:sz="0" w:space="0" w:color="auto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sz w:val="18"/>
                <w:szCs w:val="18"/>
                <w:highlight w:val="yellow"/>
              </w:rPr>
              <w:t xml:space="preserve">××</w:t>
            </w:r>
          </w:p>
        </w:tc>
        <w:tc>
          <w:tcPr>
            <w:tcW w:w="1150" w:type="dxa"/>
            <w:tcBorders>
              <w:top w:val="nil" w:sz="0" w:space="0" w:color="auto"/>
              <w:left w:val="nil"/>
              <w:bottom w:val="nil" w:sz="0" w:space="0" w:color="auto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sz w:val="18"/>
                <w:szCs w:val="18"/>
                <w:highlight w:val="yellow"/>
              </w:rPr>
              <w:t xml:space="preserve">××</w:t>
            </w:r>
          </w:p>
        </w:tc>
        <w:tc>
          <w:tcPr>
            <w:tcW w:w="1150" w:type="dxa"/>
            <w:tcBorders>
              <w:top w:val="nil" w:sz="0" w:space="0" w:color="auto"/>
              <w:left w:val="nil"/>
              <w:bottom w:val="nil" w:sz="0" w:space="0" w:color="auto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sz w:val="18"/>
                <w:szCs w:val="18"/>
                <w:highlight w:val="yellow"/>
              </w:rPr>
              <w:t xml:space="preserve">××</w:t>
            </w:r>
          </w:p>
        </w:tc>
        <w:tc>
          <w:tcPr>
            <w:tcW w:w="1150" w:type="dxa"/>
            <w:tcBorders>
              <w:top w:val="nil" w:sz="0" w:space="0" w:color="auto"/>
              <w:left w:val="nil"/>
              <w:bottom w:val="nil" w:sz="0" w:space="0" w:color="auto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sz w:val="18"/>
                <w:szCs w:val="18"/>
                <w:highlight w:val="yellow"/>
              </w:rPr>
              <w:t xml:space="preserve">××</w:t>
            </w:r>
          </w:p>
        </w:tc>
        <w:tc>
          <w:tcPr>
            <w:tcW w:w="1150" w:type="dxa"/>
            <w:tcBorders>
              <w:top w:val="nil" w:sz="0" w:space="0" w:color="auto"/>
              <w:left w:val="nil"/>
              <w:bottom w:val="nil" w:sz="0" w:space="0" w:color="auto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sz w:val="18"/>
                <w:szCs w:val="18"/>
                <w:highlight w:val="yellow"/>
              </w:rPr>
              <w:t xml:space="preserve">××</w:t>
            </w:r>
          </w:p>
        </w:tc>
      </w:tr>
      <w:tr>
        <w:trPr>
          <w:cantSplit/>
        </w:trPr>
        <w:tc>
          <w:tcPr>
            <w:tcW w:w="1406" w:type="dxa"/>
            <w:tcBorders>
              <w:top w:val="nil" w:sz="0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通过率 / %</w:t>
            </w:r>
          </w:p>
        </w:tc>
        <w:tc>
          <w:tcPr>
            <w:tcW w:w="1150" w:type="dxa"/>
            <w:tcBorders>
              <w:top w:val="nil" w:sz="0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sz w:val="18"/>
                <w:szCs w:val="18"/>
                <w:highlight w:val="yellow"/>
              </w:rPr>
              <w:t xml:space="preserve">××</w:t>
            </w:r>
          </w:p>
        </w:tc>
        <w:tc>
          <w:tcPr>
            <w:tcW w:w="1150" w:type="dxa"/>
            <w:tcBorders>
              <w:top w:val="nil" w:sz="0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sz w:val="18"/>
                <w:szCs w:val="18"/>
                <w:highlight w:val="yellow"/>
              </w:rPr>
              <w:t xml:space="preserve">××</w:t>
            </w:r>
          </w:p>
        </w:tc>
        <w:tc>
          <w:tcPr>
            <w:tcW w:w="1150" w:type="dxa"/>
            <w:tcBorders>
              <w:top w:val="nil" w:sz="0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sz w:val="18"/>
                <w:szCs w:val="18"/>
                <w:highlight w:val="yellow"/>
              </w:rPr>
              <w:t xml:space="preserve">××</w:t>
            </w:r>
          </w:p>
        </w:tc>
        <w:tc>
          <w:tcPr>
            <w:tcW w:w="1150" w:type="dxa"/>
            <w:tcBorders>
              <w:top w:val="nil" w:sz="0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sz w:val="18"/>
                <w:szCs w:val="18"/>
                <w:highlight w:val="yellow"/>
              </w:rPr>
              <w:t xml:space="preserve">××</w:t>
            </w:r>
          </w:p>
        </w:tc>
        <w:tc>
          <w:tcPr>
            <w:tcW w:w="1150" w:type="dxa"/>
            <w:tcBorders>
              <w:top w:val="nil" w:sz="0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sz w:val="18"/>
                <w:szCs w:val="18"/>
                <w:highlight w:val="yellow"/>
              </w:rPr>
              <w:t xml:space="preserve">××</w:t>
            </w:r>
          </w:p>
        </w:tc>
        <w:tc>
          <w:tcPr>
            <w:tcW w:w="1150" w:type="dxa"/>
            <w:tcBorders>
              <w:top w:val="nil" w:sz="0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sz w:val="18"/>
                <w:szCs w:val="18"/>
                <w:highlight w:val="yellow"/>
              </w:rPr>
              <w:t xml:space="preserve">××</w:t>
            </w:r>
          </w:p>
        </w:tc>
      </w:tr>
    </w:tbl>
    <w:p>
      <w:pPr>
        <w:keepNext/>
        <w:keepLines/>
        <w:spacing w:beforeLines="12" w:before="36" w:afterLines="6" w:after="18"/>
        <w:jc w:val="center"/>
      </w:pPr>
      <w:r>
        <w:rPr>
          <w:rFonts w:ascii="Times New Roman" w:hAnsi="Times New Roman" w:eastAsia="黑体" w:cs="Times New Roman"/>
          <w:sz w:val="18"/>
          <w:szCs w:val="18"/>
        </w:rPr>
        <w:t xml:space="preserve">表 3  核心接口性能测试结果</w:t>
      </w:r>
    </w:p>
    <w:tbl>
      <w:tblPr>
        <w:tblW w:w="8306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28" w:type="dxa"/>
          <w:left w:w="64" w:type="dxa"/>
          <w:bottom w:w="28" w:type="dxa"/>
          <w:right w:w="64" w:type="dxa"/>
        </w:tblCellMar>
      </w:tblPr>
      <w:tblGrid>
        <w:gridCol w:w="1300"/>
        <w:gridCol w:w="1500"/>
        <w:gridCol w:w="1400"/>
        <w:gridCol w:w="1500"/>
        <w:gridCol w:w="1100"/>
        <w:gridCol w:w="1506"/>
      </w:tblGrid>
      <w:tr>
        <w:trPr>
          <w:cantSplit/>
          <w:tblHeader/>
        </w:trPr>
        <w:tc>
          <w:tcPr>
            <w:tcW w:w="1300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 xml:space="preserve">并发用户数</w:t>
            </w:r>
          </w:p>
        </w:tc>
        <w:tc>
          <w:tcPr>
            <w:tcW w:w="1500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 xml:space="preserve">平均响应 / ms</w:t>
            </w:r>
          </w:p>
        </w:tc>
        <w:tc>
          <w:tcPr>
            <w:tcW w:w="1400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 xml:space="preserve">95% 响应 / ms</w:t>
            </w:r>
          </w:p>
        </w:tc>
        <w:tc>
          <w:tcPr>
            <w:tcW w:w="1500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 xml:space="preserve">吞吐量 / (次·s⁻¹)</w:t>
            </w:r>
          </w:p>
        </w:tc>
        <w:tc>
          <w:tcPr>
            <w:tcW w:w="1100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 xml:space="preserve">错误率 / %</w:t>
            </w:r>
          </w:p>
        </w:tc>
        <w:tc>
          <w:tcPr>
            <w:tcW w:w="1506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 xml:space="preserve">关闭缓存平均响应 / ms</w:t>
            </w:r>
          </w:p>
        </w:tc>
      </w:tr>
      <w:tr>
        <w:trPr>
          <w:cantSplit/>
        </w:trPr>
        <w:tc>
          <w:tcPr>
            <w:tcW w:w="1300" w:type="dxa"/>
            <w:tcBorders>
              <w:top w:val="nil" w:sz="0" w:space="0" w:color="auto"/>
              <w:left w:val="nil"/>
              <w:bottom w:val="nil" w:sz="0" w:space="0" w:color="auto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50</w:t>
            </w:r>
          </w:p>
        </w:tc>
        <w:tc>
          <w:tcPr>
            <w:tcW w:w="1500" w:type="dxa"/>
            <w:tcBorders>
              <w:top w:val="nil" w:sz="0" w:space="0" w:color="auto"/>
              <w:left w:val="nil"/>
              <w:bottom w:val="nil" w:sz="0" w:space="0" w:color="auto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sz w:val="18"/>
                <w:szCs w:val="18"/>
                <w:highlight w:val="yellow"/>
              </w:rPr>
              <w:t xml:space="preserve">××</w:t>
            </w:r>
          </w:p>
        </w:tc>
        <w:tc>
          <w:tcPr>
            <w:tcW w:w="1400" w:type="dxa"/>
            <w:tcBorders>
              <w:top w:val="nil" w:sz="0" w:space="0" w:color="auto"/>
              <w:left w:val="nil"/>
              <w:bottom w:val="nil" w:sz="0" w:space="0" w:color="auto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sz w:val="18"/>
                <w:szCs w:val="18"/>
                <w:highlight w:val="yellow"/>
              </w:rPr>
              <w:t xml:space="preserve">××</w:t>
            </w:r>
          </w:p>
        </w:tc>
        <w:tc>
          <w:tcPr>
            <w:tcW w:w="1500" w:type="dxa"/>
            <w:tcBorders>
              <w:top w:val="nil" w:sz="0" w:space="0" w:color="auto"/>
              <w:left w:val="nil"/>
              <w:bottom w:val="nil" w:sz="0" w:space="0" w:color="auto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sz w:val="18"/>
                <w:szCs w:val="18"/>
                <w:highlight w:val="yellow"/>
              </w:rPr>
              <w:t xml:space="preserve">××</w:t>
            </w:r>
          </w:p>
        </w:tc>
        <w:tc>
          <w:tcPr>
            <w:tcW w:w="1100" w:type="dxa"/>
            <w:tcBorders>
              <w:top w:val="nil" w:sz="0" w:space="0" w:color="auto"/>
              <w:left w:val="nil"/>
              <w:bottom w:val="nil" w:sz="0" w:space="0" w:color="auto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sz w:val="18"/>
                <w:szCs w:val="18"/>
                <w:highlight w:val="yellow"/>
              </w:rPr>
              <w:t xml:space="preserve">××</w:t>
            </w:r>
          </w:p>
        </w:tc>
        <w:tc>
          <w:tcPr>
            <w:tcW w:w="1506" w:type="dxa"/>
            <w:tcBorders>
              <w:top w:val="nil" w:sz="0" w:space="0" w:color="auto"/>
              <w:left w:val="nil"/>
              <w:bottom w:val="nil" w:sz="0" w:space="0" w:color="auto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sz w:val="18"/>
                <w:szCs w:val="18"/>
                <w:highlight w:val="yellow"/>
              </w:rPr>
              <w:t xml:space="preserve">××</w:t>
            </w:r>
          </w:p>
        </w:tc>
      </w:tr>
      <w:tr>
        <w:trPr>
          <w:cantSplit/>
        </w:trPr>
        <w:tc>
          <w:tcPr>
            <w:tcW w:w="1300" w:type="dxa"/>
            <w:tcBorders>
              <w:top w:val="nil" w:sz="0" w:space="0" w:color="auto"/>
              <w:left w:val="nil"/>
              <w:bottom w:val="nil" w:sz="0" w:space="0" w:color="auto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100</w:t>
            </w:r>
          </w:p>
        </w:tc>
        <w:tc>
          <w:tcPr>
            <w:tcW w:w="1500" w:type="dxa"/>
            <w:tcBorders>
              <w:top w:val="nil" w:sz="0" w:space="0" w:color="auto"/>
              <w:left w:val="nil"/>
              <w:bottom w:val="nil" w:sz="0" w:space="0" w:color="auto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sz w:val="18"/>
                <w:szCs w:val="18"/>
                <w:highlight w:val="yellow"/>
              </w:rPr>
              <w:t xml:space="preserve">××</w:t>
            </w:r>
          </w:p>
        </w:tc>
        <w:tc>
          <w:tcPr>
            <w:tcW w:w="1400" w:type="dxa"/>
            <w:tcBorders>
              <w:top w:val="nil" w:sz="0" w:space="0" w:color="auto"/>
              <w:left w:val="nil"/>
              <w:bottom w:val="nil" w:sz="0" w:space="0" w:color="auto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sz w:val="18"/>
                <w:szCs w:val="18"/>
                <w:highlight w:val="yellow"/>
              </w:rPr>
              <w:t xml:space="preserve">××</w:t>
            </w:r>
          </w:p>
        </w:tc>
        <w:tc>
          <w:tcPr>
            <w:tcW w:w="1500" w:type="dxa"/>
            <w:tcBorders>
              <w:top w:val="nil" w:sz="0" w:space="0" w:color="auto"/>
              <w:left w:val="nil"/>
              <w:bottom w:val="nil" w:sz="0" w:space="0" w:color="auto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sz w:val="18"/>
                <w:szCs w:val="18"/>
                <w:highlight w:val="yellow"/>
              </w:rPr>
              <w:t xml:space="preserve">××</w:t>
            </w:r>
          </w:p>
        </w:tc>
        <w:tc>
          <w:tcPr>
            <w:tcW w:w="1100" w:type="dxa"/>
            <w:tcBorders>
              <w:top w:val="nil" w:sz="0" w:space="0" w:color="auto"/>
              <w:left w:val="nil"/>
              <w:bottom w:val="nil" w:sz="0" w:space="0" w:color="auto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sz w:val="18"/>
                <w:szCs w:val="18"/>
                <w:highlight w:val="yellow"/>
              </w:rPr>
              <w:t xml:space="preserve">××</w:t>
            </w:r>
          </w:p>
        </w:tc>
        <w:tc>
          <w:tcPr>
            <w:tcW w:w="1506" w:type="dxa"/>
            <w:tcBorders>
              <w:top w:val="nil" w:sz="0" w:space="0" w:color="auto"/>
              <w:left w:val="nil"/>
              <w:bottom w:val="nil" w:sz="0" w:space="0" w:color="auto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sz w:val="18"/>
                <w:szCs w:val="18"/>
                <w:highlight w:val="yellow"/>
              </w:rPr>
              <w:t xml:space="preserve">××</w:t>
            </w:r>
          </w:p>
        </w:tc>
      </w:tr>
      <w:tr>
        <w:trPr>
          <w:cantSplit/>
        </w:trPr>
        <w:tc>
          <w:tcPr>
            <w:tcW w:w="1300" w:type="dxa"/>
            <w:tcBorders>
              <w:top w:val="nil" w:sz="0" w:space="0" w:color="auto"/>
              <w:left w:val="nil"/>
              <w:bottom w:val="nil" w:sz="0" w:space="0" w:color="auto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200</w:t>
            </w:r>
          </w:p>
        </w:tc>
        <w:tc>
          <w:tcPr>
            <w:tcW w:w="1500" w:type="dxa"/>
            <w:tcBorders>
              <w:top w:val="nil" w:sz="0" w:space="0" w:color="auto"/>
              <w:left w:val="nil"/>
              <w:bottom w:val="nil" w:sz="0" w:space="0" w:color="auto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sz w:val="18"/>
                <w:szCs w:val="18"/>
                <w:highlight w:val="yellow"/>
              </w:rPr>
              <w:t xml:space="preserve">××</w:t>
            </w:r>
          </w:p>
        </w:tc>
        <w:tc>
          <w:tcPr>
            <w:tcW w:w="1400" w:type="dxa"/>
            <w:tcBorders>
              <w:top w:val="nil" w:sz="0" w:space="0" w:color="auto"/>
              <w:left w:val="nil"/>
              <w:bottom w:val="nil" w:sz="0" w:space="0" w:color="auto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sz w:val="18"/>
                <w:szCs w:val="18"/>
                <w:highlight w:val="yellow"/>
              </w:rPr>
              <w:t xml:space="preserve">××</w:t>
            </w:r>
          </w:p>
        </w:tc>
        <w:tc>
          <w:tcPr>
            <w:tcW w:w="1500" w:type="dxa"/>
            <w:tcBorders>
              <w:top w:val="nil" w:sz="0" w:space="0" w:color="auto"/>
              <w:left w:val="nil"/>
              <w:bottom w:val="nil" w:sz="0" w:space="0" w:color="auto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sz w:val="18"/>
                <w:szCs w:val="18"/>
                <w:highlight w:val="yellow"/>
              </w:rPr>
              <w:t xml:space="preserve">××</w:t>
            </w:r>
          </w:p>
        </w:tc>
        <w:tc>
          <w:tcPr>
            <w:tcW w:w="1100" w:type="dxa"/>
            <w:tcBorders>
              <w:top w:val="nil" w:sz="0" w:space="0" w:color="auto"/>
              <w:left w:val="nil"/>
              <w:bottom w:val="nil" w:sz="0" w:space="0" w:color="auto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sz w:val="18"/>
                <w:szCs w:val="18"/>
                <w:highlight w:val="yellow"/>
              </w:rPr>
              <w:t xml:space="preserve">××</w:t>
            </w:r>
          </w:p>
        </w:tc>
        <w:tc>
          <w:tcPr>
            <w:tcW w:w="1506" w:type="dxa"/>
            <w:tcBorders>
              <w:top w:val="nil" w:sz="0" w:space="0" w:color="auto"/>
              <w:left w:val="nil"/>
              <w:bottom w:val="nil" w:sz="0" w:space="0" w:color="auto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sz w:val="18"/>
                <w:szCs w:val="18"/>
                <w:highlight w:val="yellow"/>
              </w:rPr>
              <w:t xml:space="preserve">××</w:t>
            </w:r>
          </w:p>
        </w:tc>
      </w:tr>
      <w:tr>
        <w:trPr>
          <w:cantSplit/>
        </w:trPr>
        <w:tc>
          <w:tcPr>
            <w:tcW w:w="1300" w:type="dxa"/>
            <w:tcBorders>
              <w:top w:val="nil" w:sz="0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500</w:t>
            </w:r>
          </w:p>
        </w:tc>
        <w:tc>
          <w:tcPr>
            <w:tcW w:w="1500" w:type="dxa"/>
            <w:tcBorders>
              <w:top w:val="nil" w:sz="0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sz w:val="18"/>
                <w:szCs w:val="18"/>
                <w:highlight w:val="yellow"/>
              </w:rPr>
              <w:t xml:space="preserve">××</w:t>
            </w:r>
          </w:p>
        </w:tc>
        <w:tc>
          <w:tcPr>
            <w:tcW w:w="1400" w:type="dxa"/>
            <w:tcBorders>
              <w:top w:val="nil" w:sz="0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sz w:val="18"/>
                <w:szCs w:val="18"/>
                <w:highlight w:val="yellow"/>
              </w:rPr>
              <w:t xml:space="preserve">××</w:t>
            </w:r>
          </w:p>
        </w:tc>
        <w:tc>
          <w:tcPr>
            <w:tcW w:w="1500" w:type="dxa"/>
            <w:tcBorders>
              <w:top w:val="nil" w:sz="0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sz w:val="18"/>
                <w:szCs w:val="18"/>
                <w:highlight w:val="yellow"/>
              </w:rPr>
              <w:t xml:space="preserve">××</w:t>
            </w:r>
          </w:p>
        </w:tc>
        <w:tc>
          <w:tcPr>
            <w:tcW w:w="1100" w:type="dxa"/>
            <w:tcBorders>
              <w:top w:val="nil" w:sz="0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sz w:val="18"/>
                <w:szCs w:val="18"/>
                <w:highlight w:val="yellow"/>
              </w:rPr>
              <w:t xml:space="preserve">××</w:t>
            </w:r>
          </w:p>
        </w:tc>
        <w:tc>
          <w:tcPr>
            <w:tcW w:w="1506" w:type="dxa"/>
            <w:tcBorders>
              <w:top w:val="nil" w:sz="0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sz w:val="18"/>
                <w:szCs w:val="18"/>
                <w:highlight w:val="yellow"/>
              </w:rPr>
              <w:t xml:space="preserve">××</w:t>
            </w:r>
          </w:p>
        </w:tc>
      </w:tr>
    </w:tbl>
    <w:p>
      <w:pPr>
        <w:spacing w:beforeLines="6" w:before="18" w:line="300" w:lineRule="auto"/>
        <w:ind w:firstLineChars="200" w:firstLine="420"/>
      </w:pPr>
      <w:r>
        <w:rPr>
          <w:rFonts w:ascii="Times New Roman" w:hAnsi="Times New Roman" w:eastAsia="宋体" w:cs="Times New Roman"/>
          <w:sz w:val="21"/>
          <w:szCs w:val="21"/>
        </w:rPr>
        <w:t xml:space="preserve">为评价标签准确性，从 270 名科研人员中随机抽取 </w:t>
      </w:r>
      <w:r>
        <w:rPr>
          <w:rFonts w:ascii="Times New Roman" w:hAnsi="Times New Roman" w:eastAsia="宋体" w:cs="Times New Roman"/>
          <w:sz w:val="21"/>
          <w:szCs w:val="21"/>
          <w:highlight w:val="yellow"/>
        </w:rPr>
        <w:t xml:space="preserve">××</w:t>
      </w:r>
      <w:r>
        <w:rPr>
          <w:rFonts w:ascii="Times New Roman" w:hAnsi="Times New Roman" w:eastAsia="宋体" w:cs="Times New Roman"/>
          <w:sz w:val="21"/>
          <w:szCs w:val="21"/>
        </w:rPr>
        <w:t xml:space="preserve"> 名，由 3 名科研管理专家依据其近三年科研档案独立标注能力标签，以三人一致的结果为金标准与系统输出比对。系统共生成 32 个动态能力标签，准确率 </w:t>
      </w:r>
      <w:r>
        <w:rPr>
          <w:rFonts w:ascii="Times New Roman" w:hAnsi="Times New Roman" w:eastAsia="宋体" w:cs="Times New Roman"/>
          <w:sz w:val="21"/>
          <w:szCs w:val="21"/>
          <w:highlight w:val="yellow"/>
        </w:rPr>
        <w:t xml:space="preserve">××</w:t>
      </w:r>
      <w:r>
        <w:rPr>
          <w:rFonts w:ascii="Times New Roman" w:hAnsi="Times New Roman" w:eastAsia="宋体" w:cs="Times New Roman"/>
          <w:sz w:val="21"/>
          <w:szCs w:val="21"/>
        </w:rPr>
        <w:t xml:space="preserve">%、召回率 </w:t>
      </w:r>
      <w:r>
        <w:rPr>
          <w:rFonts w:ascii="Times New Roman" w:hAnsi="Times New Roman" w:eastAsia="宋体" w:cs="Times New Roman"/>
          <w:sz w:val="21"/>
          <w:szCs w:val="21"/>
          <w:highlight w:val="yellow"/>
        </w:rPr>
        <w:t xml:space="preserve">××</w:t>
      </w:r>
      <w:r>
        <w:rPr>
          <w:rFonts w:ascii="Times New Roman" w:hAnsi="Times New Roman" w:eastAsia="宋体" w:cs="Times New Roman"/>
          <w:sz w:val="21"/>
          <w:szCs w:val="21"/>
        </w:rPr>
        <w:t xml:space="preserve">%、</w:t>
      </w:r>
      <w:r>
        <w:rPr>
          <w:rFonts w:ascii="Times New Roman" w:hAnsi="Times New Roman" w:eastAsia="宋体" w:cs="Times New Roman"/>
          <w:i/>
          <w:iCs/>
          <w:sz w:val="21"/>
          <w:szCs w:val="21"/>
        </w:rPr>
        <w:t xml:space="preserve">F</w:t>
      </w:r>
      <w:r>
        <w:rPr>
          <w:rFonts w:ascii="Times New Roman" w:hAnsi="Times New Roman" w:eastAsia="宋体" w:cs="Times New Roman"/>
          <w:sz w:val="21"/>
          <w:szCs w:val="21"/>
        </w:rPr>
        <w:t xml:space="preserve">1 值 </w:t>
      </w:r>
      <w:r>
        <w:rPr>
          <w:rFonts w:ascii="Times New Roman" w:hAnsi="Times New Roman" w:eastAsia="宋体" w:cs="Times New Roman"/>
          <w:sz w:val="21"/>
          <w:szCs w:val="21"/>
          <w:highlight w:val="yellow"/>
        </w:rPr>
        <w:t xml:space="preserve">××</w:t>
      </w:r>
      <w:r>
        <w:rPr>
          <w:rFonts w:ascii="Times New Roman" w:hAnsi="Times New Roman" w:eastAsia="宋体" w:cs="Times New Roman"/>
          <w:sz w:val="21"/>
          <w:szCs w:val="21"/>
        </w:rPr>
        <w:t xml:space="preserve">，专家标注 Kappa 系数 </w:t>
      </w:r>
      <w:r>
        <w:rPr>
          <w:rFonts w:ascii="Times New Roman" w:hAnsi="Times New Roman" w:eastAsia="宋体" w:cs="Times New Roman"/>
          <w:sz w:val="21"/>
          <w:szCs w:val="21"/>
          <w:highlight w:val="yellow"/>
        </w:rPr>
        <w:t xml:space="preserve">××</w:t>
      </w:r>
      <w:r>
        <w:rPr>
          <w:rFonts w:ascii="Times New Roman" w:hAnsi="Times New Roman" w:eastAsia="宋体" w:cs="Times New Roman"/>
          <w:sz w:val="21"/>
          <w:szCs w:val="21"/>
        </w:rPr>
        <w:t xml:space="preserve">。以上线前后各 3 个月的科研管理台账与系统日志为数据源的应用效果对比如表 4 所示。</w:t>
      </w:r>
    </w:p>
    <w:p>
      <w:pPr>
        <w:keepNext/>
        <w:keepLines/>
        <w:spacing w:beforeLines="12" w:before="36" w:afterLines="6" w:after="18"/>
        <w:jc w:val="center"/>
      </w:pPr>
      <w:r>
        <w:rPr>
          <w:rFonts w:ascii="Times New Roman" w:hAnsi="Times New Roman" w:eastAsia="黑体" w:cs="Times New Roman"/>
          <w:sz w:val="18"/>
          <w:szCs w:val="18"/>
        </w:rPr>
        <w:t xml:space="preserve">表 4  系统上线前后应用效果对比</w:t>
      </w:r>
    </w:p>
    <w:tbl>
      <w:tblPr>
        <w:tblW w:w="8306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28" w:type="dxa"/>
          <w:left w:w="64" w:type="dxa"/>
          <w:bottom w:w="28" w:type="dxa"/>
          <w:right w:w="64" w:type="dxa"/>
        </w:tblCellMar>
      </w:tblPr>
      <w:tblGrid>
        <w:gridCol w:w="1806"/>
        <w:gridCol w:w="1300"/>
        <w:gridCol w:w="1500"/>
        <w:gridCol w:w="1300"/>
        <w:gridCol w:w="1200"/>
        <w:gridCol w:w="1200"/>
      </w:tblGrid>
      <w:tr>
        <w:trPr>
          <w:cantSplit/>
          <w:tblHeader/>
        </w:trPr>
        <w:tc>
          <w:tcPr>
            <w:tcW w:w="1806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 xml:space="preserve">指标</w:t>
            </w:r>
          </w:p>
        </w:tc>
        <w:tc>
          <w:tcPr>
            <w:tcW w:w="1300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 xml:space="preserve">申报单量 / 件</w:t>
            </w:r>
          </w:p>
        </w:tc>
        <w:tc>
          <w:tcPr>
            <w:tcW w:w="1500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 xml:space="preserve">平均审核周期 / d</w:t>
            </w:r>
          </w:p>
        </w:tc>
        <w:tc>
          <w:tcPr>
            <w:tcW w:w="1300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 xml:space="preserve">超时未办结 / 件</w:t>
            </w:r>
          </w:p>
        </w:tc>
        <w:tc>
          <w:tcPr>
            <w:tcW w:w="1200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 xml:space="preserve">核算差错 / 件</w:t>
            </w:r>
          </w:p>
        </w:tc>
        <w:tc>
          <w:tcPr>
            <w:tcW w:w="1200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 xml:space="preserve">人均月查询 / 次</w:t>
            </w:r>
          </w:p>
        </w:tc>
      </w:tr>
      <w:tr>
        <w:trPr>
          <w:cantSplit/>
        </w:trPr>
        <w:tc>
          <w:tcPr>
            <w:tcW w:w="1806" w:type="dxa"/>
            <w:tcBorders>
              <w:top w:val="nil" w:sz="0" w:space="0" w:color="auto"/>
              <w:left w:val="nil"/>
              <w:bottom w:val="nil" w:sz="0" w:space="0" w:color="auto"/>
              <w:right w:val="nil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上线前（线下）</w:t>
            </w:r>
          </w:p>
        </w:tc>
        <w:tc>
          <w:tcPr>
            <w:tcW w:w="1300" w:type="dxa"/>
            <w:tcBorders>
              <w:top w:val="nil" w:sz="0" w:space="0" w:color="auto"/>
              <w:left w:val="nil"/>
              <w:bottom w:val="nil" w:sz="0" w:space="0" w:color="auto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sz w:val="18"/>
                <w:szCs w:val="18"/>
                <w:highlight w:val="yellow"/>
              </w:rPr>
              <w:t xml:space="preserve">××</w:t>
            </w:r>
          </w:p>
        </w:tc>
        <w:tc>
          <w:tcPr>
            <w:tcW w:w="1500" w:type="dxa"/>
            <w:tcBorders>
              <w:top w:val="nil" w:sz="0" w:space="0" w:color="auto"/>
              <w:left w:val="nil"/>
              <w:bottom w:val="nil" w:sz="0" w:space="0" w:color="auto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sz w:val="18"/>
                <w:szCs w:val="18"/>
                <w:highlight w:val="yellow"/>
              </w:rPr>
              <w:t xml:space="preserve">××</w:t>
            </w:r>
          </w:p>
        </w:tc>
        <w:tc>
          <w:tcPr>
            <w:tcW w:w="1300" w:type="dxa"/>
            <w:tcBorders>
              <w:top w:val="nil" w:sz="0" w:space="0" w:color="auto"/>
              <w:left w:val="nil"/>
              <w:bottom w:val="nil" w:sz="0" w:space="0" w:color="auto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sz w:val="18"/>
                <w:szCs w:val="18"/>
                <w:highlight w:val="yellow"/>
              </w:rPr>
              <w:t xml:space="preserve">××</w:t>
            </w:r>
          </w:p>
        </w:tc>
        <w:tc>
          <w:tcPr>
            <w:tcW w:w="1200" w:type="dxa"/>
            <w:tcBorders>
              <w:top w:val="nil" w:sz="0" w:space="0" w:color="auto"/>
              <w:left w:val="nil"/>
              <w:bottom w:val="nil" w:sz="0" w:space="0" w:color="auto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sz w:val="18"/>
                <w:szCs w:val="18"/>
                <w:highlight w:val="yellow"/>
              </w:rPr>
              <w:t xml:space="preserve">××</w:t>
            </w:r>
          </w:p>
        </w:tc>
        <w:tc>
          <w:tcPr>
            <w:tcW w:w="1200" w:type="dxa"/>
            <w:tcBorders>
              <w:top w:val="nil" w:sz="0" w:space="0" w:color="auto"/>
              <w:left w:val="nil"/>
              <w:bottom w:val="nil" w:sz="0" w:space="0" w:color="auto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sz w:val="18"/>
                <w:szCs w:val="18"/>
                <w:highlight w:val="yellow"/>
              </w:rPr>
              <w:t xml:space="preserve">××</w:t>
            </w:r>
          </w:p>
        </w:tc>
      </w:tr>
      <w:tr>
        <w:trPr>
          <w:cantSplit/>
        </w:trPr>
        <w:tc>
          <w:tcPr>
            <w:tcW w:w="1806" w:type="dxa"/>
            <w:tcBorders>
              <w:top w:val="nil" w:sz="0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上线后（系统）</w:t>
            </w:r>
          </w:p>
        </w:tc>
        <w:tc>
          <w:tcPr>
            <w:tcW w:w="1300" w:type="dxa"/>
            <w:tcBorders>
              <w:top w:val="nil" w:sz="0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sz w:val="18"/>
                <w:szCs w:val="18"/>
                <w:highlight w:val="yellow"/>
              </w:rPr>
              <w:t xml:space="preserve">××</w:t>
            </w:r>
          </w:p>
        </w:tc>
        <w:tc>
          <w:tcPr>
            <w:tcW w:w="1500" w:type="dxa"/>
            <w:tcBorders>
              <w:top w:val="nil" w:sz="0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sz w:val="18"/>
                <w:szCs w:val="18"/>
                <w:highlight w:val="yellow"/>
              </w:rPr>
              <w:t xml:space="preserve">××</w:t>
            </w:r>
          </w:p>
        </w:tc>
        <w:tc>
          <w:tcPr>
            <w:tcW w:w="1300" w:type="dxa"/>
            <w:tcBorders>
              <w:top w:val="nil" w:sz="0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sz w:val="18"/>
                <w:szCs w:val="18"/>
                <w:highlight w:val="yellow"/>
              </w:rPr>
              <w:t xml:space="preserve">××</w:t>
            </w:r>
          </w:p>
        </w:tc>
        <w:tc>
          <w:tcPr>
            <w:tcW w:w="1200" w:type="dxa"/>
            <w:tcBorders>
              <w:top w:val="nil" w:sz="0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0</w:t>
            </w:r>
          </w:p>
        </w:tc>
        <w:tc>
          <w:tcPr>
            <w:tcW w:w="1200" w:type="dxa"/>
            <w:tcBorders>
              <w:top w:val="nil" w:sz="0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sz w:val="18"/>
                <w:szCs w:val="18"/>
                <w:highlight w:val="yellow"/>
              </w:rPr>
              <w:t xml:space="preserve">××</w:t>
            </w:r>
          </w:p>
        </w:tc>
      </w:tr>
    </w:tbl>
    <w:p>
      <w:pPr>
        <w:spacing w:beforeLines="6" w:before="18" w:line="300" w:lineRule="auto"/>
        <w:ind w:firstLineChars="200" w:firstLine="420"/>
      </w:pPr>
      <w:r>
        <w:rPr>
          <w:rFonts w:ascii="Times New Roman" w:hAnsi="Times New Roman" w:eastAsia="宋体" w:cs="Times New Roman"/>
          <w:sz w:val="21"/>
          <w:szCs w:val="21"/>
        </w:rPr>
        <w:t xml:space="preserve">由表 4 可见，系统上线后申报与审核实现全流程线上化，审核周期与核算差错显著下降，排行与画像信息的实时可视化也提升了科研人员的参与度。</w:t>
      </w:r>
    </w:p>
    <w:p>
      <w:pPr>
        <w:keepNext/>
        <w:keepLines/>
        <w:spacing w:beforeLines="50" w:before="150" w:afterLines="30" w:after="90"/>
        <w:outlineLvl w:val="0"/>
      </w:pPr>
      <w:r>
        <w:rPr>
          <w:rFonts w:ascii="Times New Roman" w:hAnsi="Times New Roman" w:eastAsia="黑体" w:cs="Times New Roman"/>
          <w:sz w:val="24"/>
          <w:szCs w:val="24"/>
        </w:rPr>
        <w:t xml:space="preserve">6  结论与展望</w:t>
      </w:r>
    </w:p>
    <w:p>
      <w:pPr>
        <w:spacing w:line="300" w:lineRule="auto"/>
        <w:ind w:firstLineChars="200" w:firstLine="420"/>
      </w:pPr>
      <w:r>
        <w:rPr>
          <w:rFonts w:ascii="Times New Roman" w:hAnsi="Times New Roman" w:eastAsia="宋体" w:cs="Times New Roman"/>
          <w:sz w:val="21"/>
          <w:szCs w:val="21"/>
        </w:rPr>
        <w:t xml:space="preserve">本文设计并实现了基于 Spring Boot 与 MyBatis 的疾控科研积分管理系统：针对多作者成果提出分段权重分配模型并与守恒型方法作了对比；将指数时间衰减前置于行为积分归一化环节，使标签权重、能力维度得分与人才画像形成量纲一致的统一计算链路；基于有限状态机实现了无第三方依赖的审批工作流引擎。系统运行期间审核周期与积分核算差错显著下降，有效支撑了科研人才的精细化评价与激励。后续将开展 </w:t>
      </w:r>
      <w:r>
        <w:rPr>
          <w:rFonts w:ascii="Times New Roman" w:hAnsi="Times New Roman" w:eastAsia="宋体" w:cs="Times New Roman"/>
          <w:i/>
          <w:iCs/>
          <w:sz w:val="21"/>
          <w:szCs w:val="21"/>
        </w:rPr>
        <w:t xml:space="preserve">α</w:t>
      </w:r>
      <w:r>
        <w:rPr>
          <w:rFonts w:ascii="Times New Roman" w:hAnsi="Times New Roman" w:eastAsia="宋体" w:cs="Times New Roman"/>
          <w:sz w:val="21"/>
          <w:szCs w:val="21"/>
        </w:rPr>
        <w:t xml:space="preserve">、</w:t>
      </w:r>
      <w:r>
        <w:rPr>
          <w:rFonts w:ascii="Times New Roman" w:hAnsi="Times New Roman" w:eastAsia="宋体" w:cs="Times New Roman"/>
          <w:i/>
          <w:iCs/>
          <w:sz w:val="21"/>
          <w:szCs w:val="21"/>
        </w:rPr>
        <w:t xml:space="preserve">λ</w:t>
      </w:r>
      <w:r>
        <w:rPr>
          <w:rFonts w:ascii="Times New Roman" w:hAnsi="Times New Roman" w:eastAsia="宋体" w:cs="Times New Roman"/>
          <w:sz w:val="21"/>
          <w:szCs w:val="21"/>
        </w:rPr>
        <w:t xml:space="preserve"> 的敏感性分析以提升模型稳健性，并与人事、财务等系统实现数据互通。</w:t>
      </w:r>
    </w:p>
    <w:p>
      <w:pPr>
        <w:spacing w:beforeLines="35" w:before="105" w:afterLines="18" w:after="54"/>
        <w:jc w:val="center"/>
      </w:pPr>
      <w:r>
        <w:rPr>
          <w:rFonts w:ascii="Times New Roman" w:hAnsi="Times New Roman" w:eastAsia="黑体" w:cs="Times New Roman"/>
          <w:sz w:val="24"/>
          <w:szCs w:val="24"/>
        </w:rPr>
        <w:t xml:space="preserve">参考文献</w:t>
      </w:r>
    </w:p>
    <w:p>
      <w:pPr>
        <w:spacing w:afterLines="1" w:after="3" w:line="250" w:lineRule="auto"/>
      </w:pPr>
      <w:r>
        <w:rPr>
          <w:rFonts w:ascii="Times New Roman" w:hAnsi="Times New Roman" w:eastAsia="宋体" w:cs="Times New Roman"/>
          <w:sz w:val="18"/>
          <w:szCs w:val="18"/>
        </w:rPr>
        <w:t xml:space="preserve">[1] </w:t>
      </w:r>
      <w:r>
        <w:rPr>
          <w:rFonts w:ascii="Times New Roman" w:hAnsi="Times New Roman" w:eastAsia="宋体" w:cs="Times New Roman"/>
          <w:sz w:val="18"/>
          <w:szCs w:val="18"/>
        </w:rPr>
        <w:t xml:space="preserve">李涛, 关健, 吴沛新. 卫生政策与管理研究领域科技评价体系的思考和建议[J]. 中华医学科研管理杂志, 2023, 36(4): 259-265.</w:t>
      </w:r>
    </w:p>
    <w:p>
      <w:pPr>
        <w:spacing w:afterLines="1" w:after="3" w:line="250" w:lineRule="auto"/>
      </w:pPr>
      <w:r>
        <w:rPr>
          <w:rFonts w:ascii="Times New Roman" w:hAnsi="Times New Roman" w:eastAsia="宋体" w:cs="Times New Roman"/>
          <w:sz w:val="18"/>
          <w:szCs w:val="18"/>
        </w:rPr>
        <w:t xml:space="preserve">[2] </w:t>
      </w:r>
      <w:r>
        <w:rPr>
          <w:rFonts w:ascii="Times New Roman" w:hAnsi="Times New Roman" w:eastAsia="宋体" w:cs="Times New Roman"/>
          <w:sz w:val="18"/>
          <w:szCs w:val="18"/>
        </w:rPr>
        <w:t xml:space="preserve">沈杨阳. 国家科研管理机构组织颠覆性技术创新的实践路径[J]. 中国科技论坛, 2026(5): 1-11.</w:t>
      </w:r>
    </w:p>
    <w:p>
      <w:pPr>
        <w:spacing w:afterLines="1" w:after="3" w:line="250" w:lineRule="auto"/>
      </w:pPr>
      <w:r>
        <w:rPr>
          <w:rFonts w:ascii="Times New Roman" w:hAnsi="Times New Roman" w:eastAsia="宋体" w:cs="Times New Roman"/>
          <w:sz w:val="18"/>
          <w:szCs w:val="18"/>
        </w:rPr>
        <w:t xml:space="preserve">[3] </w:t>
      </w:r>
      <w:r>
        <w:rPr>
          <w:rFonts w:ascii="Times New Roman" w:hAnsi="Times New Roman" w:eastAsia="宋体" w:cs="Times New Roman"/>
          <w:sz w:val="18"/>
          <w:szCs w:val="18"/>
        </w:rPr>
        <w:t xml:space="preserve">AMARAL P, MAGALHÃES P. Performance-based funding and research productivity: a longitudinal analysis of European universities[J]. Scientometrics, 2024, 129(3): 1587-1612.</w:t>
      </w:r>
    </w:p>
    <w:p>
      <w:pPr>
        <w:spacing w:afterLines="1" w:after="3" w:line="250" w:lineRule="auto"/>
      </w:pPr>
      <w:r>
        <w:rPr>
          <w:rFonts w:ascii="Times New Roman" w:hAnsi="Times New Roman" w:eastAsia="宋体" w:cs="Times New Roman"/>
          <w:sz w:val="18"/>
          <w:szCs w:val="18"/>
        </w:rPr>
        <w:t xml:space="preserve">[4] </w:t>
      </w:r>
      <w:r>
        <w:rPr>
          <w:rFonts w:ascii="Times New Roman" w:hAnsi="Times New Roman" w:eastAsia="宋体" w:cs="Times New Roman"/>
          <w:sz w:val="18"/>
          <w:szCs w:val="18"/>
        </w:rPr>
        <w:t xml:space="preserve">LEI F. Design and implementation assurance of a dynamic indicator system for classified faculty performance evaluation in the post-"breaking the five onlys" era[J]. World Journal of Educational Studies, 2025, 3(9): 16-31.</w:t>
      </w:r>
    </w:p>
    <w:p>
      <w:pPr>
        <w:spacing w:afterLines="1" w:after="3" w:line="250" w:lineRule="auto"/>
      </w:pPr>
      <w:r>
        <w:rPr>
          <w:rFonts w:ascii="Times New Roman" w:hAnsi="Times New Roman" w:eastAsia="宋体" w:cs="Times New Roman"/>
          <w:sz w:val="18"/>
          <w:szCs w:val="18"/>
        </w:rPr>
        <w:t xml:space="preserve">[5] </w:t>
      </w:r>
      <w:r>
        <w:rPr>
          <w:rFonts w:ascii="Times New Roman" w:hAnsi="Times New Roman" w:eastAsia="宋体" w:cs="Times New Roman"/>
          <w:sz w:val="18"/>
          <w:szCs w:val="18"/>
        </w:rPr>
        <w:t xml:space="preserve">ZHANG Y, LI H, WANG J. A lightweight microservice orchestration framework based on Spring Boot for edge-cloud collaborative computing in industrial IoT[J]. IEEE Internet of Things Journal, 2025, 12(4): 5821-5834.</w:t>
      </w:r>
    </w:p>
    <w:p>
      <w:pPr>
        <w:spacing w:afterLines="1" w:after="3" w:line="250" w:lineRule="auto"/>
      </w:pPr>
      <w:r>
        <w:rPr>
          <w:rFonts w:ascii="Times New Roman" w:hAnsi="Times New Roman" w:eastAsia="宋体" w:cs="Times New Roman"/>
          <w:sz w:val="18"/>
          <w:szCs w:val="18"/>
        </w:rPr>
        <w:t xml:space="preserve">[6] </w:t>
      </w:r>
      <w:r>
        <w:rPr>
          <w:rFonts w:ascii="Times New Roman" w:hAnsi="Times New Roman" w:eastAsia="宋体" w:cs="Times New Roman"/>
          <w:sz w:val="18"/>
          <w:szCs w:val="18"/>
        </w:rPr>
        <w:t xml:space="preserve">刘盛, 王占云. 基于SpringBoot+Vue微服务架构的科研样本库管理系统的设计与实现[J]. 信息系统工程, 2025(4): 4-7.</w:t>
      </w:r>
    </w:p>
    <w:p>
      <w:pPr>
        <w:spacing w:afterLines="1" w:after="3" w:line="250" w:lineRule="auto"/>
      </w:pPr>
      <w:r>
        <w:rPr>
          <w:rFonts w:ascii="Times New Roman" w:hAnsi="Times New Roman" w:eastAsia="宋体" w:cs="Times New Roman"/>
          <w:sz w:val="18"/>
          <w:szCs w:val="18"/>
        </w:rPr>
        <w:t xml:space="preserve">[7] </w:t>
      </w:r>
      <w:r>
        <w:rPr>
          <w:rFonts w:ascii="Times New Roman" w:hAnsi="Times New Roman" w:eastAsia="宋体" w:cs="Times New Roman"/>
          <w:sz w:val="18"/>
          <w:szCs w:val="18"/>
        </w:rPr>
        <w:t xml:space="preserve">季甜甜, 刘冬冬. 基于Vue前端性能的研究与分析[J]. 阜阳师范大学学报(自然科学版), 2024, 41(1): 15-22.</w:t>
      </w:r>
    </w:p>
    <w:p>
      <w:pPr>
        <w:spacing w:afterLines="1" w:after="3" w:line="250" w:lineRule="auto"/>
      </w:pPr>
      <w:r>
        <w:rPr>
          <w:rFonts w:ascii="Times New Roman" w:hAnsi="Times New Roman" w:eastAsia="宋体" w:cs="Times New Roman"/>
          <w:sz w:val="18"/>
          <w:szCs w:val="18"/>
        </w:rPr>
        <w:t xml:space="preserve">[8] </w:t>
      </w:r>
      <w:r>
        <w:rPr>
          <w:rFonts w:ascii="Times New Roman" w:hAnsi="Times New Roman" w:eastAsia="宋体" w:cs="Times New Roman"/>
          <w:sz w:val="18"/>
          <w:szCs w:val="18"/>
        </w:rPr>
        <w:t xml:space="preserve">张岩. 基于Spring Boot的公共卫生服务平台设计[J]. 现代信息技术, 2026, 10(1): 105-110, 116.</w:t>
      </w:r>
    </w:p>
    <w:p>
      <w:pPr>
        <w:spacing w:afterLines="1" w:after="3" w:line="250" w:lineRule="auto"/>
      </w:pPr>
      <w:r>
        <w:rPr>
          <w:rFonts w:ascii="Times New Roman" w:hAnsi="Times New Roman" w:eastAsia="宋体" w:cs="Times New Roman"/>
          <w:sz w:val="18"/>
          <w:szCs w:val="18"/>
        </w:rPr>
        <w:t xml:space="preserve">[9] </w:t>
      </w:r>
      <w:r>
        <w:rPr>
          <w:rFonts w:ascii="Times New Roman" w:hAnsi="Times New Roman" w:eastAsia="宋体" w:cs="Times New Roman"/>
          <w:sz w:val="18"/>
          <w:szCs w:val="18"/>
        </w:rPr>
        <w:t xml:space="preserve">罗仕鉴, 郭和睿, 钟素萍, 等. 智能体驱动的产品设计用户画像生成方法[J]. 计算机集成制造系统, 2025, 31(11): 3919-3931.</w:t>
      </w:r>
    </w:p>
    <w:p>
      <w:pPr>
        <w:spacing w:afterLines="1" w:after="3" w:line="250" w:lineRule="auto"/>
      </w:pPr>
      <w:r>
        <w:rPr>
          <w:rFonts w:ascii="Times New Roman" w:hAnsi="Times New Roman" w:eastAsia="宋体" w:cs="Times New Roman"/>
          <w:sz w:val="18"/>
          <w:szCs w:val="18"/>
        </w:rPr>
        <w:t xml:space="preserve">[10] </w:t>
      </w:r>
      <w:r>
        <w:rPr>
          <w:rFonts w:ascii="Times New Roman" w:hAnsi="Times New Roman" w:eastAsia="宋体" w:cs="Times New Roman"/>
          <w:sz w:val="18"/>
          <w:szCs w:val="18"/>
        </w:rPr>
        <w:t xml:space="preserve">白菁昊, 庄俊玺. 面向学习者画像的时序动态标签构建及预测方法[J]. 计算机科学, 2026, 53(5): 79-89.</w:t>
      </w:r>
    </w:p>
    <w:p>
      <w:pPr>
        <w:spacing w:afterLines="1" w:after="3" w:line="250" w:lineRule="auto"/>
      </w:pPr>
      <w:r>
        <w:rPr>
          <w:rFonts w:ascii="Times New Roman" w:hAnsi="Times New Roman" w:eastAsia="宋体" w:cs="Times New Roman"/>
          <w:sz w:val="18"/>
          <w:szCs w:val="18"/>
        </w:rPr>
        <w:t xml:space="preserve">[11] </w:t>
      </w:r>
      <w:r>
        <w:rPr>
          <w:rFonts w:ascii="Times New Roman" w:hAnsi="Times New Roman" w:eastAsia="宋体" w:cs="Times New Roman"/>
          <w:sz w:val="18"/>
          <w:szCs w:val="18"/>
        </w:rPr>
        <w:t xml:space="preserve">来天平, 王永超, 罗盘, 等. 基于角色资源级别的权限控制模型的设计与应用研究[J]. 通信学报, 2024, 45(</w:t>
      </w:r>
      <w:r>
        <w:rPr>
          <w:rFonts w:ascii="Times New Roman" w:hAnsi="Times New Roman" w:eastAsia="宋体" w:cs="Times New Roman"/>
          <w:sz w:val="21"/>
          <w:szCs w:val="21"/>
          <w:highlight w:val="yellow"/>
        </w:rPr>
        <w:t xml:space="preserve">××</w:t>
      </w:r>
      <w:r>
        <w:rPr>
          <w:rFonts w:ascii="Times New Roman" w:hAnsi="Times New Roman" w:eastAsia="宋体" w:cs="Times New Roman"/>
          <w:sz w:val="18"/>
          <w:szCs w:val="18"/>
        </w:rPr>
        <w:t xml:space="preserve">): 153-159.</w:t>
      </w:r>
    </w:p>
    <w:p>
      <w:pPr>
        <w:spacing w:afterLines="1" w:after="3" w:line="250" w:lineRule="auto"/>
      </w:pPr>
      <w:r>
        <w:rPr>
          <w:rFonts w:ascii="Times New Roman" w:hAnsi="Times New Roman" w:eastAsia="宋体" w:cs="Times New Roman"/>
          <w:sz w:val="18"/>
          <w:szCs w:val="18"/>
        </w:rPr>
        <w:t xml:space="preserve">[12] </w:t>
      </w:r>
      <w:r>
        <w:rPr>
          <w:rFonts w:ascii="Times New Roman" w:hAnsi="Times New Roman" w:eastAsia="宋体" w:cs="Times New Roman"/>
          <w:sz w:val="18"/>
          <w:szCs w:val="18"/>
        </w:rPr>
        <w:t xml:space="preserve">DURDAG O, COŞKUNÇAY A. Reconfiguring role-based access control via role clustering[J]. IEEE Access, 2025, 13: 72984-72993.</w:t>
      </w:r>
    </w:p>
    <w:p>
      <w:pPr>
        <w:spacing w:afterLines="1" w:after="3" w:line="250" w:lineRule="auto"/>
      </w:pPr>
      <w:r>
        <w:rPr>
          <w:rFonts w:ascii="Times New Roman" w:hAnsi="Times New Roman" w:eastAsia="宋体" w:cs="Times New Roman"/>
          <w:sz w:val="18"/>
          <w:szCs w:val="18"/>
        </w:rPr>
        <w:t xml:space="preserve">[13] </w:t>
      </w:r>
      <w:r>
        <w:rPr>
          <w:rFonts w:ascii="Times New Roman" w:hAnsi="Times New Roman" w:eastAsia="宋体" w:cs="Times New Roman"/>
          <w:sz w:val="18"/>
          <w:szCs w:val="18"/>
        </w:rPr>
        <w:t xml:space="preserve">魏巍. 基于RBAC模型云资源管理系统访问控制权限的设计与实施[J]. 科学技术创新, 2025(2): 122-125.</w:t>
      </w:r>
    </w:p>
    <w:p>
      <w:pPr>
        <w:spacing w:afterLines="1" w:after="3" w:line="250" w:lineRule="auto"/>
      </w:pPr>
      <w:r>
        <w:rPr>
          <w:rFonts w:ascii="Times New Roman" w:hAnsi="Times New Roman" w:eastAsia="宋体" w:cs="Times New Roman"/>
          <w:sz w:val="18"/>
          <w:szCs w:val="18"/>
        </w:rPr>
        <w:t xml:space="preserve">[14] </w:t>
      </w:r>
      <w:r>
        <w:rPr>
          <w:rFonts w:ascii="Times New Roman" w:hAnsi="Times New Roman" w:eastAsia="宋体" w:cs="Times New Roman"/>
          <w:sz w:val="18"/>
          <w:szCs w:val="18"/>
        </w:rPr>
        <w:t xml:space="preserve">何立富. 前后端分离环境下Spring Security权限系统构建与实现[J]. 电脑编程技巧与维护, 2025(10): 3-7.</w:t>
      </w:r>
    </w:p>
    <w:p>
      <w:pPr>
        <w:spacing w:afterLines="1" w:after="3" w:line="250" w:lineRule="auto"/>
      </w:pPr>
      <w:r>
        <w:rPr>
          <w:rFonts w:ascii="Times New Roman" w:hAnsi="Times New Roman" w:eastAsia="宋体" w:cs="Times New Roman"/>
          <w:sz w:val="18"/>
          <w:szCs w:val="18"/>
        </w:rPr>
        <w:t xml:space="preserve">[15] </w:t>
      </w:r>
      <w:r>
        <w:rPr>
          <w:rFonts w:ascii="Times New Roman" w:hAnsi="Times New Roman" w:eastAsia="宋体" w:cs="Times New Roman"/>
          <w:sz w:val="18"/>
          <w:szCs w:val="18"/>
        </w:rPr>
        <w:t xml:space="preserve">WANG Y C, YANG J Y, WANG Z L. kRedis: multi-tenant in-memory key-value cache partitioning using efficient random sampling-based LRU model[J]. IEEE Transactions on Cloud Computing, 2023, 11(4): 1-18.</w:t>
      </w:r>
    </w:p>
    <w:p>
      <w:pPr>
        <w:spacing w:afterLines="1" w:after="3" w:line="250" w:lineRule="auto"/>
      </w:pPr>
      <w:r>
        <w:rPr>
          <w:rFonts w:ascii="Times New Roman" w:hAnsi="Times New Roman" w:eastAsia="宋体" w:cs="Times New Roman"/>
          <w:sz w:val="18"/>
          <w:szCs w:val="18"/>
        </w:rPr>
        <w:t xml:space="preserve">[16] </w:t>
      </w:r>
      <w:r>
        <w:rPr>
          <w:rFonts w:ascii="Times New Roman" w:hAnsi="Times New Roman" w:eastAsia="宋体" w:cs="Times New Roman"/>
          <w:sz w:val="18"/>
          <w:szCs w:val="18"/>
        </w:rPr>
        <w:t xml:space="preserve">卢超, 杨朝树, 姚政竹, 等. 基于持久内存的B+树索引优化综述[J]. 计算机科学, 2026, 53(1): 77-88.</w:t>
      </w:r>
    </w:p>
    <w:p>
      <w:pPr>
        <w:pBdr>
          <w:bottom w:val="single" w:sz="6" w:space="1" w:color="auto"/>
        </w:pBdr>
        <w:spacing w:beforeLines="18" w:before="54"/>
      </w:pPr>
      <w:r>
        <w:rPr>
          <w:rFonts w:ascii="Times New Roman" w:hAnsi="Times New Roman" w:eastAsia="宋体" w:cs="Times New Roman"/>
          <w:sz w:val="18"/>
          <w:szCs w:val="18"/>
        </w:rPr>
        <w:t xml:space="preserve"/>
      </w:r>
    </w:p>
    <w:p>
      <w:pPr>
        <w:spacing w:afterLines="2" w:after="6" w:line="250" w:lineRule="auto"/>
      </w:pPr>
      <w:r>
        <w:rPr>
          <w:rFonts w:ascii="Times New Roman" w:hAnsi="Times New Roman" w:eastAsia="黑体" w:cs="Times New Roman"/>
          <w:sz w:val="18"/>
          <w:szCs w:val="18"/>
        </w:rPr>
        <w:t xml:space="preserve">基金项目：</w:t>
      </w:r>
      <w:r>
        <w:rPr>
          <w:rFonts w:ascii="Times New Roman" w:hAnsi="Times New Roman" w:eastAsia="宋体" w:cs="Times New Roman"/>
          <w:sz w:val="21"/>
          <w:szCs w:val="21"/>
          <w:highlight w:val="yellow"/>
        </w:rPr>
        <w:t xml:space="preserve">××××（项目编号：××××）</w:t>
      </w:r>
      <w:r>
        <w:rPr>
          <w:rFonts w:ascii="Times New Roman" w:hAnsi="Times New Roman" w:eastAsia="宋体" w:cs="Times New Roman"/>
          <w:color w:val="808080"/>
          <w:sz w:val="18"/>
          <w:szCs w:val="18"/>
        </w:rPr>
        <w:t xml:space="preserve">（无基金资助请整段删除）</w:t>
      </w:r>
    </w:p>
    <w:p>
      <w:pPr>
        <w:spacing w:line="250" w:lineRule="auto"/>
      </w:pPr>
      <w:r>
        <w:rPr>
          <w:rFonts w:ascii="Times New Roman" w:hAnsi="Times New Roman" w:eastAsia="黑体" w:cs="Times New Roman"/>
          <w:sz w:val="18"/>
          <w:szCs w:val="18"/>
        </w:rPr>
        <w:t xml:space="preserve">作者简介：</w:t>
      </w:r>
      <w:r>
        <w:rPr>
          <w:rFonts w:ascii="Times New Roman" w:hAnsi="Times New Roman" w:eastAsia="宋体" w:cs="Times New Roman"/>
          <w:sz w:val="18"/>
          <w:szCs w:val="18"/>
        </w:rPr>
        <w:t xml:space="preserve">杨文超（</w:t>
      </w:r>
      <w:r>
        <w:rPr>
          <w:rFonts w:ascii="Times New Roman" w:hAnsi="Times New Roman" w:eastAsia="宋体" w:cs="Times New Roman"/>
          <w:sz w:val="21"/>
          <w:szCs w:val="21"/>
          <w:highlight w:val="yellow"/>
        </w:rPr>
        <w:t xml:space="preserve">19××</w:t>
      </w:r>
      <w:r>
        <w:rPr>
          <w:rFonts w:ascii="Times New Roman" w:hAnsi="Times New Roman" w:eastAsia="宋体" w:cs="Times New Roman"/>
          <w:sz w:val="18"/>
          <w:szCs w:val="18"/>
        </w:rPr>
        <w:t xml:space="preserve">—），</w:t>
      </w:r>
      <w:r>
        <w:rPr>
          <w:rFonts w:ascii="Times New Roman" w:hAnsi="Times New Roman" w:eastAsia="宋体" w:cs="Times New Roman"/>
          <w:sz w:val="21"/>
          <w:szCs w:val="21"/>
          <w:highlight w:val="yellow"/>
        </w:rPr>
        <w:t xml:space="preserve">性别</w:t>
      </w:r>
      <w:r>
        <w:rPr>
          <w:rFonts w:ascii="Times New Roman" w:hAnsi="Times New Roman" w:eastAsia="宋体" w:cs="Times New Roman"/>
          <w:sz w:val="18"/>
          <w:szCs w:val="18"/>
        </w:rPr>
        <w:t xml:space="preserve">，</w:t>
      </w:r>
      <w:r>
        <w:rPr>
          <w:rFonts w:ascii="Times New Roman" w:hAnsi="Times New Roman" w:eastAsia="宋体" w:cs="Times New Roman"/>
          <w:sz w:val="21"/>
          <w:szCs w:val="21"/>
          <w:highlight w:val="yellow"/>
        </w:rPr>
        <w:t xml:space="preserve">籍贯</w:t>
      </w:r>
      <w:r>
        <w:rPr>
          <w:rFonts w:ascii="Times New Roman" w:hAnsi="Times New Roman" w:eastAsia="宋体" w:cs="Times New Roman"/>
          <w:sz w:val="18"/>
          <w:szCs w:val="18"/>
        </w:rPr>
        <w:t xml:space="preserve">人，</w:t>
      </w:r>
      <w:r>
        <w:rPr>
          <w:rFonts w:ascii="Times New Roman" w:hAnsi="Times New Roman" w:eastAsia="宋体" w:cs="Times New Roman"/>
          <w:sz w:val="21"/>
          <w:szCs w:val="21"/>
          <w:highlight w:val="yellow"/>
        </w:rPr>
        <w:t xml:space="preserve">职称/学历</w:t>
      </w:r>
      <w:r>
        <w:rPr>
          <w:rFonts w:ascii="Times New Roman" w:hAnsi="Times New Roman" w:eastAsia="宋体" w:cs="Times New Roman"/>
          <w:sz w:val="18"/>
          <w:szCs w:val="18"/>
        </w:rPr>
        <w:t xml:space="preserve">，主要研究方向为科研管理信息化、公共卫生数据分析。E-mail：</w:t>
      </w:r>
      <w:r>
        <w:rPr>
          <w:rFonts w:ascii="Times New Roman" w:hAnsi="Times New Roman" w:eastAsia="宋体" w:cs="Times New Roman"/>
          <w:sz w:val="21"/>
          <w:szCs w:val="21"/>
          <w:highlight w:val="yellow"/>
        </w:rPr>
        <w:t xml:space="preserve">××@××</w:t>
      </w:r>
    </w:p>
    <w:sectPr w:rsidR="005B51E2" w:rsidRPr="000B2B9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76BC65" w14:textId="77777777" w:rsidR="005D75C4" w:rsidRDefault="005D75C4" w:rsidP="005B51E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2EE1DD0" w14:textId="77777777" w:rsidR="005D75C4" w:rsidRDefault="005D75C4" w:rsidP="005B51E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微软雅黑"/>
    <w:charset w:val="86"/>
    <w:family w:val="roman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3AAC15" w14:textId="77777777" w:rsidR="005D75C4" w:rsidRDefault="005D75C4" w:rsidP="005B51E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F969622" w14:textId="77777777" w:rsidR="005D75C4" w:rsidRDefault="005D75C4" w:rsidP="005B51E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71C8B"/>
    <w:multiLevelType w:val="hybridMultilevel"/>
    <w:tmpl w:val="C9BCEF2C"/>
    <w:lvl w:ilvl="0" w:tplc="77A0A88C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1694149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E3D08"/>
    <w:rsid w:val="00001389"/>
    <w:rsid w:val="00021476"/>
    <w:rsid w:val="00030E9E"/>
    <w:rsid w:val="0003457F"/>
    <w:rsid w:val="00047837"/>
    <w:rsid w:val="00086AF0"/>
    <w:rsid w:val="0009541E"/>
    <w:rsid w:val="000B2A1D"/>
    <w:rsid w:val="000B2B95"/>
    <w:rsid w:val="000B528F"/>
    <w:rsid w:val="000D662A"/>
    <w:rsid w:val="000E77BA"/>
    <w:rsid w:val="00102829"/>
    <w:rsid w:val="00105192"/>
    <w:rsid w:val="00105E66"/>
    <w:rsid w:val="00113A0C"/>
    <w:rsid w:val="00121E97"/>
    <w:rsid w:val="00137F41"/>
    <w:rsid w:val="00141A88"/>
    <w:rsid w:val="0015225F"/>
    <w:rsid w:val="001650C7"/>
    <w:rsid w:val="0016734A"/>
    <w:rsid w:val="00185434"/>
    <w:rsid w:val="00195740"/>
    <w:rsid w:val="001A14C5"/>
    <w:rsid w:val="001A70A1"/>
    <w:rsid w:val="00210DD2"/>
    <w:rsid w:val="00225CDE"/>
    <w:rsid w:val="0026328B"/>
    <w:rsid w:val="00274CDD"/>
    <w:rsid w:val="0029409F"/>
    <w:rsid w:val="002B1675"/>
    <w:rsid w:val="002C1EE2"/>
    <w:rsid w:val="002C433D"/>
    <w:rsid w:val="002E6926"/>
    <w:rsid w:val="0032250C"/>
    <w:rsid w:val="00345497"/>
    <w:rsid w:val="0036506E"/>
    <w:rsid w:val="00395316"/>
    <w:rsid w:val="003B3A98"/>
    <w:rsid w:val="003E415E"/>
    <w:rsid w:val="003F7C45"/>
    <w:rsid w:val="0041664F"/>
    <w:rsid w:val="00461777"/>
    <w:rsid w:val="004618BD"/>
    <w:rsid w:val="00462952"/>
    <w:rsid w:val="00467B1E"/>
    <w:rsid w:val="004768A6"/>
    <w:rsid w:val="004868A9"/>
    <w:rsid w:val="004C3455"/>
    <w:rsid w:val="004D2C3A"/>
    <w:rsid w:val="004D47DF"/>
    <w:rsid w:val="004E7822"/>
    <w:rsid w:val="004F0C29"/>
    <w:rsid w:val="004F3A2B"/>
    <w:rsid w:val="00517EE6"/>
    <w:rsid w:val="005204A7"/>
    <w:rsid w:val="00536BF2"/>
    <w:rsid w:val="005839D6"/>
    <w:rsid w:val="005A7A10"/>
    <w:rsid w:val="005B2EE8"/>
    <w:rsid w:val="005B51E2"/>
    <w:rsid w:val="005C0270"/>
    <w:rsid w:val="005C08A7"/>
    <w:rsid w:val="005D183C"/>
    <w:rsid w:val="005D75C4"/>
    <w:rsid w:val="005E7DD3"/>
    <w:rsid w:val="00667BAE"/>
    <w:rsid w:val="0068567B"/>
    <w:rsid w:val="006B33D1"/>
    <w:rsid w:val="006B39CC"/>
    <w:rsid w:val="006D3F39"/>
    <w:rsid w:val="006D5CCC"/>
    <w:rsid w:val="006E2399"/>
    <w:rsid w:val="006F38AF"/>
    <w:rsid w:val="00714292"/>
    <w:rsid w:val="00720321"/>
    <w:rsid w:val="007337FF"/>
    <w:rsid w:val="00746169"/>
    <w:rsid w:val="00761940"/>
    <w:rsid w:val="00785AAE"/>
    <w:rsid w:val="007C7F15"/>
    <w:rsid w:val="007E4292"/>
    <w:rsid w:val="008557F7"/>
    <w:rsid w:val="00856FED"/>
    <w:rsid w:val="0087417B"/>
    <w:rsid w:val="00875153"/>
    <w:rsid w:val="008963A2"/>
    <w:rsid w:val="008A1791"/>
    <w:rsid w:val="008B2229"/>
    <w:rsid w:val="008B58C6"/>
    <w:rsid w:val="008C143B"/>
    <w:rsid w:val="008D51EC"/>
    <w:rsid w:val="008D62E4"/>
    <w:rsid w:val="008E3D08"/>
    <w:rsid w:val="008E606E"/>
    <w:rsid w:val="008E74E4"/>
    <w:rsid w:val="009312CD"/>
    <w:rsid w:val="009731EC"/>
    <w:rsid w:val="009859A3"/>
    <w:rsid w:val="009A549B"/>
    <w:rsid w:val="009B7C32"/>
    <w:rsid w:val="00A25E48"/>
    <w:rsid w:val="00A334E5"/>
    <w:rsid w:val="00A55135"/>
    <w:rsid w:val="00A55145"/>
    <w:rsid w:val="00AA2A57"/>
    <w:rsid w:val="00AC3431"/>
    <w:rsid w:val="00AE3374"/>
    <w:rsid w:val="00AF4551"/>
    <w:rsid w:val="00AF766E"/>
    <w:rsid w:val="00B02F4E"/>
    <w:rsid w:val="00B05E48"/>
    <w:rsid w:val="00B071D1"/>
    <w:rsid w:val="00B3598A"/>
    <w:rsid w:val="00B47C72"/>
    <w:rsid w:val="00B62835"/>
    <w:rsid w:val="00B649D3"/>
    <w:rsid w:val="00B73E7B"/>
    <w:rsid w:val="00B87BD5"/>
    <w:rsid w:val="00BB17A8"/>
    <w:rsid w:val="00BB1B84"/>
    <w:rsid w:val="00BD2C4D"/>
    <w:rsid w:val="00BD6237"/>
    <w:rsid w:val="00BE41C0"/>
    <w:rsid w:val="00BF1437"/>
    <w:rsid w:val="00C14545"/>
    <w:rsid w:val="00C15A6D"/>
    <w:rsid w:val="00C30F17"/>
    <w:rsid w:val="00C95DD2"/>
    <w:rsid w:val="00C97E23"/>
    <w:rsid w:val="00CA3F85"/>
    <w:rsid w:val="00CB2F26"/>
    <w:rsid w:val="00CB74F4"/>
    <w:rsid w:val="00CF7776"/>
    <w:rsid w:val="00D124CA"/>
    <w:rsid w:val="00D45627"/>
    <w:rsid w:val="00D60DAC"/>
    <w:rsid w:val="00D66A22"/>
    <w:rsid w:val="00D76D93"/>
    <w:rsid w:val="00DA69E2"/>
    <w:rsid w:val="00E06855"/>
    <w:rsid w:val="00E26782"/>
    <w:rsid w:val="00E26FEC"/>
    <w:rsid w:val="00E319C2"/>
    <w:rsid w:val="00E624EF"/>
    <w:rsid w:val="00E92986"/>
    <w:rsid w:val="00E97719"/>
    <w:rsid w:val="00EB170D"/>
    <w:rsid w:val="00EC08BE"/>
    <w:rsid w:val="00EF4CC1"/>
    <w:rsid w:val="00F255F4"/>
    <w:rsid w:val="00F4510A"/>
    <w:rsid w:val="00F735A6"/>
    <w:rsid w:val="00F80986"/>
    <w:rsid w:val="00F85605"/>
    <w:rsid w:val="00F96C39"/>
    <w:rsid w:val="00FB3D83"/>
    <w:rsid w:val="00FD348F"/>
    <w:rsid w:val="00FF0B2E"/>
    <w:rsid w:val="00FF5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3C2449"/>
  <w15:chartTrackingRefBased/>
  <w15:docId w15:val="{C1C1DF1A-F42C-4C0C-91D1-141157A7A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C3431"/>
    <w:pPr>
      <w:spacing w:after="200" w:line="276" w:lineRule="auto"/>
    </w:pPr>
    <w:rPr>
      <w:kern w:val="0"/>
      <w:sz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8E3D0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3D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3D0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3D0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3D0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3D08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3D0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3D0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3D0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E3D0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E3D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E3D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E3D0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E3D08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E3D0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E3D0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E3D0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E3D0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E3D0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E3D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E3D0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E3D0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E3D0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E3D0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E3D0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E3D0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E3D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E3D0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E3D08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B51E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B51E2"/>
    <w:rPr>
      <w:kern w:val="0"/>
      <w:sz w:val="18"/>
      <w:szCs w:val="18"/>
      <w:lang w:eastAsia="en-US"/>
    </w:rPr>
  </w:style>
  <w:style w:type="paragraph" w:styleId="af0">
    <w:name w:val="footer"/>
    <w:basedOn w:val="a"/>
    <w:link w:val="af1"/>
    <w:uiPriority w:val="99"/>
    <w:unhideWhenUsed/>
    <w:rsid w:val="005B51E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B51E2"/>
    <w:rPr>
      <w:kern w:val="0"/>
      <w:sz w:val="18"/>
      <w:szCs w:val="18"/>
      <w:lang w:eastAsia="en-US"/>
    </w:rPr>
  </w:style>
  <w:style w:type="character" w:styleId="af2">
    <w:name w:val="Hyperlink"/>
    <w:basedOn w:val="a0"/>
    <w:uiPriority w:val="99"/>
    <w:unhideWhenUsed/>
    <w:rsid w:val="00E92986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E929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sv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client.ntdss.ntu.edu.cn/https/webvpnf76667b2f293e54e17391bd867b618de/knavi/detail?p=4amtIGgsGOBe6B6hofrKCNVpT2_gXJSITyPUCZ332YFwDx6WwMMNTXKANFR5SO0tY7gg10KWEsEALERRyErpS0ZezJHEJbGJbDGPoGfJSIatQPz55GcyPoXI9Ud3Osek&amp;uniplatform=NZKPT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sv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sv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712</TotalTime>
  <Pages>9</Pages>
  <Words>1312</Words>
  <Characters>7485</Characters>
  <Application>Microsoft Office Word</Application>
  <DocSecurity>0</DocSecurity>
  <Lines>62</Lines>
  <Paragraphs>17</Paragraphs>
  <ScaleCrop>false</ScaleCrop>
  <Company/>
  <LinksUpToDate>false</LinksUpToDate>
  <CharactersWithSpaces>8780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252</cp:revision>
  <cp:lastPrinted>2026-07-22T04:53:00Z</cp:lastPrinted>
  <dcterms:created xsi:type="dcterms:W3CDTF">2026-07-21T03:04:00Z</dcterms:created>
  <dcterms:modified xsi:type="dcterms:W3CDTF">2026-08-18T09:20:00Z</dcterms:modified>
</cp:coreProperties>
</file>