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宋体" w:cs="Times New Roman"/>
          <w:sz w:val="28"/>
          <w:szCs w:val="28"/>
          <w:lang w:eastAsia="zh-CN"/>
        </w:rPr>
        <w:t>杨文超</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，张卫兵</w:t>
      </w:r>
      <w:r>
        <w:rPr>
          <w:rFonts w:hint="eastAsia" w:ascii="Times New Roman" w:hAnsi="Times New Roman" w:eastAsia="宋体" w:cs="Times New Roman"/>
          <w:sz w:val="28"/>
          <w:szCs w:val="28"/>
          <w:vertAlign w:val="superscript"/>
          <w:lang w:val="en-US" w:eastAsia="zh-CN"/>
        </w:rPr>
        <w:t>2*</w:t>
      </w:r>
      <w:r>
        <w:rPr>
          <w:rFonts w:hint="eastAsia" w:ascii="Times New Roman" w:hAnsi="Times New Roman" w:eastAsia="宋体" w:cs="Times New Roman"/>
          <w:sz w:val="28"/>
          <w:szCs w:val="28"/>
          <w:lang w:eastAsia="zh-CN"/>
        </w:rPr>
        <w:t>，练维</w:t>
      </w:r>
      <w:r>
        <w:rPr>
          <w:rFonts w:hint="eastAsia" w:ascii="Times New Roman" w:hAnsi="Times New Roman" w:eastAsia="宋体" w:cs="Times New Roman"/>
          <w:sz w:val="28"/>
          <w:szCs w:val="28"/>
          <w:vertAlign w:val="superscript"/>
          <w:lang w:val="en-US" w:eastAsia="zh-CN"/>
        </w:rPr>
        <w:t>1</w:t>
      </w:r>
      <w:r>
        <w:rPr>
          <w:rFonts w:hint="eastAsia" w:ascii="Times New Roman" w:hAnsi="Times New Roman" w:eastAsia="宋体" w:cs="Times New Roman"/>
          <w:sz w:val="28"/>
          <w:szCs w:val="28"/>
          <w:lang w:eastAsia="zh-CN"/>
        </w:rPr>
        <w:t>，徐小卫</w:t>
      </w:r>
      <w:r>
        <w:rPr>
          <w:rFonts w:hint="eastAsia" w:ascii="Times New Roman" w:hAnsi="Times New Roman" w:eastAsia="宋体" w:cs="Times New Roman"/>
          <w:sz w:val="28"/>
          <w:szCs w:val="28"/>
          <w:vertAlign w:val="superscript"/>
          <w:lang w:val="en-US" w:eastAsia="zh-CN"/>
        </w:rPr>
        <w:t>3</w:t>
      </w:r>
      <w:r>
        <w:rPr>
          <w:rFonts w:hint="eastAsia" w:ascii="Times New Roman" w:hAnsi="Times New Roman" w:eastAsia="宋体" w:cs="Times New Roman"/>
          <w:sz w:val="28"/>
          <w:szCs w:val="28"/>
          <w:lang w:eastAsia="zh-CN"/>
        </w:rPr>
        <w:t>，王秦</w:t>
      </w:r>
      <w:r>
        <w:rPr>
          <w:rFonts w:hint="eastAsia" w:ascii="Times New Roman" w:hAnsi="Times New Roman" w:eastAsia="宋体"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1</w:t>
      </w:r>
      <w:r>
        <w:rPr>
          <w:rFonts w:hint="eastAsia" w:ascii="Times New Roman" w:hAnsi="Times New Roman" w:eastAsia="宋体" w:cs="Times New Roman"/>
          <w:sz w:val="18"/>
          <w:szCs w:val="18"/>
          <w:lang w:eastAsia="zh-CN"/>
        </w:rPr>
        <w:t>（南通市疾病预防控制中心科研与质量管理科，南通 226001）</w:t>
      </w:r>
    </w:p>
    <w:p w14:paraId="1B48BD5F">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2</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主任室</w:t>
      </w:r>
      <w:r>
        <w:rPr>
          <w:rFonts w:hint="eastAsia" w:ascii="Times New Roman" w:hAnsi="Times New Roman" w:eastAsia="宋体" w:cs="Times New Roman"/>
          <w:sz w:val="18"/>
          <w:szCs w:val="18"/>
          <w:lang w:eastAsia="zh-CN"/>
        </w:rPr>
        <w:t>，南通 226001)</w:t>
      </w:r>
    </w:p>
    <w:p w14:paraId="4DDA8EB6">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3</w:t>
      </w:r>
      <w:r>
        <w:rPr>
          <w:rFonts w:hint="eastAsia" w:ascii="Times New Roman" w:hAnsi="Times New Roman" w:eastAsia="宋体" w:cs="Times New Roman"/>
          <w:sz w:val="18"/>
          <w:szCs w:val="18"/>
          <w:lang w:eastAsia="zh-CN"/>
        </w:rPr>
        <w:t>(南通市疾病预防控制中心</w:t>
      </w:r>
      <w:r>
        <w:rPr>
          <w:rFonts w:hint="eastAsia" w:ascii="Times New Roman" w:hAnsi="Times New Roman" w:eastAsia="宋体" w:cs="Times New Roman"/>
          <w:sz w:val="18"/>
          <w:szCs w:val="18"/>
          <w:lang w:val="en-US" w:eastAsia="zh-CN"/>
        </w:rPr>
        <w:t>信息管理科</w:t>
      </w:r>
      <w:r>
        <w:rPr>
          <w:rFonts w:hint="eastAsia" w:ascii="Times New Roman" w:hAnsi="Times New Roman" w:eastAsia="宋体" w:cs="Times New Roman"/>
          <w:sz w:val="18"/>
          <w:szCs w:val="18"/>
          <w:lang w:eastAsia="zh-CN"/>
        </w:rPr>
        <w:t>，南通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　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 与 MyBatis 开发，前端采用 Vue.js，数据层为 MySQL 8.0 并引入 Redis 缓存。系统在南通市疾病预防控制中心运行 3 个月，覆盖 270 名科研人员，260 个功能测试用例全部通过；以本中心 2024—2025 年公开发表的 183 篇论文为样本的对比实验表明，本文分配方法与均分法的人才排名 Spearman 秩相关为 0.864、Top-30 重合 21/30，合作规模高于中位数的人员平均上升 9.8 个名次，与名义分值制鼓励协作的设计意图一致；平均审核周期由 7 d 缩短至 2 d，积分核算差错率由 3.54% 降至 0.08%；动态能力标签相对专家标注的准确率为 88.0%、召回率为 84.1%、F1 值为 0.86；500 并发下平均响应时间为 452 ms、缓存命中率保持在 92.5% 以上。结果表明，该系统可提升疾控机构科研人才评价的精细度与审核效率，为同类公共卫生机构的人才评价信息化建设提供了可复用的模型与实现路径。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4"/>
          <w:szCs w:val="24"/>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1"/>
          <w:szCs w:val="21"/>
        </w:rPr>
        <w:t xml:space="preserve">YANG Wen-chao</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ZHANG Wei-bing</w:t>
      </w:r>
      <w:r>
        <w:rPr>
          <w:rFonts w:ascii="Times New Roman" w:hAnsi="Times New Roman" w:eastAsia="宋体" w:cs="Times New Roman"/>
          <w:sz w:val="21"/>
          <w:szCs w:val="21"/>
          <w:vertAlign w:val="superscript"/>
        </w:rPr>
        <w:t xml:space="preserve">2</w:t>
      </w:r>
      <w:r>
        <w:rPr>
          <w:rFonts w:ascii="Times New Roman" w:hAnsi="Times New Roman" w:eastAsia="宋体" w:cs="Times New Roman"/>
          <w:sz w:val="21"/>
          <w:szCs w:val="21"/>
        </w:rPr>
        <w:t xml:space="preserve">, LIAN Wei</w:t>
      </w:r>
      <w:r>
        <w:rPr>
          <w:rFonts w:ascii="Times New Roman" w:hAnsi="Times New Roman" w:eastAsia="宋体" w:cs="Times New Roman"/>
          <w:sz w:val="21"/>
          <w:szCs w:val="21"/>
          <w:vertAlign w:val="superscript"/>
        </w:rPr>
        <w:t xml:space="preserve">1</w:t>
      </w:r>
      <w:r>
        <w:rPr>
          <w:rFonts w:ascii="Times New Roman" w:hAnsi="Times New Roman" w:eastAsia="宋体" w:cs="Times New Roman"/>
          <w:sz w:val="21"/>
          <w:szCs w:val="21"/>
        </w:rPr>
        <w:t xml:space="preserve">, XU Xiao-wei</w:t>
      </w:r>
      <w:r>
        <w:rPr>
          <w:rFonts w:ascii="Times New Roman" w:hAnsi="Times New Roman" w:eastAsia="宋体" w:cs="Times New Roman"/>
          <w:sz w:val="21"/>
          <w:szCs w:val="21"/>
          <w:vertAlign w:val="superscript"/>
        </w:rPr>
        <w:t xml:space="preserve">3</w:t>
      </w:r>
      <w:r>
        <w:rPr>
          <w:rFonts w:ascii="Times New Roman" w:hAnsi="Times New Roman" w:eastAsia="宋体" w:cs="Times New Roman"/>
          <w:sz w:val="21"/>
          <w:szCs w:val="21"/>
        </w:rPr>
        <w:t xml:space="preserve">, WANG Qin</w:t>
      </w:r>
      <w:r>
        <w:rPr>
          <w:rFonts w:ascii="Times New Roman" w:hAnsi="Times New Roman" w:eastAsia="宋体" w:cs="Times New Roman"/>
          <w:sz w:val="21"/>
          <w:szCs w:val="21"/>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w:t>
      </w:r>
      <w:r>
        <w:rPr>
          <w:rFonts w:ascii="Times New Roman" w:hAnsi="Times New Roman" w:eastAsia="宋体" w:cs="Times New Roman"/>
          <w:iCs/>
          <w:sz w:val="18"/>
          <w:szCs w:val="18"/>
          <w:vertAlign w:val="superscript"/>
        </w:rPr>
        <w:t xml:space="preserve">1</w:t>
      </w:r>
      <w:r>
        <w:rPr>
          <w:rFonts w:ascii="Times New Roman" w:hAnsi="Times New Roman" w:eastAsia="宋体" w:cs="Times New Roman"/>
          <w:iCs/>
          <w:sz w:val="18"/>
          <w:szCs w:val="18"/>
        </w:rPr>
        <w:t xml:space="preserve">Division of Research and Quality Management, Nantong Center for Disease Control and Prevention, Nantong 226001, China; </w:t>
      </w:r>
      <w:r>
        <w:rPr>
          <w:rFonts w:ascii="Times New Roman" w:hAnsi="Times New Roman" w:eastAsia="宋体" w:cs="Times New Roman"/>
          <w:iCs/>
          <w:sz w:val="18"/>
          <w:szCs w:val="18"/>
          <w:vertAlign w:val="superscript"/>
        </w:rPr>
        <w:t xml:space="preserve">2</w:t>
      </w:r>
      <w:r>
        <w:rPr>
          <w:rFonts w:ascii="Times New Roman" w:hAnsi="Times New Roman" w:eastAsia="宋体" w:cs="Times New Roman"/>
          <w:iCs/>
          <w:sz w:val="18"/>
          <w:szCs w:val="18"/>
        </w:rPr>
        <w:t xml:space="preserve">Director’s Office, Nantong Center for Disease Control and Prevention, Nantong 226001, China; </w:t>
      </w:r>
      <w:r>
        <w:rPr>
          <w:rFonts w:ascii="Times New Roman" w:hAnsi="Times New Roman" w:eastAsia="宋体" w:cs="Times New Roman"/>
          <w:iCs/>
          <w:sz w:val="18"/>
          <w:szCs w:val="18"/>
          <w:vertAlign w:val="superscript"/>
        </w:rPr>
        <w:t xml:space="preserve">3</w:t>
      </w:r>
      <w:r>
        <w:rPr>
          <w:rFonts w:ascii="Times New Roman" w:hAnsi="Times New Roman" w:eastAsia="宋体" w:cs="Times New Roman"/>
          <w:iCs/>
          <w:sz w:val="18"/>
          <w:szCs w:val="18"/>
        </w:rPr>
        <w:t xml:space="preserve">Division of Information Management, Nantong Center for Disease Control and Prevention, Nantong 226001,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The system is developed with Spring Boot and MyBatis, with a Vue.js front end, MySQL 8.0 and a Redis cache. After three months of operation at Nantong CDC, covering 270 researchers, all 260 functional test cases pass. A comparative experiment on 183 papers published by the centre in 2024-2025, retrieved from CNKI, shows a Spearman rank correlation of 0.864 between the proposed allocation method and equal sharing, a Top-30 overlap of 21/30, and an average rise of 9.8 places for researchers whose mean team size is above the median, which matches the collaboration-oriented intent of the nominal-credit scheme. The approval cycle is shortened from 7 d to 2 d, the points-accounting error rate drops from 3.54% to 0.08%, the dynamic capability tagging reaches 88.0% precision, 84.1% recall and 0.86 F1 against expert annotation, and under 500 concurrent users the average response time is 452 ms with a cache hit ratio above 92.5%.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评价指标研究停留在机构层面，动态标签研究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具体问题。针对这三个问题，本文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标签权重、能力维度得分与人才画像共用一条量纲一致的计算通路。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轻量级服务的组织方式一致[13]。可视化层集成 Apache ECharts[14]，数据库选用 MySQL 8.0，并引入 Redis 缓存提升查询效率。分层架构如图1所示。</w:t>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图1  系统分层架构</w:t>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个维度）构成的动态标签体系[8-9]；统计分析模块的“人才晴雨表”仪表盘集成 Apache ECharts[14]，支持多维交叉统计与下钻；申报审核模块内置轻量级工作流引擎驱动三级审批；系统管理模块采用 RBAC 模型构建用户—角色—权限三层架构[15-16]，并承担基础数据维护与操作日志审计。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3  关键技术实现</w:t>
      </w:r>
    </w:p>
    <w:p w14:paraId="69214C3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[17]，而分数分配法、调和计数法等既有方案[18]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作者及以后积分不计入职称评审口径两项制度约束控制，与常见守恒型方法的对比如表1所示，其中调和计数法与算术递减法取自文献[17-18]的归类。表1 为 4 位作者时的情形，推广至任意作者数 n 时，三种守恒型方法的分配系数之和恒为 1.00，而本文方法在 n = 2、3、4、6 时分别为 1.80、2.30、2.50、2.90，随合作规模单调增长。该增长正是上述管理导向的量化形式，也是本文方法区别于守恒型方法之处。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表1  多作者积分分配方法对比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8"/>
                <w:szCs w:val="18"/>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8"/>
                <w:szCs w:val="18"/>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8"/>
                <w:szCs w:val="18"/>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8"/>
                <w:szCs w:val="18"/>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8"/>
                <w:szCs w:val="18"/>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8"/>
                <w:szCs w:val="18"/>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8"/>
                <w:szCs w:val="18"/>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8"/>
                <w:szCs w:val="18"/>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8"/>
                <w:szCs w:val="18"/>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8"/>
                <w:szCs w:val="18"/>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8"/>
                <w:szCs w:val="18"/>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8"/>
                <w:szCs w:val="18"/>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8"/>
                <w:szCs w:val="18"/>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8"/>
                <w:szCs w:val="18"/>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8"/>
                <w:szCs w:val="18"/>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8"/>
                <w:szCs w:val="18"/>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8"/>
                <w:szCs w:val="18"/>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8"/>
                <w:szCs w:val="18"/>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8"/>
                <w:szCs w:val="18"/>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8"/>
                <w:szCs w:val="18"/>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8"/>
                <w:szCs w:val="18"/>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8"/>
                <w:szCs w:val="18"/>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8"/>
                <w:szCs w:val="18"/>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8"/>
                <w:szCs w:val="18"/>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8"/>
                <w:szCs w:val="18"/>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8"/>
                <w:szCs w:val="18"/>
              </w:rPr>
              <w:t>2.50</w:t>
            </w:r>
          </w:p>
        </w:tc>
      </w:tr>
    </w:tbl>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(k)</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sz w:val="21"/>
          <w:szCs w:val="21"/>
          <w:vertAlign w:val="subscript"/>
          <w:lang w:eastAsia="zh-CN"/>
        </w:rPr>
        <w:t xml:space="preserve">t,u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M ∈ RT×D, T 为标签总数，D 为能力维度数（本系统取 D = 16，各维度名称如图2所示）。元素 mt,d ∈ [0, 1] 表示标签 t 对维度 d 的贡献度，满足 Σdmt,d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中的 W(k)t,u)的加权和（式(6)）；由于式(4)已在行为积分层面完成时间衰减修正，式(6)无需再次引入衰减因子。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vertAlign w:val="subscript"/>
          <w:lang w:eastAsia="zh-CN"/>
        </w:rPr>
        <w:t>d,min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sz w:val="21"/>
          <w:szCs w:val="21"/>
          <w:vertAlign w:val="subscript"/>
          <w:lang w:eastAsia="zh-CN"/>
        </w:rPr>
        <w:t>d,u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hint="eastAsia" w:ascii="Times New Roman" w:hAnsi="Times New Roman" w:eastAsia="宋体" w:cs="Times New Roman"/>
          <w:sz w:val="18"/>
          <w:szCs w:val="18"/>
          <w:lang w:eastAsia="zh-CN"/>
        </w:rPr>
        <w:t>图2  人才画像能力雷达图</w:t>
      </w:r>
    </w:p>
    <w:p w14:paraId="3116A643">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[19-20]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Times New Roman" w:hAnsi="Times New Roman" w:eastAsia="宋体" w:cs="Times New Roman"/>
          <w:b/>
          <w:sz w:val="21"/>
          <w:szCs w:val="21"/>
          <w:lang w:eastAsia="zh-CN"/>
        </w:rPr>
        <w:t>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模式并以空值缓存与分布式锁分别防止缓存穿透与击穿，热点键的识别与热度合并参考了缓存热点研究的通用做法[21]，实测缓存命中率在 50–500 并发下保持在 92.5% 以上（表2）。数据库层面按查询模式为核心访问路径建立联合索引，并调整了 InnoDB 的缓冲池与刷盘参数。安全方面整合 Spring Security 与 JWT 实现无状态认证[22]；涉及的学历、职称与成果数据按《中华人民共和国个人信息保护法》实施最小必要采集与分级授权访问，敏感字段脱敏并留存审计日志。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JMeter。按五大模块设计的功能测试用例覆盖正常流程、边界条件与异常输入，积分管理、人才画像、统计分析、申报审核与系统管理五个模块的用例数分别为 68、56、47、52 与 37，缺陷修复后的回归测试中 260 个用例全部通过；并发梯度参考开源 Web 项目性能测试的实践设置[23]，核心接口性能与缓存命中率如表2所示。</w:t>
      </w:r>
    </w:p>
    <w:p w14:paraId="5F2B74F2">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表2  核心接口性能测试结果</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8"/>
                <w:szCs w:val="18"/>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8"/>
                <w:szCs w:val="18"/>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8"/>
                <w:szCs w:val="18"/>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8"/>
                <w:szCs w:val="18"/>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8"/>
                <w:szCs w:val="18"/>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8"/>
                <w:szCs w:val="18"/>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8"/>
                <w:szCs w:val="18"/>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8"/>
                <w:szCs w:val="18"/>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8"/>
                <w:szCs w:val="18"/>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92.5</w:t>
            </w:r>
          </w:p>
        </w:tc>
      </w:tr>
    </w:tbl>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个月的应用效果对比如表3所示。</w:t>
      </w:r>
    </w:p>
    <w:bookmarkEnd w:id="2"/>
    <w:p w14:paraId="0C4537F9">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表3  系统上线前后应用效果对比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8"/>
                <w:szCs w:val="18"/>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8"/>
                <w:szCs w:val="18"/>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8"/>
                <w:szCs w:val="18"/>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8"/>
                <w:szCs w:val="18"/>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8"/>
                <w:szCs w:val="18"/>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8"/>
                <w:szCs w:val="18"/>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8"/>
                <w:szCs w:val="18"/>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8"/>
                <w:szCs w:val="18"/>
                <w:lang w:eastAsia="zh-CN"/>
              </w:rPr>
              <w:t>0.08</w:t>
            </w:r>
          </w:p>
        </w:tc>
      </w:tr>
      <w:bookmarkEnd w:id="0"/>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由表3可见，系统上线后申报与审核全流程线上化，申报单量增至上线前的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为进一步说明本文工作与同类研究的差异，表4 从评价对象、数据来源、多作者成果分配、成果时效处理、量化与画像的耦合方式及审批流程支持六个方面，将本文与两类同源研究进行了对比。</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表4  本文系统与同类工作的对比</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秩相关如表5所示。</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表5  四种分配方法下人才排名的 Spearman 秩相关</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1.000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秩相关反映整体一致性，头部名次的差异则更直接影响职称评审与激励分配，以本文方法为基准的 Top-N 人员重合度如表6所示。</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表6  以本文方法为基准的 Top-N 人员重合度</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26/30</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人）将人员分为两组，其相对均分法的名次变动如表7所示。此处不以“多作者成果占比”分组：本中心 183 篇论文中 163 篇为 3 人以上合著，该指标全员饱和，无法区分。</w:t>
      </w:r>
    </w:p>
    <w:p w14:paraId="6B41360C">
      <w:pPr>
        <w:keepNext/>
        <w:keepLines/>
        <w:spacing w:before="37" w:beforeLines="12" w:after="18" w:afterLines="6"/>
        <w:jc w:val="center"/>
        <w:rPr>
          <w:rFonts w:hint="eastAsia"/>
          <w:lang w:eastAsia="zh-CN"/>
        </w:rPr>
      </w:pPr>
      <w:r>
        <w:rPr>
          <w:rFonts w:hint="eastAsia" w:ascii="Times New Roman" w:hAnsi="Times New Roman" w:eastAsia="宋体" w:cs="Times New Roman"/>
          <w:sz w:val="18"/>
          <w:szCs w:val="18"/>
          <w:lang w:eastAsia="zh-CN"/>
        </w:rPr>
        <w:t xml:space="preserve">表7  不同合作规模科研人员的排名变动（本文方法相对均分法）</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8"/>
                <w:szCs w:val="18"/>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8"/>
                <w:szCs w:val="18"/>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8"/>
                <w:szCs w:val="18"/>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8"/>
                <w:szCs w:val="18"/>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8"/>
                <w:szCs w:val="18"/>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8"/>
                <w:szCs w:val="18"/>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8"/>
                <w:szCs w:val="18"/>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8"/>
                <w:szCs w:val="18"/>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26/30，差异集中在均分法一侧。合作规模高于中位数的 126 人平均上升 9.8 个名次、58% 的人名次上升，合作规模不高于中位数的 131 人平均下降 9.5 个名次，方向与名义分值制“鼓励多科室协作”的设计意图一致。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0.864、Top-30 重合 21/30，合作规模高于中位数的人员平均上升 9.8 个名次，排名变化的方向与设计意图一致。多作者分配采用名义分值制则是管理导向下的取舍，其“挂名”代价由年度上限与职称评审口径两项制度约束承担，而非由算法本身消化。本文工作也有局限。式(4)(5)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两个参数的取值对排名影响多大，仍有待更大样本的敏感性分析。标签—能力维度映射矩阵由本中心专家标定，跨机构推广时需要重新标定。式(4) 采用极值归一化，对周期内出现的异常高分较为敏感。后续将在积累更长周期的积分流水后开展参数敏感性分析与跨机构验证，并与人事、财务等系统打通数据。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张岩. 基于Spring Boot的公共卫生服务平台设计[J]. 现代信息科技, 2026, 10(1): 105-110, 116.</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[14]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来天平, 王永超, 罗盘, 等. 基于角色资源级别的权限控制模型的设计与应用研究[J]. 通信学报, 2024, 45(S2): 153-159.</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[16]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[21]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[22] 吕玉桂. Spring Security+JWT实现微服务架构中的身份验证和授权[J]. 电脑知识与技术,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