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Lines="20" w:after="60" w:line="300" w:lineRule="auto"/>
        <w:jc w:val="center"/>
      </w:pPr>
      <w:r>
        <w:rPr>
          <w:rFonts w:ascii="Times New Roman" w:hAnsi="Times New Roman" w:eastAsia="黑体" w:cs="Times New Roman"/>
          <w:sz w:val="32"/>
          <w:szCs w:val="32"/>
        </w:rPr>
        <w:t xml:space="preserve">基于动态积分与标签画像的疾控科研人才评价系统设计与实现</w:t>
      </w:r>
    </w:p>
    <w:p>
      <w:pPr>
        <w:spacing w:afterLines="10" w:after="30"/>
        <w:jc w:val="center"/>
      </w:pPr>
      <w:r>
        <w:rPr>
          <w:rFonts w:ascii="Times New Roman" w:hAnsi="Times New Roman" w:eastAsia="楷体" w:cs="Times New Roman"/>
          <w:sz w:val="28"/>
          <w:szCs w:val="28"/>
        </w:rPr>
        <w:t xml:space="preserve">杨文超</w:t>
      </w:r>
    </w:p>
    <w:p>
      <w:pPr>
        <w:spacing w:afterLines="25" w:after="75"/>
        <w:jc w:val="center"/>
      </w:pPr>
      <w:r>
        <w:rPr>
          <w:rFonts w:ascii="Times New Roman" w:hAnsi="Times New Roman" w:eastAsia="宋体" w:cs="Times New Roman"/>
          <w:sz w:val="18"/>
          <w:szCs w:val="18"/>
        </w:rPr>
        <w:t xml:space="preserve">（南通市疾病预防控制中心，江苏 南通　226001）</w:t>
      </w:r>
    </w:p>
    <w:p>
      <w:pPr>
        <w:spacing w:afterLines="10" w:after="30" w:line="280" w:lineRule="auto"/>
        <w:jc w:val="center"/>
      </w:pPr>
      <w:r>
        <w:rPr>
          <w:rFonts w:ascii="Times New Roman" w:hAnsi="Times New Roman" w:eastAsia="Times New Roman" w:cs="Times New Roman"/>
          <w:b/>
          <w:bCs/>
          <w:sz w:val="24"/>
          <w:szCs w:val="24"/>
        </w:rPr>
        <w:t xml:space="preserve">Design and Implementation of a Research Talent Evaluation System for CDC Institutions Based on Dynamic Points and Tag Profiling</w:t>
      </w:r>
    </w:p>
    <w:p>
      <w:pPr>
        <w:spacing w:afterLines="8" w:after="24"/>
        <w:jc w:val="center"/>
      </w:pPr>
      <w:r>
        <w:rPr>
          <w:rFonts w:ascii="Times New Roman" w:hAnsi="Times New Roman" w:eastAsia="Times New Roman" w:cs="Times New Roman"/>
          <w:sz w:val="21"/>
          <w:szCs w:val="21"/>
        </w:rPr>
        <w:t xml:space="preserve">YANG Wenchao</w:t>
      </w:r>
    </w:p>
    <w:p>
      <w:pPr>
        <w:spacing w:afterLines="30" w:after="90"/>
        <w:jc w:val="center"/>
      </w:pPr>
      <w:r>
        <w:rPr>
          <w:rFonts w:ascii="Times New Roman" w:hAnsi="Times New Roman" w:eastAsia="Times New Roman" w:cs="Times New Roman"/>
          <w:i/>
          <w:iCs/>
          <w:sz w:val="18"/>
          <w:szCs w:val="18"/>
        </w:rPr>
        <w:t xml:space="preserve">(Nantong Center for Disease Control and Prevention, Nantong 226001, Jiangsu, China)</w:t>
      </w:r>
    </w:p>
    <w:p>
      <w:pPr>
        <w:spacing w:afterLines="8" w:after="24" w:line="280" w:lineRule="auto"/>
      </w:pPr>
      <w:r>
        <w:rPr>
          <w:rFonts w:ascii="Times New Roman" w:hAnsi="Times New Roman" w:eastAsia="宋体" w:cs="Times New Roman"/>
          <w:b/>
          <w:bCs/>
          <w:sz w:val="18"/>
          <w:szCs w:val="18"/>
        </w:rPr>
        <w:t xml:space="preserve">摘要：</w:t>
      </w:r>
      <w:r>
        <w:rPr>
          <w:rFonts w:ascii="Times New Roman" w:hAnsi="Times New Roman" w:eastAsia="宋体" w:cs="Times New Roman"/>
          <w:sz w:val="18"/>
          <w:szCs w:val="18"/>
        </w:rPr>
        <w:t xml:space="preserve">针对疾控机构科研人才评价精细化程度不足的问题，设计并实现了基于 Spring Boot 与 MyBatis 的科研积分管理系统，构建表现层、业务逻辑层、数据访问层与数据层的四层架构。提出面向多作者科研成果的分段权重积分分配模型，并与均分法、调和计数法进行对比分析；设计以一阶指数加权移动平均为基础的动态标签权重模型，取新增行为权重系数 </w:t>
      </w:r>
      <w:r>
        <w:rPr>
          <w:rFonts w:ascii="Times New Roman" w:hAnsi="Times New Roman" w:eastAsia="宋体" w:cs="Times New Roman"/>
          <w:i/>
          <w:iCs/>
          <w:sz w:val="18"/>
          <w:szCs w:val="18"/>
        </w:rPr>
        <w:t xml:space="preserve">α</w:t>
      </w:r>
      <w:r>
        <w:rPr>
          <w:rFonts w:ascii="Times New Roman" w:hAnsi="Times New Roman" w:eastAsia="宋体" w:cs="Times New Roman"/>
          <w:sz w:val="18"/>
          <w:szCs w:val="18"/>
        </w:rPr>
        <w:t xml:space="preserve"> = 0.7，并将半衰期约 4.95 年（衰减系数 </w:t>
      </w:r>
      <w:r>
        <w:rPr>
          <w:rFonts w:ascii="Times New Roman" w:hAnsi="Times New Roman" w:eastAsia="宋体" w:cs="Times New Roman"/>
          <w:i/>
          <w:iCs/>
          <w:sz w:val="18"/>
          <w:szCs w:val="18"/>
        </w:rPr>
        <w:t xml:space="preserve">λ</w:t>
      </w:r>
      <w:r>
        <w:rPr>
          <w:rFonts w:ascii="Times New Roman" w:hAnsi="Times New Roman" w:eastAsia="宋体" w:cs="Times New Roman"/>
          <w:sz w:val="18"/>
          <w:szCs w:val="18"/>
        </w:rPr>
        <w:t xml:space="preserve"> = 0.14）的指数时间衰减因子前置嵌入行为积分归一化环节，使标签权重、能力维度得分与人才画像构成量纲一致的统一计算链路；基于有限状态机实现无第三方框架依赖的轻量级四级审批工作流引擎。系统在南通市疾病预防控制中心上线运行 3 个月，覆盖 15 个业务科室、270 名科研人员，审核周期由平均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18"/>
          <w:szCs w:val="18"/>
        </w:rPr>
        <w:t xml:space="preserve"> 天缩短至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18"/>
          <w:szCs w:val="18"/>
        </w:rPr>
        <w:t xml:space="preserve"> 天，积分核算人为差错率由 5% 降至 0，核心业务平均响应时间为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18"/>
          <w:szCs w:val="18"/>
        </w:rPr>
        <w:t xml:space="preserve"> ms。“积分量化 + 标签画像”双维度评价模式可为同类公共卫生机构的科研管理信息化建设提供参考。</w:t>
      </w:r>
    </w:p>
    <w:p>
      <w:pPr>
        <w:spacing w:afterLines="8" w:after="24" w:line="280" w:lineRule="auto"/>
      </w:pPr>
      <w:r>
        <w:rPr>
          <w:rFonts w:ascii="Times New Roman" w:hAnsi="Times New Roman" w:eastAsia="宋体" w:cs="Times New Roman"/>
          <w:b/>
          <w:bCs/>
          <w:sz w:val="18"/>
          <w:szCs w:val="18"/>
        </w:rPr>
        <w:t xml:space="preserve">关键词：</w:t>
      </w:r>
      <w:r>
        <w:rPr>
          <w:rFonts w:ascii="Times New Roman" w:hAnsi="Times New Roman" w:eastAsia="宋体" w:cs="Times New Roman"/>
          <w:sz w:val="18"/>
          <w:szCs w:val="18"/>
        </w:rPr>
        <w:t xml:space="preserve">积分量化评价；标签权重模型；时间衰减算法；工作流引擎；前后端分离架构</w:t>
      </w:r>
    </w:p>
    <w:p>
      <w:pPr>
        <w:spacing w:afterLines="25" w:after="75" w:line="280" w:lineRule="auto"/>
      </w:pPr>
      <w:r>
        <w:rPr>
          <w:rFonts w:ascii="Times New Roman" w:hAnsi="Times New Roman" w:eastAsia="宋体" w:cs="Times New Roman"/>
          <w:b/>
          <w:bCs/>
          <w:sz w:val="18"/>
          <w:szCs w:val="18"/>
        </w:rPr>
        <w:t xml:space="preserve">中图分类号：</w:t>
      </w:r>
      <w:r>
        <w:rPr>
          <w:rFonts w:ascii="Times New Roman" w:hAnsi="Times New Roman" w:eastAsia="宋体" w:cs="Times New Roman"/>
          <w:sz w:val="18"/>
          <w:szCs w:val="18"/>
        </w:rPr>
        <w:t xml:space="preserve">TP311.5　　</w:t>
      </w:r>
      <w:r>
        <w:rPr>
          <w:rFonts w:ascii="Times New Roman" w:hAnsi="Times New Roman" w:eastAsia="宋体" w:cs="Times New Roman"/>
          <w:b/>
          <w:bCs/>
          <w:sz w:val="18"/>
          <w:szCs w:val="18"/>
        </w:rPr>
        <w:t xml:space="preserve">文献标识码：</w:t>
      </w:r>
      <w:r>
        <w:rPr>
          <w:rFonts w:ascii="Times New Roman" w:hAnsi="Times New Roman" w:eastAsia="宋体" w:cs="Times New Roman"/>
          <w:sz w:val="18"/>
          <w:szCs w:val="18"/>
        </w:rPr>
        <w:t xml:space="preserve">A</w:t>
      </w:r>
    </w:p>
    <w:p>
      <w:pPr>
        <w:spacing w:afterLines="8" w:after="24" w:line="280" w:lineRule="auto"/>
      </w:pPr>
      <w:r>
        <w:rPr>
          <w:rFonts w:ascii="Times New Roman" w:hAnsi="Times New Roman" w:eastAsia="Times New Roman" w:cs="Times New Roman"/>
          <w:b/>
          <w:bCs/>
          <w:sz w:val="18"/>
          <w:szCs w:val="18"/>
        </w:rPr>
        <w:t xml:space="preserve">Abstract: </w:t>
      </w:r>
      <w:r>
        <w:rPr>
          <w:rFonts w:ascii="Times New Roman" w:hAnsi="Times New Roman" w:eastAsia="Times New Roman" w:cs="Times New Roman"/>
          <w:sz w:val="18"/>
          <w:szCs w:val="18"/>
        </w:rPr>
        <w:t xml:space="preserve">To address the insufficient granularity of research talent evaluation in centers for disease control and prevention (CDC), a research points management system based on Spring Boot and MyBatis is designed and implemented, organized as a four-layer architecture comprising the presentation, business logic, data access and data layers. A piecewise weighting model is proposed for allocating points among the multiple authors of a research output, and is compared with the equal-sharing and harmonic counting methods. A dynamic tag weight model is designed on the basis of a first-order exponentially weighted moving average with a new-behaviour weighting coefficient of 0.7, into which an exponential time-decay factor with a decay constant of 0.14 per year (a half-life of about 4.95 years) is embedded ahead of behaviour-score normalization, so that tag weights, capability dimension scores and the talent profile form a single dimensionally consistent computation chain. A lightweight four-level approval workflow engine is implemented as a finite state machine without any third-party framework dependency. The system has been running at Nantong Center for Disease Control and Prevention for three months, covering 15 divisions and 270 researchers. The average approval cycle was shortened from </w:t>
      </w:r>
      <w:r>
        <w:rPr>
          <w:rFonts w:ascii="Times New Roman" w:hAnsi="Times New Roman" w:eastAsia="宋体" w:cs="Times New Roman"/>
          <w:sz w:val="21"/>
          <w:szCs w:val="21"/>
          <w:highlight w:val="yellow"/>
        </w:rPr>
        <w:t xml:space="preserve">××</w:t>
      </w:r>
      <w:r>
        <w:rPr>
          <w:rFonts w:ascii="Times New Roman" w:hAnsi="Times New Roman" w:eastAsia="Times New Roman" w:cs="Times New Roman"/>
          <w:sz w:val="18"/>
          <w:szCs w:val="18"/>
        </w:rPr>
        <w:t xml:space="preserve"> days to </w:t>
      </w:r>
      <w:r>
        <w:rPr>
          <w:rFonts w:ascii="Times New Roman" w:hAnsi="Times New Roman" w:eastAsia="宋体" w:cs="Times New Roman"/>
          <w:sz w:val="21"/>
          <w:szCs w:val="21"/>
          <w:highlight w:val="yellow"/>
        </w:rPr>
        <w:t xml:space="preserve">××</w:t>
      </w:r>
      <w:r>
        <w:rPr>
          <w:rFonts w:ascii="Times New Roman" w:hAnsi="Times New Roman" w:eastAsia="Times New Roman" w:cs="Times New Roman"/>
          <w:sz w:val="18"/>
          <w:szCs w:val="18"/>
        </w:rPr>
        <w:t xml:space="preserve"> days, manual errors in points accounting fell from 5% to zero, and the average response time of core services was </w:t>
      </w:r>
      <w:r>
        <w:rPr>
          <w:rFonts w:ascii="Times New Roman" w:hAnsi="Times New Roman" w:eastAsia="宋体" w:cs="Times New Roman"/>
          <w:sz w:val="21"/>
          <w:szCs w:val="21"/>
          <w:highlight w:val="yellow"/>
        </w:rPr>
        <w:t xml:space="preserve">××</w:t>
      </w:r>
      <w:r>
        <w:rPr>
          <w:rFonts w:ascii="Times New Roman" w:hAnsi="Times New Roman" w:eastAsia="Times New Roman" w:cs="Times New Roman"/>
          <w:sz w:val="18"/>
          <w:szCs w:val="18"/>
        </w:rPr>
        <w:t xml:space="preserve"> ms. The dual-dimension model of points-based quantification combined with tag profiling provides a reference for research management informatization in comparable public health institutions.</w:t>
      </w:r>
    </w:p>
    <w:p>
      <w:pPr>
        <w:spacing w:afterLines="25" w:after="75" w:line="280" w:lineRule="auto"/>
      </w:pPr>
      <w:r>
        <w:rPr>
          <w:rFonts w:ascii="Times New Roman" w:hAnsi="Times New Roman" w:eastAsia="Times New Roman" w:cs="Times New Roman"/>
          <w:b/>
          <w:bCs/>
          <w:sz w:val="18"/>
          <w:szCs w:val="18"/>
        </w:rPr>
        <w:t xml:space="preserve">Key words: </w:t>
      </w:r>
      <w:r>
        <w:rPr>
          <w:rFonts w:ascii="Times New Roman" w:hAnsi="Times New Roman" w:eastAsia="Times New Roman" w:cs="Times New Roman"/>
          <w:sz w:val="18"/>
          <w:szCs w:val="18"/>
        </w:rPr>
        <w:t xml:space="preserve">points-based quantitative evaluation; tag weight model; time decay algorithm; workflow engine; front-end and back-end separation architecture</w:t>
      </w:r>
    </w:p>
    <w:p>
      <w:pPr>
        <w:keepNext/>
        <w:keepLines/>
        <w:spacing w:beforeLines="50" w:before="150" w:afterLines="30" w:after="90"/>
        <w:outlineLvl w:val="0"/>
      </w:pPr>
      <w:r>
        <w:rPr>
          <w:rFonts w:ascii="Times New Roman" w:hAnsi="Times New Roman" w:eastAsia="黑体" w:cs="Times New Roman"/>
          <w:sz w:val="24"/>
          <w:szCs w:val="24"/>
        </w:rPr>
        <w:t xml:space="preserve">1  引言</w:t>
      </w:r>
    </w:p>
    <w:p>
      <w:pPr>
        <w:spacing w:line="300" w:lineRule="auto"/>
        <w:ind w:firstLineChars="200" w:firstLine="420"/>
      </w:pPr>
      <w:r>
        <w:rPr>
          <w:rFonts w:ascii="Times New Roman" w:hAnsi="Times New Roman" w:eastAsia="宋体" w:cs="Times New Roman"/>
          <w:sz w:val="21"/>
          <w:szCs w:val="21"/>
        </w:rPr>
        <w:t xml:space="preserve">在“科教兴卫、人才强卫”战略指引下，各级疾病预防控制机构日益重视科研能力建设，并逐步向应用研究型方向发展。然而，基层疾控机构的科研人才评价仍存在方式粗放、“四唯”倾向明显、缺少动态量化手段等问题[1-2]，难以支撑科研梯队建设与精准激励。</w:t>
      </w:r>
    </w:p>
    <w:p>
      <w:pPr>
        <w:spacing w:line="300" w:lineRule="auto"/>
        <w:ind w:firstLineChars="200" w:firstLine="420"/>
      </w:pPr>
      <w:r>
        <w:rPr>
          <w:rFonts w:ascii="Times New Roman" w:hAnsi="Times New Roman" w:eastAsia="宋体" w:cs="Times New Roman"/>
          <w:sz w:val="21"/>
          <w:szCs w:val="21"/>
        </w:rPr>
        <w:t xml:space="preserve">在科研评价量化方法方面，李涛等[1]针对卫生政策与管理研究领域提出了科技评价体系的改进建议，但其结论停留在指标层面，缺少可落地的信息系统实现；沈杨阳[2]从组织机制角度探讨了科研管理机构的实践路径，同样未涉及个体层面的量化核算。Amaral 等[3]对欧洲高校绩效导向经费分配与科研产出的关系进行了纵向分析，证实了量化评价对科研产出的调节作用，但其评价对象是机构而非个人。Lei[4]面向“破五唯”背景设计了高校教师分类绩效评价的动态指标体系，与本文思路较为接近，但其应用场景为高校教学科研岗，指标构成与疾控机构以公共卫生服务、现场流行病学调查为主的产出结构差异较大。</w:t>
      </w:r>
    </w:p>
    <w:p>
      <w:pPr>
        <w:spacing w:line="300" w:lineRule="auto"/>
        <w:ind w:firstLineChars="200" w:firstLine="420"/>
      </w:pPr>
      <w:r>
        <w:rPr>
          <w:rFonts w:ascii="Times New Roman" w:hAnsi="Times New Roman" w:eastAsia="宋体" w:cs="Times New Roman"/>
          <w:sz w:val="21"/>
          <w:szCs w:val="21"/>
        </w:rPr>
        <w:t xml:space="preserve">在人才画像与标签体系方面，罗仕鉴等[9]提出了智能体驱动的用户画像生成方法，白菁昊等[10]面向学习者画像研究了时序动态标签的构建与预测方法，二者均验证了动态标签在刻画个体能力演进上的有效性，但其权重更新机制面向消费行为与学习行为，未考虑科研成果特有的长周期性与时效衰减特征。</w:t>
      </w:r>
    </w:p>
    <w:p>
      <w:pPr>
        <w:spacing w:line="300" w:lineRule="auto"/>
        <w:ind w:firstLineChars="200" w:firstLine="420"/>
      </w:pPr>
      <w:r>
        <w:rPr>
          <w:rFonts w:ascii="Times New Roman" w:hAnsi="Times New Roman" w:eastAsia="宋体" w:cs="Times New Roman"/>
          <w:sz w:val="21"/>
          <w:szCs w:val="21"/>
        </w:rPr>
        <w:t xml:space="preserve">在系统实现方面，刘盛等[6]基于 Spring Boot 与 Vue 微服务架构实现了科研样本库管理系统，张岩[8]设计了基于 Spring Boot 的公共卫生服务平台，均验证了该技术栈在卫生行业信息系统中的适用性，但其功能定位偏向业务数据管理，未涉及科研评价的量化建模。</w:t>
      </w:r>
    </w:p>
    <w:p>
      <w:pPr>
        <w:spacing w:line="300" w:lineRule="auto"/>
        <w:ind w:firstLineChars="200" w:firstLine="420"/>
      </w:pPr>
      <w:r>
        <w:rPr>
          <w:rFonts w:ascii="Times New Roman" w:hAnsi="Times New Roman" w:eastAsia="宋体" w:cs="Times New Roman"/>
          <w:sz w:val="21"/>
          <w:szCs w:val="21"/>
        </w:rPr>
        <w:t xml:space="preserve">综上，面向公共卫生领域、同时整合积分量化与人才标签画像的专用科研管理系统仍比较少见。本文的主要工作如下：① 提出面向多作者科研成果的分段权重积分分配模型，给出其与均分法、调和计数法的对比分析及在积分总量口径上的制度性约束；② 构建“指数加权移动平均标签权重 + 指数时间衰减”的动态画像模型，将时间衰减前置于行为积分归一化环节，使标签权重、能力维度得分与可视化画像构成量纲一致的统一计算链路；③ 实现无第三方框架依赖的状态机工作流引擎与可配置积分规则引擎，支持审核环节与积分规则的免发布调整，并在 270 名科研人员规模的疾控机构完成3 个月实际部署验证。</w:t>
      </w:r>
    </w:p>
    <w:p>
      <w:pPr>
        <w:spacing w:line="300" w:lineRule="auto"/>
        <w:ind w:firstLineChars="200" w:firstLine="420"/>
      </w:pPr>
      <w:r>
        <w:rPr>
          <w:rFonts w:ascii="Times New Roman" w:hAnsi="Times New Roman" w:eastAsia="宋体" w:cs="Times New Roman"/>
          <w:sz w:val="21"/>
          <w:szCs w:val="21"/>
        </w:rPr>
        <w:t xml:space="preserve">本文其余部分组织如下：第 2 节分析系统需求；第 3 节给出总体架构与技术选型；第 4 节描述核心功能模块设计；第 5 节阐述关键技术实现；第 6 节报告系统测试与应用效果；第 7 节总结全文并展望后续工作。</w:t>
      </w:r>
    </w:p>
    <w:p>
      <w:pPr>
        <w:keepNext/>
        <w:keepLines/>
        <w:spacing w:beforeLines="50" w:before="150" w:afterLines="30" w:after="90"/>
        <w:outlineLvl w:val="0"/>
      </w:pPr>
      <w:r>
        <w:rPr>
          <w:rFonts w:ascii="Times New Roman" w:hAnsi="Times New Roman" w:eastAsia="黑体" w:cs="Times New Roman"/>
          <w:sz w:val="24"/>
          <w:szCs w:val="24"/>
        </w:rPr>
        <w:t xml:space="preserve">2  系统需求分析</w:t>
      </w:r>
    </w:p>
    <w:p>
      <w:pPr>
        <w:spacing w:line="300" w:lineRule="auto"/>
        <w:ind w:firstLineChars="200" w:firstLine="420"/>
      </w:pPr>
      <w:r>
        <w:rPr>
          <w:rFonts w:ascii="Times New Roman" w:hAnsi="Times New Roman" w:eastAsia="宋体" w:cs="Times New Roman"/>
          <w:sz w:val="21"/>
          <w:szCs w:val="21"/>
        </w:rPr>
        <w:t xml:space="preserve">业务需求方面，系统以科研人才为中心、以数据驱动评价、以激励闭环为目标，包括动态量化的科研积分计量体系、多维度人才特征标签体系，以及融合积分与标签数据生成的可视化人才画像。</w:t>
      </w:r>
    </w:p>
    <w:p>
      <w:pPr>
        <w:spacing w:line="300" w:lineRule="auto"/>
        <w:ind w:firstLineChars="200" w:firstLine="420"/>
      </w:pPr>
      <w:r>
        <w:rPr>
          <w:rFonts w:ascii="Times New Roman" w:hAnsi="Times New Roman" w:eastAsia="宋体" w:cs="Times New Roman"/>
          <w:sz w:val="21"/>
          <w:szCs w:val="21"/>
        </w:rPr>
        <w:t xml:space="preserve">功能需求方面，系统需满足积分申报与多级审核、多维度统计分析与动态排行、人才画像生成、标签生命周期管理，以及基于角色的访问控制（RBAC）与系统管理支撑[4-5]。</w:t>
      </w:r>
    </w:p>
    <w:p>
      <w:pPr>
        <w:spacing w:line="300" w:lineRule="auto"/>
        <w:ind w:firstLineChars="200" w:firstLine="420"/>
      </w:pPr>
      <w:r>
        <w:rPr>
          <w:rFonts w:ascii="Times New Roman" w:hAnsi="Times New Roman" w:eastAsia="宋体" w:cs="Times New Roman"/>
          <w:sz w:val="21"/>
          <w:szCs w:val="21"/>
        </w:rPr>
        <w:t xml:space="preserve">非功能需求方面，核心业务响应时间应控制在 3 s 以内，支持并发访问，遵循分层模块化设计，并兼容现有办公与人事系统[6]。</w:t>
      </w:r>
    </w:p>
    <w:p>
      <w:pPr>
        <w:spacing w:line="300" w:lineRule="auto"/>
        <w:ind w:firstLineChars="200" w:firstLine="420"/>
      </w:pPr>
      <w:r>
        <w:rPr>
          <w:rFonts w:ascii="Times New Roman" w:hAnsi="Times New Roman" w:eastAsia="宋体" w:cs="Times New Roman"/>
          <w:sz w:val="21"/>
          <w:szCs w:val="21"/>
        </w:rPr>
        <w:t xml:space="preserve">系统设计期间的调研表明，该中心设有 15 个业务科室、270 名科研人员，科研成果类型涵盖论文、项目、专利、技术标准、健康科普等 12 个大类，这是本文整合多源数据的基础。</w:t>
      </w:r>
    </w:p>
    <w:p>
      <w:pPr>
        <w:keepNext/>
        <w:keepLines/>
        <w:spacing w:beforeLines="50" w:before="150" w:afterLines="30" w:after="90"/>
        <w:outlineLvl w:val="0"/>
      </w:pPr>
      <w:r>
        <w:rPr>
          <w:rFonts w:ascii="Times New Roman" w:hAnsi="Times New Roman" w:eastAsia="黑体" w:cs="Times New Roman"/>
          <w:sz w:val="24"/>
          <w:szCs w:val="24"/>
        </w:rPr>
        <w:t xml:space="preserve">3  系统总体架构设计</w:t>
      </w:r>
    </w:p>
    <w:p>
      <w:pPr>
        <w:keepNext/>
        <w:keepLines/>
        <w:spacing w:beforeLines="30" w:before="90" w:afterLines="20" w:after="60"/>
        <w:outlineLvl w:val="1"/>
      </w:pPr>
      <w:r>
        <w:rPr>
          <w:rFonts w:ascii="Times New Roman" w:hAnsi="Times New Roman" w:eastAsia="黑体" w:cs="Times New Roman"/>
          <w:sz w:val="21"/>
          <w:szCs w:val="21"/>
        </w:rPr>
        <w:t xml:space="preserve">3.1  分层架构</w:t>
      </w:r>
    </w:p>
    <w:p>
      <w:pPr>
        <w:spacing w:line="300" w:lineRule="auto"/>
        <w:ind w:firstLineChars="200" w:firstLine="420"/>
      </w:pPr>
      <w:r>
        <w:rPr>
          <w:rFonts w:ascii="Times New Roman" w:hAnsi="Times New Roman" w:eastAsia="宋体" w:cs="Times New Roman"/>
          <w:sz w:val="21"/>
          <w:szCs w:val="21"/>
        </w:rPr>
        <w:t xml:space="preserve">系统采用经典的四层架构。表现层由基于 Spring Boot 的 @RestController 构成，负责接收 HTTP 请求、解析参数并调用业务逻辑层服务，实现前后端分离，便于前端技术栈的灵活选择与独立开发。业务逻辑层是系统核心，封装全部业务规则与流程，积分计算、审核流程控制、人才画像生成、排行榜统计等复杂逻辑均在该层实现；该层由 Service 组件构成，负责协调多个数据访问操作并管理事务，确保业务操作的原子性与一致性。数据访问层负责与数据库交互，通过定义 Mapper 接口及对应的 XML 映射文件实现对象关系映射（ORM），提供灵活且高性能的数据访问能力[8]。数据层负责数据持久化与存储管理。分层架构如图 1 所示。</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602432" behindDoc="0" locked="0" layoutInCell="1" allowOverlap="1" wp14:anchorId="1A1F1FF7" wp14:editId="59EEC34D">
            <wp:simplePos x="0" y="0"/>
            <wp:positionH relativeFrom="column">
              <wp:posOffset>882650</wp:posOffset>
            </wp:positionH>
            <wp:positionV relativeFrom="paragraph">
              <wp:posOffset>302260</wp:posOffset>
            </wp:positionV>
            <wp:extent cx="3566160" cy="3307452"/>
            <wp:effectExtent l="0" t="0" r="0" b="0"/>
            <wp:wrapNone/>
            <wp:docPr id="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66160" cy="3307452"/>
                    </a:xfrm>
                    <a:prstGeom prst="rect">
                      <a:avLst/>
                    </a:prstGeom>
                    <a:noFill/>
                  </pic:spPr>
                </pic:pic>
              </a:graphicData>
            </a:graphic>
          </wp:anchor>
        </w:drawing>
      </w:r>
    </w:p>
    <w:p>
      <w:pPr>
        <w:keepNext/>
        <w:keepLines/>
        <w:spacing w:beforeLines="10" w:before="30" w:afterLines="30" w:after="90"/>
        <w:jc w:val="center"/>
      </w:pPr>
      <w:r>
        <w:rPr>
          <w:rFonts w:ascii="Times New Roman" w:hAnsi="Times New Roman" w:eastAsia="黑体" w:cs="Times New Roman"/>
          <w:sz w:val="18"/>
          <w:szCs w:val="18"/>
        </w:rPr>
        <w:t xml:space="preserve">图 1  系统分层架构</w:t>
      </w:r>
    </w:p>
    <w:p>
      <w:pPr>
        <w:keepNext/>
        <w:keepLines/>
        <w:spacing w:beforeLines="30" w:before="90" w:afterLines="20" w:after="60"/>
        <w:outlineLvl w:val="1"/>
      </w:pPr>
      <w:r>
        <w:rPr>
          <w:rFonts w:ascii="Times New Roman" w:hAnsi="Times New Roman" w:eastAsia="黑体" w:cs="Times New Roman"/>
          <w:sz w:val="21"/>
          <w:szCs w:val="21"/>
        </w:rPr>
        <w:t xml:space="preserve">3.2  技术选型</w:t>
      </w:r>
    </w:p>
    <w:p>
      <w:pPr>
        <w:spacing w:line="300" w:lineRule="auto"/>
        <w:ind w:firstLineChars="200" w:firstLine="420"/>
      </w:pPr>
      <w:r>
        <w:rPr>
          <w:rFonts w:ascii="Times New Roman" w:hAnsi="Times New Roman" w:eastAsia="宋体" w:cs="Times New Roman"/>
          <w:sz w:val="21"/>
          <w:szCs w:val="21"/>
        </w:rPr>
        <w:t xml:space="preserve">后端采用 Spring Boot 框架，简化了项目初始配置与部署过程，减少了 XML 配置量；同时引入 Redis 缓存以提升系统处理效率。考虑到灵活性与对数据库的完全控制权，持久层选用 MyBatis，可在复杂场景下直接编写并优化 SQL 语句，获得更优的查询性能。结合疾控中心内部系统的使用特点与用户体验需求，前端采用轻量、易上手、支持组件化与响应式设计的 Vue.js 框架，通过 RESTful API 与后端 Spring Boot 服务交互。综合性能、可靠性与社区支持等因素，数据库选用 MySQL 8.0[5-8]。技术架构如图 2 所示。</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604480" behindDoc="0" locked="0" layoutInCell="1" allowOverlap="1" wp14:anchorId="07C54EE4" wp14:editId="19228F2F">
            <wp:simplePos x="0" y="0"/>
            <wp:positionH relativeFrom="column">
              <wp:posOffset>19050</wp:posOffset>
            </wp:positionH>
            <wp:positionV relativeFrom="paragraph">
              <wp:posOffset>126365</wp:posOffset>
            </wp:positionV>
            <wp:extent cx="5120640" cy="2670564"/>
            <wp:effectExtent l="0" t="0" r="4445" b="3175"/>
            <wp:wrapNone/>
            <wp:docPr id="1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2330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120640" cy="2670564"/>
                    </a:xfrm>
                    <a:prstGeom prst="rect">
                      <a:avLst/>
                    </a:prstGeom>
                  </pic:spPr>
                </pic:pic>
              </a:graphicData>
            </a:graphic>
            <wp14:sizeRelH relativeFrom="margin">
              <wp14:pctWidth>0</wp14:pctWidth>
            </wp14:sizeRelH>
            <wp14:sizeRelV relativeFrom="margin">
              <wp14:pctHeight>0</wp14:pctHeight>
            </wp14:sizeRelV>
          </wp:anchor>
        </w:drawing>
      </w:r>
    </w:p>
    <w:p>
      <w:pPr>
        <w:keepNext/>
        <w:keepLines/>
        <w:spacing w:beforeLines="10" w:before="30" w:afterLines="30" w:after="90"/>
        <w:jc w:val="center"/>
      </w:pPr>
      <w:r>
        <w:rPr>
          <w:rFonts w:ascii="Times New Roman" w:hAnsi="Times New Roman" w:eastAsia="黑体" w:cs="Times New Roman"/>
          <w:sz w:val="18"/>
          <w:szCs w:val="18"/>
        </w:rPr>
        <w:t xml:space="preserve">图 2  系统技术架构</w:t>
      </w:r>
    </w:p>
    <w:p>
      <w:pPr>
        <w:keepNext/>
        <w:keepLines/>
        <w:spacing w:beforeLines="50" w:before="150" w:afterLines="30" w:after="90"/>
        <w:outlineLvl w:val="0"/>
      </w:pPr>
      <w:r>
        <w:rPr>
          <w:rFonts w:ascii="Times New Roman" w:hAnsi="Times New Roman" w:eastAsia="黑体" w:cs="Times New Roman"/>
          <w:sz w:val="24"/>
          <w:szCs w:val="24"/>
        </w:rPr>
        <w:t xml:space="preserve">4  核心功能模块设计</w:t>
      </w:r>
    </w:p>
    <w:p>
      <w:pPr>
        <w:spacing w:line="300" w:lineRule="auto"/>
        <w:ind w:firstLineChars="200" w:firstLine="420"/>
      </w:pPr>
      <w:r>
        <w:rPr>
          <w:rFonts w:ascii="Times New Roman" w:hAnsi="Times New Roman" w:eastAsia="宋体" w:cs="Times New Roman"/>
          <w:sz w:val="21"/>
          <w:szCs w:val="21"/>
        </w:rPr>
        <w:t xml:space="preserve">系统从实际业务出发，设计了积分管理、人才画像、统计分析、申报审核与系统管理五大功能模块，共同构成申报、计算、画像、展示、权限的完整业务闭环。模块详细设计如图 3 所示。</w:t>
      </w:r>
    </w:p>
    <w:p>
      <w:pPr>
        <w:keepNext/>
        <w:keepLines/>
        <w:spacing w:beforeLines="30" w:before="90" w:afterLines="20" w:after="60"/>
        <w:outlineLvl w:val="1"/>
      </w:pPr>
      <w:r>
        <w:rPr>
          <w:rFonts w:ascii="Times New Roman" w:hAnsi="Times New Roman" w:eastAsia="黑体" w:cs="Times New Roman"/>
          <w:sz w:val="21"/>
          <w:szCs w:val="21"/>
        </w:rPr>
        <w:t xml:space="preserve">4.1  积分管理模块</w:t>
      </w:r>
    </w:p>
    <w:p>
      <w:pPr>
        <w:spacing w:line="300" w:lineRule="auto"/>
        <w:ind w:firstLineChars="200" w:firstLine="420"/>
      </w:pPr>
      <w:r>
        <w:rPr>
          <w:rFonts w:ascii="Times New Roman" w:hAnsi="Times New Roman" w:eastAsia="宋体" w:cs="Times New Roman"/>
          <w:sz w:val="21"/>
          <w:szCs w:val="21"/>
        </w:rPr>
        <w:t xml:space="preserve">该模块支持可视化配置 12 大类 46 项积分规则，这 46 项细则基于该中心既往多年申报数据的分类梳理得出。用户提交成果后，计算引擎自动校验规则有效性并执行分值核算，更新用户积分总额并生成积分流水记录[8-9]。</w:t>
      </w:r>
    </w:p>
    <w:p>
      <w:pPr>
        <w:keepNext/>
        <w:keepLines/>
        <w:spacing w:beforeLines="30" w:before="90" w:afterLines="20" w:after="60"/>
        <w:outlineLvl w:val="1"/>
      </w:pPr>
      <w:r>
        <w:rPr>
          <w:rFonts w:ascii="Times New Roman" w:hAnsi="Times New Roman" w:eastAsia="黑体" w:cs="Times New Roman"/>
          <w:sz w:val="21"/>
          <w:szCs w:val="21"/>
        </w:rPr>
        <w:t xml:space="preserve">4.2  人才画像模块</w:t>
      </w:r>
    </w:p>
    <w:p>
      <w:pPr>
        <w:spacing w:line="300" w:lineRule="auto"/>
        <w:ind w:firstLineChars="200" w:firstLine="420"/>
      </w:pPr>
      <w:r>
        <w:rPr>
          <w:rFonts w:ascii="Times New Roman" w:hAnsi="Times New Roman" w:eastAsia="宋体" w:cs="Times New Roman"/>
          <w:sz w:val="21"/>
          <w:szCs w:val="21"/>
        </w:rPr>
        <w:t xml:space="preserve">该模块构建了动态演进的标签体系，涵盖结构化标签（学历、职称、专业等）与非结构化能力标签（科研能力、项目管理、数据分析等），并自动关联积分流水与科研成果，构建多维特征空间，呈现人才能力结构与发展轨迹[9-10]。</w:t>
      </w:r>
    </w:p>
    <w:p>
      <w:pPr>
        <w:keepNext/>
        <w:keepLines/>
        <w:spacing w:beforeLines="30" w:before="90" w:afterLines="20" w:after="60"/>
        <w:outlineLvl w:val="1"/>
      </w:pPr>
      <w:r>
        <w:rPr>
          <w:rFonts w:ascii="Times New Roman" w:hAnsi="Times New Roman" w:eastAsia="黑体" w:cs="Times New Roman"/>
          <w:sz w:val="21"/>
          <w:szCs w:val="21"/>
        </w:rPr>
        <w:t xml:space="preserve">4.3  统计分析模块</w:t>
      </w:r>
    </w:p>
    <w:p>
      <w:pPr>
        <w:spacing w:line="300" w:lineRule="auto"/>
        <w:ind w:firstLineChars="200" w:firstLine="420"/>
      </w:pPr>
      <w:r>
        <w:rPr>
          <w:rFonts w:ascii="Times New Roman" w:hAnsi="Times New Roman" w:eastAsia="宋体" w:cs="Times New Roman"/>
          <w:sz w:val="21"/>
          <w:szCs w:val="21"/>
        </w:rPr>
        <w:t xml:space="preserve">该模块支持多维度交叉统计，其核心组件“人才晴雨表”仪表盘集成 Apache ECharts，展示全中心的科研产出、人才分布与能力结构，并支持数据下钻分析。</w:t>
      </w:r>
    </w:p>
    <w:p>
      <w:pPr>
        <w:keepNext/>
        <w:keepLines/>
        <w:spacing w:beforeLines="30" w:before="90" w:afterLines="20" w:after="60"/>
        <w:outlineLvl w:val="1"/>
      </w:pPr>
      <w:r>
        <w:rPr>
          <w:rFonts w:ascii="Times New Roman" w:hAnsi="Times New Roman" w:eastAsia="黑体" w:cs="Times New Roman"/>
          <w:sz w:val="21"/>
          <w:szCs w:val="21"/>
        </w:rPr>
        <w:t xml:space="preserve">4.4  申报审核模块</w:t>
      </w:r>
    </w:p>
    <w:p>
      <w:pPr>
        <w:spacing w:line="300" w:lineRule="auto"/>
        <w:ind w:firstLineChars="200" w:firstLine="420"/>
      </w:pPr>
      <w:r>
        <w:rPr>
          <w:rFonts w:ascii="Times New Roman" w:hAnsi="Times New Roman" w:eastAsia="宋体" w:cs="Times New Roman"/>
          <w:sz w:val="21"/>
          <w:szCs w:val="21"/>
        </w:rPr>
        <w:t xml:space="preserve">该模块内置轻量级工作流引擎，驱动四级审批流程，自动流转申报单并完整记录审核信息，在终审通过后自动触发积分计算，其实现细节见 5.5 节。</w:t>
      </w:r>
    </w:p>
    <w:p>
      <w:pPr>
        <w:keepNext/>
        <w:keepLines/>
        <w:spacing w:beforeLines="30" w:before="90" w:afterLines="20" w:after="60"/>
        <w:outlineLvl w:val="1"/>
      </w:pPr>
      <w:r>
        <w:rPr>
          <w:rFonts w:ascii="Times New Roman" w:hAnsi="Times New Roman" w:eastAsia="黑体" w:cs="Times New Roman"/>
          <w:sz w:val="21"/>
          <w:szCs w:val="21"/>
        </w:rPr>
        <w:t xml:space="preserve">4.5  系统管理模块</w:t>
      </w:r>
    </w:p>
    <w:p>
      <w:pPr>
        <w:spacing w:line="300" w:lineRule="auto"/>
        <w:ind w:firstLineChars="200" w:firstLine="420"/>
      </w:pPr>
      <w:r>
        <w:rPr>
          <w:rFonts w:ascii="Times New Roman" w:hAnsi="Times New Roman" w:eastAsia="宋体" w:cs="Times New Roman"/>
          <w:sz w:val="21"/>
          <w:szCs w:val="21"/>
        </w:rPr>
        <w:t xml:space="preserve">该模块采用 RBAC 模型构建用户—角色—权限三层架构，预设科研人员、审核员、科室主任、分管领导与系统管理员 5 类角色[11-13]。该模块同时承担基础数据维护、积分规则动态调整与操作日志审计等职能，所有敏感操作均记录可追溯的审计日志。</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605504" behindDoc="0" locked="0" layoutInCell="1" allowOverlap="1" wp14:anchorId="68644931" wp14:editId="24382D51">
            <wp:simplePos x="0" y="0"/>
            <wp:positionH relativeFrom="column">
              <wp:posOffset>0</wp:posOffset>
            </wp:positionH>
            <wp:positionV relativeFrom="paragraph">
              <wp:posOffset>95250</wp:posOffset>
            </wp:positionV>
            <wp:extent cx="5120640" cy="2360552"/>
            <wp:effectExtent l="0" t="0" r="635" b="6350"/>
            <wp:wrapNone/>
            <wp:docPr id="10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91618"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120640" cy="2360552"/>
                    </a:xfrm>
                    <a:prstGeom prst="rect">
                      <a:avLst/>
                    </a:prstGeom>
                  </pic:spPr>
                </pic:pic>
              </a:graphicData>
            </a:graphic>
            <wp14:sizeRelH relativeFrom="margin">
              <wp14:pctWidth>0</wp14:pctWidth>
            </wp14:sizeRelH>
            <wp14:sizeRelV relativeFrom="margin">
              <wp14:pctHeight>0</wp14:pctHeight>
            </wp14:sizeRelV>
          </wp:anchor>
        </w:drawing>
      </w:r>
    </w:p>
    <w:p>
      <w:pPr>
        <w:keepNext/>
        <w:keepLines/>
        <w:spacing w:beforeLines="10" w:before="30" w:afterLines="30" w:after="90"/>
        <w:jc w:val="center"/>
      </w:pPr>
      <w:r>
        <w:rPr>
          <w:rFonts w:ascii="Times New Roman" w:hAnsi="Times New Roman" w:eastAsia="黑体" w:cs="Times New Roman"/>
          <w:sz w:val="18"/>
          <w:szCs w:val="18"/>
        </w:rPr>
        <w:t xml:space="preserve">图 3  功能模块详细设计</w:t>
      </w:r>
    </w:p>
    <w:p>
      <w:pPr>
        <w:keepNext/>
        <w:keepLines/>
        <w:spacing w:beforeLines="50" w:before="150" w:afterLines="30" w:after="90"/>
        <w:outlineLvl w:val="0"/>
      </w:pPr>
      <w:r>
        <w:rPr>
          <w:rFonts w:ascii="Times New Roman" w:hAnsi="Times New Roman" w:eastAsia="黑体" w:cs="Times New Roman"/>
          <w:sz w:val="24"/>
          <w:szCs w:val="24"/>
        </w:rPr>
        <w:t xml:space="preserve">5  关键技术实现</w:t>
      </w:r>
    </w:p>
    <w:p>
      <w:pPr>
        <w:keepNext/>
        <w:keepLines/>
        <w:spacing w:beforeLines="30" w:before="90" w:afterLines="20" w:after="60"/>
        <w:outlineLvl w:val="1"/>
      </w:pPr>
      <w:r>
        <w:rPr>
          <w:rFonts w:ascii="Times New Roman" w:hAnsi="Times New Roman" w:eastAsia="黑体" w:cs="Times New Roman"/>
          <w:sz w:val="21"/>
          <w:szCs w:val="21"/>
        </w:rPr>
        <w:t xml:space="preserve">5.1  可配置积分规则引擎</w:t>
      </w:r>
    </w:p>
    <w:p>
      <w:pPr>
        <w:spacing w:line="300" w:lineRule="auto"/>
        <w:ind w:firstLineChars="200" w:firstLine="420"/>
      </w:pPr>
      <w:r>
        <w:rPr>
          <w:rFonts w:ascii="Times New Roman" w:hAnsi="Times New Roman" w:eastAsia="宋体" w:cs="Times New Roman"/>
          <w:sz w:val="21"/>
          <w:szCs w:val="21"/>
        </w:rPr>
        <w:t xml:space="preserve">传统实现中积分规则的调整需要修改代码并重新发布，维护成本较高。为此，系统将全部积分规则（分值、年度上限、有效期等）存入数据库配置表，管理员在后台修改配置即可实时生效，无需重新编译部署。系统设计了三张核心数据表支撑积分计算，其结构如表 1 所示。</w:t>
      </w:r>
    </w:p>
    <w:p>
      <w:pPr>
        <w:keepNext/>
        <w:keepLines/>
        <w:spacing w:beforeLines="15" w:before="45" w:afterLines="8" w:after="24"/>
        <w:jc w:val="center"/>
      </w:pPr>
      <w:r>
        <w:rPr>
          <w:rFonts w:ascii="Times New Roman" w:hAnsi="Times New Roman" w:eastAsia="黑体" w:cs="Times New Roman"/>
          <w:sz w:val="18"/>
          <w:szCs w:val="18"/>
        </w:rPr>
        <w:t xml:space="preserve">表 1  积分计算核心数据表结构</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1750"/>
        <w:gridCol w:w="1400"/>
        <w:gridCol w:w="5156"/>
      </w:tblGrid>
      <w:tr>
        <w:trPr>
          <w:cantSplit/>
          <w:tblHeader/>
        </w:trPr>
        <w:tc>
          <w:tcPr>
            <w:tcW w:w="175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数据表</w:t>
            </w:r>
          </w:p>
        </w:tc>
        <w:tc>
          <w:tcPr>
            <w:tcW w:w="14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功能定位</w:t>
            </w:r>
          </w:p>
        </w:tc>
        <w:tc>
          <w:tcPr>
            <w:tcW w:w="51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主要字段</w:t>
            </w:r>
          </w:p>
        </w:tc>
      </w:tr>
      <w:tr>
        <w:trPr>
          <w:cantSplit/>
        </w:trPr>
        <w:tc>
          <w:tcPr>
            <w:tcW w:w="175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points_category</w:t>
            </w:r>
          </w:p>
        </w:tc>
        <w:tc>
          <w:tcPr>
            <w:tcW w:w="14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积分类别表</w:t>
            </w:r>
          </w:p>
        </w:tc>
        <w:tc>
          <w:tcPr>
            <w:tcW w:w="515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类别 ID、类别名称、排序号、启用状态</w:t>
            </w:r>
          </w:p>
        </w:tc>
      </w:tr>
      <w:tr>
        <w:trPr>
          <w:cantSplit/>
        </w:trPr>
        <w:tc>
          <w:tcPr>
            <w:tcW w:w="175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points_item</w:t>
            </w:r>
          </w:p>
        </w:tc>
        <w:tc>
          <w:tcPr>
            <w:tcW w:w="14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积分项配置表</w:t>
            </w:r>
          </w:p>
        </w:tc>
        <w:tc>
          <w:tcPr>
            <w:tcW w:w="515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积分项 ID、所属类别 ID、分值标准、年度上限、有效期、适用职称范围</w:t>
            </w:r>
          </w:p>
        </w:tc>
      </w:tr>
      <w:tr>
        <w:trPr>
          <w:cantSplit/>
        </w:trPr>
        <w:tc>
          <w:tcPr>
            <w:tcW w:w="175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points_record</w:t>
            </w:r>
          </w:p>
        </w:tc>
        <w:tc>
          <w:tcPr>
            <w:tcW w:w="14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积分流水表</w:t>
            </w:r>
          </w:p>
        </w:tc>
        <w:tc>
          <w:tcPr>
            <w:tcW w:w="5156"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流水 ID、用户 ID、积分项 ID、分值、作者排序、成果完成时间、时间戳、审核人</w:t>
            </w:r>
          </w:p>
        </w:tc>
      </w:tr>
    </w:tbl>
    <w:p>
      <w:pPr>
        <w:spacing w:beforeLines="8" w:before="24" w:line="300" w:lineRule="auto"/>
        <w:ind w:firstLineChars="200" w:firstLine="420"/>
      </w:pPr>
      <w:r>
        <w:rPr>
          <w:rFonts w:ascii="Times New Roman" w:hAnsi="Times New Roman" w:eastAsia="宋体" w:cs="Times New Roman"/>
          <w:sz w:val="21"/>
          <w:szCs w:val="21"/>
        </w:rPr>
        <w:t xml:space="preserve">其中 points_category 存储论文、项目、专利、技术标准、健康科普等 12 个大类的科研成果类别信息；points_item 定义每个具体成果类型的计分标准；points_record 记录所有积分变动的明细信息。</w:t>
      </w:r>
    </w:p>
    <w:p>
      <w:pPr>
        <w:spacing w:line="300" w:lineRule="auto"/>
        <w:ind w:firstLineChars="200" w:firstLine="420"/>
      </w:pPr>
      <w:r>
        <w:rPr>
          <w:rFonts w:ascii="Times New Roman" w:hAnsi="Times New Roman" w:eastAsia="宋体" w:cs="Times New Roman"/>
          <w:sz w:val="21"/>
          <w:szCs w:val="21"/>
        </w:rPr>
        <w:t xml:space="preserve">为确保积分数据的一致性，系统采用 Spring 声明式事务管理，将积分计算与流水记录生成封装在同一事务中。事务流程为：① 验证用户身份与成果材料的完整性；② 查询积分项配置表获取对应分值标准；③ 校验该成果是否已申报过积分；④ 计算用户当年该类积分累计值，判断是否超过年度上限；⑤ 按作者排序分配积分；⑥ 更新用户总积分表；⑦ 生成积分流水记录；⑧ 提交事务，任一步骤出错则回滚全部操作。</w:t>
      </w:r>
    </w:p>
    <w:p>
      <w:pPr>
        <w:keepNext/>
        <w:keepLines/>
        <w:spacing w:beforeLines="30" w:before="90" w:afterLines="20" w:after="60"/>
        <w:outlineLvl w:val="1"/>
      </w:pPr>
      <w:r>
        <w:rPr>
          <w:rFonts w:ascii="Times New Roman" w:hAnsi="Times New Roman" w:eastAsia="黑体" w:cs="Times New Roman"/>
          <w:sz w:val="21"/>
          <w:szCs w:val="21"/>
        </w:rPr>
        <w:t xml:space="preserve">5.2  多作者积分权重分配模型</w:t>
      </w:r>
    </w:p>
    <w:p>
      <w:pPr>
        <w:spacing w:line="300" w:lineRule="auto"/>
        <w:ind w:firstLineChars="200" w:firstLine="420"/>
      </w:pPr>
      <w:r>
        <w:rPr>
          <w:rFonts w:ascii="Times New Roman" w:hAnsi="Times New Roman" w:eastAsia="宋体" w:cs="Times New Roman"/>
          <w:sz w:val="21"/>
          <w:szCs w:val="21"/>
        </w:rPr>
        <w:t xml:space="preserve">科研成果通常由多位作者合作完成，需要按贡献差异分配积分。结合该中心的科研管理实践，本文采用基于 Kronecker δ 函数的分段权重模型对作者序位与分配系数的映射关系进行统一建模，如式(1)、式(2)所示。</w:t>
      </w:r>
    </w:p>
    <w:p>
      <w:pPr>
        <w:keepNext/>
        <w:keepLines/>
        <w:tabs>
          <w:tab w:val="center" w:pos="4153"/>
          <w:tab w:val="right" w:pos="8306"/>
        </w:tabs>
        <w:spacing w:beforeLines="15" w:before="45" w:afterLines="15" w:after="45"/>
      </w:pPr>
      <w:r>
        <w:tab/>
      </w:r>
      <m:oMath>
        <m:sSub>
          <m:e>
            <m:r>
              <w:rPr>
                <w:rFonts w:ascii="Cambria Math" w:hAnsi="Cambria Math"/>
                <w:sz w:val="21"/>
                <w:szCs w:val="21"/>
              </w:rPr>
              <m:t>S</m:t>
            </m:r>
          </m:e>
          <m:sub>
            <m:r>
              <w:rPr>
                <w:rFonts w:ascii="Cambria Math" w:hAnsi="Cambria Math"/>
                <w:sz w:val="21"/>
                <w:szCs w:val="21"/>
              </w:rPr>
              <m:t>i</m:t>
            </m:r>
          </m:sub>
        </m:sSub>
        <m:r>
          <m:rPr>
            <m:sty m:val="p"/>
          </m:rPr>
          <w:rPr>
            <w:rFonts w:ascii="Cambria Math" w:hAnsi="Cambria Math"/>
            <w:sz w:val="21"/>
            <w:szCs w:val="21"/>
          </w:rPr>
          <m:t> = </m:t>
        </m:r>
        <m:sSub>
          <m:e>
            <m:r>
              <w:rPr>
                <w:rFonts w:ascii="Cambria Math" w:hAnsi="Cambria Math"/>
                <w:sz w:val="21"/>
                <w:szCs w:val="21"/>
              </w:rPr>
              <m:t>S</m:t>
            </m:r>
          </m:e>
          <m:sub>
            <m:r>
              <m:rPr>
                <m:sty m:val="p"/>
              </m:rPr>
              <w:rPr>
                <w:rFonts w:ascii="Cambria Math" w:hAnsi="Cambria Math"/>
                <w:sz w:val="21"/>
                <w:szCs w:val="21"/>
              </w:rPr>
              <m:t>total</m:t>
            </m:r>
          </m:sub>
        </m:sSub>
        <m:r>
          <m:rPr>
            <m:sty m:val="p"/>
          </m:rPr>
          <w:rPr>
            <w:rFonts w:ascii="Cambria Math" w:hAnsi="Cambria Math"/>
            <w:sz w:val="21"/>
            <w:szCs w:val="21"/>
          </w:rPr>
          <m:t> × </m:t>
        </m:r>
        <m:d>
          <m:dPr>
            <m:begChr m:val="("/>
            <m:endChr m:val=")"/>
            <m:ctrlPr/>
          </m:dPr>
          <m:e>
            <m:r>
              <m:rPr>
                <m:sty m:val="p"/>
              </m:rPr>
              <w:rPr>
                <w:rFonts w:ascii="Cambria Math" w:hAnsi="Cambria Math"/>
                <w:sz w:val="21"/>
                <w:szCs w:val="21"/>
              </w:rPr>
              <m:t>0.2 + 0.8</m:t>
            </m:r>
            <m:sSub>
              <m:e>
                <m:r>
                  <w:rPr>
                    <w:rFonts w:ascii="Cambria Math" w:hAnsi="Cambria Math"/>
                    <w:sz w:val="21"/>
                    <w:szCs w:val="21"/>
                  </w:rPr>
                  <m:t>δ</m:t>
                </m:r>
              </m:e>
              <m:sub>
                <m:r>
                  <w:rPr>
                    <w:rFonts w:ascii="Cambria Math" w:hAnsi="Cambria Math"/>
                    <w:sz w:val="21"/>
                    <w:szCs w:val="21"/>
                  </w:rPr>
                  <m:t>i,1</m:t>
                </m:r>
              </m:sub>
            </m:sSub>
            <m:r>
              <m:rPr>
                <m:sty m:val="p"/>
              </m:rPr>
              <w:rPr>
                <w:rFonts w:ascii="Cambria Math" w:hAnsi="Cambria Math"/>
                <w:sz w:val="21"/>
                <w:szCs w:val="21"/>
              </w:rPr>
              <m:t> + 0.6</m:t>
            </m:r>
            <m:sSub>
              <m:e>
                <m:r>
                  <w:rPr>
                    <w:rFonts w:ascii="Cambria Math" w:hAnsi="Cambria Math"/>
                    <w:sz w:val="21"/>
                    <w:szCs w:val="21"/>
                  </w:rPr>
                  <m:t>δ</m:t>
                </m:r>
              </m:e>
              <m:sub>
                <m:r>
                  <w:rPr>
                    <w:rFonts w:ascii="Cambria Math" w:hAnsi="Cambria Math"/>
                    <w:sz w:val="21"/>
                    <w:szCs w:val="21"/>
                  </w:rPr>
                  <m:t>i,2</m:t>
                </m:r>
              </m:sub>
            </m:sSub>
            <m:r>
              <m:rPr>
                <m:sty m:val="p"/>
              </m:rPr>
              <w:rPr>
                <w:rFonts w:ascii="Cambria Math" w:hAnsi="Cambria Math"/>
                <w:sz w:val="21"/>
                <w:szCs w:val="21"/>
              </w:rPr>
              <m:t> + 0.3</m:t>
            </m:r>
            <m:sSub>
              <m:e>
                <m:r>
                  <w:rPr>
                    <w:rFonts w:ascii="Cambria Math" w:hAnsi="Cambria Math"/>
                    <w:sz w:val="21"/>
                    <w:szCs w:val="21"/>
                  </w:rPr>
                  <m:t>δ</m:t>
                </m:r>
              </m:e>
              <m:sub>
                <m:r>
                  <w:rPr>
                    <w:rFonts w:ascii="Cambria Math" w:hAnsi="Cambria Math"/>
                    <w:sz w:val="21"/>
                    <w:szCs w:val="21"/>
                  </w:rPr>
                  <m:t>i,3</m:t>
                </m:r>
              </m:sub>
            </m:sSub>
          </m:e>
        </m:d>
        <m:r>
          <m:rPr>
            <m:sty m:val="p"/>
          </m:rPr>
          <w:rPr>
            <w:rFonts w:ascii="Cambria Math" w:hAnsi="Cambria Math"/>
            <w:sz w:val="21"/>
            <w:szCs w:val="21"/>
          </w:rPr>
          <m:t>,    </m:t>
        </m:r>
        <m:r>
          <w:rPr>
            <w:rFonts w:ascii="Cambria Math" w:hAnsi="Cambria Math"/>
            <w:sz w:val="21"/>
            <w:szCs w:val="21"/>
          </w:rPr>
          <m:t>i</m:t>
        </m:r>
        <m:r>
          <m:rPr>
            <m:sty m:val="p"/>
          </m:rPr>
          <w:rPr>
            <w:rFonts w:ascii="Cambria Math" w:hAnsi="Cambria Math"/>
            <w:sz w:val="21"/>
            <w:szCs w:val="21"/>
          </w:rPr>
          <m:t> = 1, 2, …, </m:t>
        </m:r>
        <m:r>
          <w:rPr>
            <w:rFonts w:ascii="Cambria Math" w:hAnsi="Cambria Math"/>
            <w:sz w:val="21"/>
            <w:szCs w:val="21"/>
          </w:rPr>
          <m:t>n</m:t>
        </m:r>
      </m:oMath>
      <w:r>
        <w:tab/>
      </w:r>
      <w:r>
        <w:rPr>
          <w:rFonts w:ascii="Times New Roman" w:hAnsi="Times New Roman" w:eastAsia="宋体" w:cs="Times New Roman"/>
          <w:sz w:val="21"/>
          <w:szCs w:val="21"/>
        </w:rPr>
        <w:t xml:space="preserve">(1)</w:t>
      </w:r>
    </w:p>
    <w:p>
      <w:pPr>
        <w:keepNext/>
        <w:keepLines/>
        <w:tabs>
          <w:tab w:val="center" w:pos="4153"/>
          <w:tab w:val="right" w:pos="8306"/>
        </w:tabs>
        <w:spacing w:beforeLines="15" w:before="45" w:afterLines="15" w:after="45"/>
      </w:pPr>
      <w:r>
        <w:tab/>
      </w:r>
      <m:oMath>
        <m:sSub>
          <m:e>
            <m:r>
              <w:rPr>
                <w:rFonts w:ascii="Cambria Math" w:hAnsi="Cambria Math"/>
                <w:sz w:val="21"/>
                <w:szCs w:val="21"/>
              </w:rPr>
              <m:t>δ</m:t>
            </m:r>
          </m:e>
          <m:sub>
            <m:r>
              <w:rPr>
                <w:rFonts w:ascii="Cambria Math" w:hAnsi="Cambria Math"/>
                <w:sz w:val="21"/>
                <w:szCs w:val="21"/>
              </w:rPr>
              <m:t>i,j</m:t>
            </m:r>
          </m:sub>
        </m:sSub>
        <m:r>
          <m:rPr>
            <m:sty m:val="p"/>
          </m:rPr>
          <w:rPr>
            <w:rFonts w:ascii="Cambria Math" w:hAnsi="Cambria Math"/>
            <w:sz w:val="21"/>
            <w:szCs w:val="21"/>
          </w:rPr>
          <m:t> = </m:t>
        </m:r>
        <m:d>
          <m:dPr>
            <m:begChr m:val="{"/>
            <m:endChr m:val=""/>
            <m:ctrlPr/>
          </m:dPr>
          <m:e>
            <m:m>
              <m:mPr>
                <m:mcs>
                  <m:mc>
                    <m:mcPr>
                      <m:count m:val="2"/>
                      <m:mcJc m:val="left"/>
                    </m:mcPr>
                  </m:mc>
                </m:mcs>
                <m:ctrlPr/>
              </m:mPr>
              <m:mr>
                <m:e>
                  <m:r>
                    <m:rPr>
                      <m:sty m:val="p"/>
                    </m:rPr>
                    <w:rPr>
                      <w:rFonts w:ascii="Cambria Math" w:hAnsi="Cambria Math"/>
                      <w:sz w:val="21"/>
                      <w:szCs w:val="21"/>
                    </w:rPr>
                    <m:t>1,</m:t>
                  </m:r>
                </m:e>
                <m:e>
                  <m:r>
                    <w:rPr>
                      <w:rFonts w:ascii="Cambria Math" w:hAnsi="Cambria Math"/>
                      <w:sz w:val="21"/>
                      <w:szCs w:val="21"/>
                    </w:rPr>
                    <m:t>i</m:t>
                  </m:r>
                  <m:r>
                    <m:rPr>
                      <m:sty m:val="p"/>
                    </m:rPr>
                    <w:rPr>
                      <w:rFonts w:ascii="Cambria Math" w:hAnsi="Cambria Math"/>
                      <w:sz w:val="21"/>
                      <w:szCs w:val="21"/>
                    </w:rPr>
                    <m:t> = </m:t>
                  </m:r>
                  <m:r>
                    <w:rPr>
                      <w:rFonts w:ascii="Cambria Math" w:hAnsi="Cambria Math"/>
                      <w:sz w:val="21"/>
                      <w:szCs w:val="21"/>
                    </w:rPr>
                    <m:t>j</m:t>
                  </m:r>
                </m:e>
              </m:mr>
              <m:mr>
                <m:e>
                  <m:r>
                    <m:rPr>
                      <m:sty m:val="p"/>
                    </m:rPr>
                    <w:rPr>
                      <w:rFonts w:ascii="Cambria Math" w:hAnsi="Cambria Math"/>
                      <w:sz w:val="21"/>
                      <w:szCs w:val="21"/>
                    </w:rPr>
                    <m:t>0,</m:t>
                  </m:r>
                </m:e>
                <m:e>
                  <m:r>
                    <w:rPr>
                      <w:rFonts w:ascii="Cambria Math" w:hAnsi="Cambria Math"/>
                      <w:sz w:val="21"/>
                      <w:szCs w:val="21"/>
                    </w:rPr>
                    <m:t>i</m:t>
                  </m:r>
                  <m:r>
                    <m:rPr>
                      <m:sty m:val="p"/>
                    </m:rPr>
                    <w:rPr>
                      <w:rFonts w:ascii="Cambria Math" w:hAnsi="Cambria Math"/>
                      <w:sz w:val="21"/>
                      <w:szCs w:val="21"/>
                    </w:rPr>
                    <m:t> ≠ </m:t>
                  </m:r>
                  <m:r>
                    <w:rPr>
                      <w:rFonts w:ascii="Cambria Math" w:hAnsi="Cambria Math"/>
                      <w:sz w:val="21"/>
                      <w:szCs w:val="21"/>
                    </w:rPr>
                    <m:t>j</m:t>
                  </m:r>
                </m:e>
              </m:mr>
            </m:m>
          </m:e>
        </m:d>
      </m:oMath>
      <w:r>
        <w:tab/>
      </w:r>
      <w:r>
        <w:rPr>
          <w:rFonts w:ascii="Times New Roman" w:hAnsi="Times New Roman" w:eastAsia="宋体" w:cs="Times New Roman"/>
          <w:sz w:val="21"/>
          <w:szCs w:val="21"/>
        </w:rPr>
        <w:t xml:space="preserve">(2)</w:t>
      </w:r>
    </w:p>
    <w:p>
      <w:pPr>
        <w:spacing w:line="300" w:lineRule="auto"/>
        <w:ind w:firstLineChars="200" w:firstLine="420"/>
      </w:pPr>
      <w:r>
        <w:rPr>
          <w:rFonts w:ascii="Times New Roman" w:hAnsi="Times New Roman" w:eastAsia="宋体" w:cs="Times New Roman"/>
          <w:sz w:val="21"/>
          <w:szCs w:val="21"/>
        </w:rPr>
        <w:t xml:space="preserve">式中：</w:t>
      </w:r>
      <w:r>
        <w:rPr>
          <w:rFonts w:ascii="Times New Roman" w:hAnsi="Times New Roman" w:eastAsia="宋体" w:cs="Times New Roman"/>
          <w:i/>
          <w:iCs/>
          <w:sz w:val="21"/>
          <w:szCs w:val="21"/>
        </w:rPr>
        <w:t xml:space="preserve">S</w:t>
      </w:r>
      <w:r>
        <w:rPr>
          <w:rFonts w:ascii="Times New Roman" w:hAnsi="Times New Roman" w:eastAsia="宋体" w:cs="Times New Roman"/>
          <w:sz w:val="21"/>
          <w:szCs w:val="21"/>
          <w:vertAlign w:val="subscript"/>
        </w:rPr>
        <w:t xml:space="preserve">i</w:t>
      </w:r>
      <w:r>
        <w:rPr>
          <w:rFonts w:ascii="Times New Roman" w:hAnsi="Times New Roman" w:eastAsia="宋体" w:cs="Times New Roman"/>
          <w:sz w:val="21"/>
          <w:szCs w:val="21"/>
        </w:rPr>
        <w:t xml:space="preserve"> 为第 </w:t>
      </w:r>
      <w:r>
        <w:rPr>
          <w:rFonts w:ascii="Times New Roman" w:hAnsi="Times New Roman" w:eastAsia="宋体" w:cs="Times New Roman"/>
          <w:i/>
          <w:iCs/>
          <w:sz w:val="21"/>
          <w:szCs w:val="21"/>
        </w:rPr>
        <w:t xml:space="preserve">i</w:t>
      </w:r>
      <w:r>
        <w:rPr>
          <w:rFonts w:ascii="Times New Roman" w:hAnsi="Times New Roman" w:eastAsia="宋体" w:cs="Times New Roman"/>
          <w:sz w:val="21"/>
          <w:szCs w:val="21"/>
        </w:rPr>
        <w:t xml:space="preserve"> 作者获得的积分；</w:t>
      </w:r>
      <w:r>
        <w:rPr>
          <w:rFonts w:ascii="Times New Roman" w:hAnsi="Times New Roman" w:eastAsia="宋体" w:cs="Times New Roman"/>
          <w:i/>
          <w:iCs/>
          <w:sz w:val="21"/>
          <w:szCs w:val="21"/>
        </w:rPr>
        <w:t xml:space="preserve">S</w:t>
      </w:r>
      <w:r>
        <w:rPr>
          <w:rFonts w:ascii="Times New Roman" w:hAnsi="Times New Roman" w:eastAsia="宋体" w:cs="Times New Roman"/>
          <w:sz w:val="21"/>
          <w:szCs w:val="21"/>
          <w:vertAlign w:val="subscript"/>
        </w:rPr>
        <w:t xml:space="preserve">total</w:t>
      </w:r>
      <w:r>
        <w:rPr>
          <w:rFonts w:ascii="Times New Roman" w:hAnsi="Times New Roman" w:eastAsia="宋体" w:cs="Times New Roman"/>
          <w:sz w:val="21"/>
          <w:szCs w:val="21"/>
        </w:rPr>
        <w:t xml:space="preserve"> 为该成果的标准积分；</w:t>
      </w:r>
      <w:r>
        <w:rPr>
          <w:rFonts w:ascii="Times New Roman" w:hAnsi="Times New Roman" w:eastAsia="宋体" w:cs="Times New Roman"/>
          <w:i/>
          <w:iCs/>
          <w:sz w:val="21"/>
          <w:szCs w:val="21"/>
        </w:rPr>
        <w:t xml:space="preserve">n</w:t>
      </w:r>
      <w:r>
        <w:rPr>
          <w:rFonts w:ascii="Times New Roman" w:hAnsi="Times New Roman" w:eastAsia="宋体" w:cs="Times New Roman"/>
          <w:sz w:val="21"/>
          <w:szCs w:val="21"/>
        </w:rPr>
        <w:t xml:space="preserve"> 为作者总数。展开后，第 1、2、3 作者的分配系数分别为 1.0、0.8、0.5，第 4 作者及以后统一按 0.2 计；通讯作者按第 1 作者计，共同第一作者按并列第 1 作者计。该模型既体现了第一作者的核心贡献，也兼顾了其他参与人员的劳动[9]。</w:t>
      </w:r>
    </w:p>
    <w:p>
      <w:pPr>
        <w:spacing w:line="300" w:lineRule="auto"/>
        <w:ind w:firstLineChars="200" w:firstLine="420"/>
      </w:pPr>
      <w:r>
        <w:rPr>
          <w:rFonts w:ascii="Times New Roman" w:hAnsi="Times New Roman" w:eastAsia="宋体" w:cs="Times New Roman"/>
          <w:sz w:val="21"/>
          <w:szCs w:val="21"/>
        </w:rPr>
        <w:t xml:space="preserve">需要说明的是，式(1)采用的是</w:t>
      </w:r>
      <w:r>
        <w:rPr>
          <w:rFonts w:ascii="Times New Roman" w:hAnsi="Times New Roman" w:eastAsia="宋体" w:cs="Times New Roman"/>
          <w:b/>
          <w:bCs/>
          <w:sz w:val="21"/>
          <w:szCs w:val="21"/>
        </w:rPr>
        <w:t xml:space="preserve">名义分值制</w:t>
      </w:r>
      <w:r>
        <w:rPr>
          <w:rFonts w:ascii="Times New Roman" w:hAnsi="Times New Roman" w:eastAsia="宋体" w:cs="Times New Roman"/>
          <w:sz w:val="21"/>
          <w:szCs w:val="21"/>
        </w:rPr>
        <w:t xml:space="preserve">而非总量守恒制，即各作者所得积分之和可能大于成果标准积分（4 位作者时为 2.5 倍）。这一设计源于疾控机构鼓励多科室协作攻关的管理导向，其潜在的“挂名”风险由两项制度性约束加以控制：一是 points_item 表中的年度上限对各类积分累计值封顶；二是第 4 作者及以后的积分不计入职称评审口径。本文所提模型与常见守恒型分配方法的对比如表 2 所示。</w:t>
      </w:r>
    </w:p>
    <w:p>
      <w:pPr>
        <w:keepNext/>
        <w:keepLines/>
        <w:spacing w:beforeLines="15" w:before="45" w:afterLines="8" w:after="24"/>
        <w:jc w:val="center"/>
      </w:pPr>
      <w:r>
        <w:rPr>
          <w:rFonts w:ascii="Times New Roman" w:hAnsi="Times New Roman" w:eastAsia="黑体" w:cs="Times New Roman"/>
          <w:sz w:val="18"/>
          <w:szCs w:val="18"/>
        </w:rPr>
        <w:t xml:space="preserve">表 2  多作者积分权重分配方法对比（以 4 位作者为例）</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2000"/>
        <w:gridCol w:w="1262"/>
        <w:gridCol w:w="1262"/>
        <w:gridCol w:w="1262"/>
        <w:gridCol w:w="1262"/>
        <w:gridCol w:w="1258"/>
      </w:tblGrid>
      <w:tr>
        <w:trPr>
          <w:cantSplit/>
          <w:tblHeader/>
        </w:trPr>
        <w:tc>
          <w:tcPr>
            <w:tcW w:w="20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分配方法</w:t>
            </w:r>
          </w:p>
        </w:tc>
        <w:tc>
          <w:tcPr>
            <w:tcW w:w="1262"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第 1 作者</w:t>
            </w:r>
          </w:p>
        </w:tc>
        <w:tc>
          <w:tcPr>
            <w:tcW w:w="1262"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第 2 作者</w:t>
            </w:r>
          </w:p>
        </w:tc>
        <w:tc>
          <w:tcPr>
            <w:tcW w:w="1262"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第 3 作者</w:t>
            </w:r>
          </w:p>
        </w:tc>
        <w:tc>
          <w:tcPr>
            <w:tcW w:w="1262"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第 4 作者</w:t>
            </w:r>
          </w:p>
        </w:tc>
        <w:tc>
          <w:tcPr>
            <w:tcW w:w="1258"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合计</w:t>
            </w:r>
          </w:p>
        </w:tc>
      </w:tr>
      <w:tr>
        <w:trPr>
          <w:cantSplit/>
        </w:trPr>
        <w:tc>
          <w:tcPr>
            <w:tcW w:w="20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均分法</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0.25</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0.25</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0.25</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0.25</w:t>
            </w:r>
          </w:p>
        </w:tc>
        <w:tc>
          <w:tcPr>
            <w:tcW w:w="1258"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1.00</w:t>
            </w:r>
          </w:p>
        </w:tc>
      </w:tr>
      <w:tr>
        <w:trPr>
          <w:cantSplit/>
        </w:trPr>
        <w:tc>
          <w:tcPr>
            <w:tcW w:w="20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调和计数法</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0.48</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0.24</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0.16</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0.12</w:t>
            </w:r>
          </w:p>
        </w:tc>
        <w:tc>
          <w:tcPr>
            <w:tcW w:w="1258"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1.00</w:t>
            </w:r>
          </w:p>
        </w:tc>
      </w:tr>
      <w:tr>
        <w:trPr>
          <w:cantSplit/>
        </w:trPr>
        <w:tc>
          <w:tcPr>
            <w:tcW w:w="20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算术递减法</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0.40</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0.30</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0.20</w:t>
            </w:r>
          </w:p>
        </w:tc>
        <w:tc>
          <w:tcPr>
            <w:tcW w:w="1262"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0.10</w:t>
            </w:r>
          </w:p>
        </w:tc>
        <w:tc>
          <w:tcPr>
            <w:tcW w:w="1258"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1.00</w:t>
            </w:r>
          </w:p>
        </w:tc>
      </w:tr>
      <w:tr>
        <w:trPr>
          <w:cantSplit/>
        </w:trPr>
        <w:tc>
          <w:tcPr>
            <w:tcW w:w="20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本文分段权重法</w:t>
            </w:r>
          </w:p>
        </w:tc>
        <w:tc>
          <w:tcPr>
            <w:tcW w:w="1262"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1.00</w:t>
            </w:r>
          </w:p>
        </w:tc>
        <w:tc>
          <w:tcPr>
            <w:tcW w:w="1262"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0.80</w:t>
            </w:r>
          </w:p>
        </w:tc>
        <w:tc>
          <w:tcPr>
            <w:tcW w:w="1262"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0.50</w:t>
            </w:r>
          </w:p>
        </w:tc>
        <w:tc>
          <w:tcPr>
            <w:tcW w:w="1262"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0.20</w:t>
            </w:r>
          </w:p>
        </w:tc>
        <w:tc>
          <w:tcPr>
            <w:tcW w:w="1258"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2.50</w:t>
            </w:r>
          </w:p>
        </w:tc>
      </w:tr>
    </w:tbl>
    <w:p>
      <w:pPr>
        <w:spacing w:beforeLines="8" w:before="24" w:line="300" w:lineRule="auto"/>
        <w:ind w:firstLineChars="200" w:firstLine="420"/>
      </w:pPr>
      <w:r>
        <w:rPr>
          <w:rFonts w:ascii="Times New Roman" w:hAnsi="Times New Roman" w:eastAsia="宋体" w:cs="Times New Roman"/>
          <w:sz w:val="21"/>
          <w:szCs w:val="21"/>
        </w:rPr>
        <w:t xml:space="preserve">对于需要控制积分总量的应用场景，系统另提供可配置的归一化模式，如式(3)所示，管理员可在后台切换两种分配口径。</w:t>
      </w:r>
    </w:p>
    <w:p>
      <w:pPr>
        <w:keepNext/>
        <w:keepLines/>
        <w:tabs>
          <w:tab w:val="center" w:pos="4153"/>
          <w:tab w:val="right" w:pos="8306"/>
        </w:tabs>
        <w:spacing w:beforeLines="15" w:before="45" w:afterLines="15" w:after="45"/>
      </w:pPr>
      <w:r>
        <w:tab/>
      </w:r>
      <m:oMath>
        <m:sSubSup>
          <m:e>
            <m:r>
              <w:rPr>
                <w:rFonts w:ascii="Cambria Math" w:hAnsi="Cambria Math"/>
                <w:sz w:val="21"/>
                <w:szCs w:val="21"/>
              </w:rPr>
              <m:t>S</m:t>
            </m:r>
          </m:e>
          <m:sub>
            <m:r>
              <w:rPr>
                <w:rFonts w:ascii="Cambria Math" w:hAnsi="Cambria Math"/>
                <w:sz w:val="21"/>
                <w:szCs w:val="21"/>
              </w:rPr>
              <m:t>i</m:t>
            </m:r>
          </m:sub>
          <m:sup>
            <m:r>
              <m:rPr>
                <m:sty m:val="p"/>
              </m:rPr>
              <w:rPr>
                <w:rFonts w:ascii="Cambria Math" w:hAnsi="Cambria Math"/>
                <w:sz w:val="21"/>
                <w:szCs w:val="21"/>
              </w:rPr>
              <m:t>norm</m:t>
            </m:r>
          </m:sup>
        </m:sSubSup>
        <m:r>
          <m:rPr>
            <m:sty m:val="p"/>
          </m:rPr>
          <w:rPr>
            <w:rFonts w:ascii="Cambria Math" w:hAnsi="Cambria Math"/>
            <w:sz w:val="21"/>
            <w:szCs w:val="21"/>
          </w:rPr>
          <m:t> = </m:t>
        </m:r>
        <m:sSub>
          <m:e>
            <m:r>
              <w:rPr>
                <w:rFonts w:ascii="Cambria Math" w:hAnsi="Cambria Math"/>
                <w:sz w:val="21"/>
                <w:szCs w:val="21"/>
              </w:rPr>
              <m:t>S</m:t>
            </m:r>
          </m:e>
          <m:sub>
            <m:r>
              <m:rPr>
                <m:sty m:val="p"/>
              </m:rPr>
              <w:rPr>
                <w:rFonts w:ascii="Cambria Math" w:hAnsi="Cambria Math"/>
                <w:sz w:val="21"/>
                <w:szCs w:val="21"/>
              </w:rPr>
              <m:t>total</m:t>
            </m:r>
          </m:sub>
        </m:sSub>
        <m:r>
          <m:rPr>
            <m:sty m:val="p"/>
          </m:rPr>
          <w:rPr>
            <w:rFonts w:ascii="Cambria Math" w:hAnsi="Cambria Math"/>
            <w:sz w:val="21"/>
            <w:szCs w:val="21"/>
          </w:rPr>
          <m:t> × </m:t>
        </m:r>
        <m:f>
          <m:fPr>
            <m:ctrlPr/>
          </m:fPr>
          <m:num>
            <m:sSub>
              <m:e>
                <m:r>
                  <w:rPr>
                    <w:rFonts w:ascii="Cambria Math" w:hAnsi="Cambria Math"/>
                    <w:sz w:val="21"/>
                    <w:szCs w:val="21"/>
                  </w:rPr>
                  <m:t>v</m:t>
                </m:r>
              </m:e>
              <m:sub>
                <m:r>
                  <w:rPr>
                    <w:rFonts w:ascii="Cambria Math" w:hAnsi="Cambria Math"/>
                    <w:sz w:val="21"/>
                    <w:szCs w:val="21"/>
                  </w:rPr>
                  <m:t>i</m:t>
                </m:r>
              </m:sub>
            </m:sSub>
          </m:num>
          <m:den>
            <m:nary>
              <m:naryPr>
                <m:chr m:val="∑"/>
                <m:limLoc m:val="subSup"/>
                <m:grow m:val="1"/>
                <m:subHide m:val="0"/>
                <m:supHide m:val="0"/>
                <m:ctrlPr/>
              </m:naryPr>
              <m:sub>
                <m:r>
                  <w:rPr>
                    <w:rFonts w:ascii="Cambria Math" w:hAnsi="Cambria Math"/>
                    <w:sz w:val="21"/>
                    <w:szCs w:val="21"/>
                  </w:rPr>
                  <m:t>j</m:t>
                </m:r>
                <m:r>
                  <m:rPr>
                    <m:sty m:val="p"/>
                  </m:rPr>
                  <w:rPr>
                    <w:rFonts w:ascii="Cambria Math" w:hAnsi="Cambria Math"/>
                    <w:sz w:val="21"/>
                    <w:szCs w:val="21"/>
                  </w:rPr>
                  <m:t> = 1</m:t>
                </m:r>
              </m:sub>
              <m:sup>
                <m:r>
                  <w:rPr>
                    <w:rFonts w:ascii="Cambria Math" w:hAnsi="Cambria Math"/>
                    <w:sz w:val="21"/>
                    <w:szCs w:val="21"/>
                  </w:rPr>
                  <m:t>n</m:t>
                </m:r>
              </m:sup>
              <m:e>
                <m:sSub>
                  <m:e>
                    <m:r>
                      <w:rPr>
                        <w:rFonts w:ascii="Cambria Math" w:hAnsi="Cambria Math"/>
                        <w:sz w:val="21"/>
                        <w:szCs w:val="21"/>
                      </w:rPr>
                      <m:t>v</m:t>
                    </m:r>
                  </m:e>
                  <m:sub>
                    <m:r>
                      <w:rPr>
                        <w:rFonts w:ascii="Cambria Math" w:hAnsi="Cambria Math"/>
                        <w:sz w:val="21"/>
                        <w:szCs w:val="21"/>
                      </w:rPr>
                      <m:t>j</m:t>
                    </m:r>
                  </m:sub>
                </m:sSub>
              </m:e>
            </m:nary>
          </m:den>
        </m:f>
      </m:oMath>
      <w:r>
        <w:tab/>
      </w:r>
      <w:r>
        <w:rPr>
          <w:rFonts w:ascii="Times New Roman" w:hAnsi="Times New Roman" w:eastAsia="宋体" w:cs="Times New Roman"/>
          <w:sz w:val="21"/>
          <w:szCs w:val="21"/>
        </w:rPr>
        <w:t xml:space="preserve">(3)</w:t>
      </w:r>
    </w:p>
    <w:p>
      <w:pPr>
        <w:spacing w:line="300" w:lineRule="auto"/>
        <w:ind w:firstLineChars="200" w:firstLine="420"/>
      </w:pPr>
      <w:r>
        <w:rPr>
          <w:rFonts w:ascii="Times New Roman" w:hAnsi="Times New Roman" w:eastAsia="宋体" w:cs="Times New Roman"/>
          <w:sz w:val="21"/>
          <w:szCs w:val="21"/>
        </w:rPr>
        <w:t xml:space="preserve">式中：</w:t>
      </w:r>
      <w:r>
        <w:rPr>
          <w:rFonts w:ascii="Times New Roman" w:hAnsi="Times New Roman" w:eastAsia="宋体" w:cs="Times New Roman"/>
          <w:i/>
          <w:iCs/>
          <w:sz w:val="21"/>
          <w:szCs w:val="21"/>
        </w:rPr>
        <w:t xml:space="preserve">v</w:t>
      </w:r>
      <w:r>
        <w:rPr>
          <w:rFonts w:ascii="Times New Roman" w:hAnsi="Times New Roman" w:eastAsia="宋体" w:cs="Times New Roman"/>
          <w:sz w:val="21"/>
          <w:szCs w:val="21"/>
          <w:vertAlign w:val="subscript"/>
        </w:rPr>
        <w:t xml:space="preserve">i</w:t>
      </w:r>
      <w:r>
        <w:rPr>
          <w:rFonts w:ascii="Times New Roman" w:hAnsi="Times New Roman" w:eastAsia="宋体" w:cs="Times New Roman"/>
          <w:sz w:val="21"/>
          <w:szCs w:val="21"/>
        </w:rPr>
        <w:t xml:space="preserve"> 为第 </w:t>
      </w:r>
      <w:r>
        <w:rPr>
          <w:rFonts w:ascii="Times New Roman" w:hAnsi="Times New Roman" w:eastAsia="宋体" w:cs="Times New Roman"/>
          <w:i/>
          <w:iCs/>
          <w:sz w:val="21"/>
          <w:szCs w:val="21"/>
        </w:rPr>
        <w:t xml:space="preserve">i</w:t>
      </w:r>
      <w:r>
        <w:rPr>
          <w:rFonts w:ascii="Times New Roman" w:hAnsi="Times New Roman" w:eastAsia="宋体" w:cs="Times New Roman"/>
          <w:sz w:val="21"/>
          <w:szCs w:val="21"/>
        </w:rPr>
        <w:t xml:space="preserve"> 作者按式(1)得到的原始分配系数。</w:t>
      </w:r>
    </w:p>
    <w:p>
      <w:pPr>
        <w:keepNext/>
        <w:keepLines/>
        <w:spacing w:beforeLines="30" w:before="90" w:afterLines="20" w:after="60"/>
        <w:outlineLvl w:val="1"/>
      </w:pPr>
      <w:r>
        <w:rPr>
          <w:rFonts w:ascii="Times New Roman" w:hAnsi="Times New Roman" w:eastAsia="黑体" w:cs="Times New Roman"/>
          <w:sz w:val="21"/>
          <w:szCs w:val="21"/>
        </w:rPr>
        <w:t xml:space="preserve">5.3  动态标签权重模型</w:t>
      </w:r>
    </w:p>
    <w:p>
      <w:pPr>
        <w:spacing w:line="300" w:lineRule="auto"/>
        <w:ind w:firstLineChars="200" w:firstLine="420"/>
      </w:pPr>
      <w:r>
        <w:rPr>
          <w:rFonts w:ascii="Times New Roman" w:hAnsi="Times New Roman" w:eastAsia="宋体" w:cs="Times New Roman"/>
          <w:sz w:val="21"/>
          <w:szCs w:val="21"/>
        </w:rPr>
        <w:t xml:space="preserve">系统构建了三维标签体系：基础属性标签（学历、职称、专业等）、能力维度标签（科研能力、项目管理、数据分析等）与专业方向标签（流行病学调查、理化检验、微生物检验、免疫规划等）。每个标签包含标签 ID、名称、分类、初始权重与更新规则等属性。</w:t>
      </w:r>
    </w:p>
    <w:p>
      <w:pPr>
        <w:spacing w:line="300" w:lineRule="auto"/>
        <w:ind w:firstLineChars="200" w:firstLine="420"/>
      </w:pPr>
      <w:r>
        <w:rPr>
          <w:rFonts w:ascii="Times New Roman" w:hAnsi="Times New Roman" w:eastAsia="宋体" w:cs="Times New Roman"/>
          <w:sz w:val="21"/>
          <w:szCs w:val="21"/>
        </w:rPr>
        <w:t xml:space="preserve">考虑到科研贡献具有明显的时效性，本文将指数时间衰减因子前置嵌入行为积分的归一化环节，如式(4)所示；标签权重则在此基础上按一阶指数加权移动平均更新，如式(5)所示。</w:t>
      </w:r>
    </w:p>
    <w:p>
      <w:pPr>
        <w:keepNext/>
        <w:keepLines/>
        <w:tabs>
          <w:tab w:val="center" w:pos="4153"/>
          <w:tab w:val="right" w:pos="8306"/>
        </w:tabs>
        <w:spacing w:beforeLines="15" w:before="45" w:afterLines="15" w:after="45"/>
      </w:pPr>
      <w:r>
        <w:tab/>
      </w:r>
      <m:oMath>
        <m:sSub>
          <m:e>
            <m:acc>
              <m:accPr>
                <m:chr m:val="̃"/>
                <m:ctrlPr/>
              </m:accPr>
              <m:e>
                <m:r>
                  <w:rPr>
                    <w:rFonts w:ascii="Cambria Math" w:hAnsi="Cambria Math"/>
                    <w:sz w:val="21"/>
                    <w:szCs w:val="21"/>
                  </w:rPr>
                  <m:t>s</m:t>
                </m:r>
              </m:e>
            </m:acc>
          </m:e>
          <m:sub>
            <m:r>
              <w:rPr>
                <w:rFonts w:ascii="Cambria Math" w:hAnsi="Cambria Math"/>
                <w:sz w:val="21"/>
                <w:szCs w:val="21"/>
              </w:rPr>
              <m:t>i,u</m:t>
            </m:r>
          </m:sub>
        </m:sSub>
        <m:r>
          <m:rPr>
            <m:sty m:val="p"/>
          </m:rPr>
          <w:rPr>
            <w:rFonts w:ascii="Cambria Math" w:hAnsi="Cambria Math"/>
            <w:sz w:val="21"/>
            <w:szCs w:val="21"/>
          </w:rPr>
          <m:t> = </m:t>
        </m:r>
        <m:f>
          <m:fPr>
            <m:ctrlPr/>
          </m:fPr>
          <m:num>
            <m:sSub>
              <m:e>
                <m:r>
                  <w:rPr>
                    <w:rFonts w:ascii="Cambria Math" w:hAnsi="Cambria Math"/>
                    <w:sz w:val="21"/>
                    <w:szCs w:val="21"/>
                  </w:rPr>
                  <m:t>s</m:t>
                </m:r>
              </m:e>
              <m:sub>
                <m:r>
                  <w:rPr>
                    <w:rFonts w:ascii="Cambria Math" w:hAnsi="Cambria Math"/>
                    <w:sz w:val="21"/>
                    <w:szCs w:val="21"/>
                  </w:rPr>
                  <m:t>i,u</m:t>
                </m:r>
              </m:sub>
            </m:sSub>
            <m:r>
              <m:rPr>
                <m:sty m:val="p"/>
              </m:rPr>
              <w:rPr>
                <w:rFonts w:ascii="Cambria Math" w:hAnsi="Cambria Math"/>
                <w:sz w:val="21"/>
                <w:szCs w:val="21"/>
              </w:rPr>
              <m:t> · </m:t>
            </m:r>
            <m:sSup>
              <m:e>
                <m:r>
                  <m:rPr>
                    <m:sty m:val="p"/>
                  </m:rPr>
                  <w:rPr>
                    <w:rFonts w:ascii="Cambria Math" w:hAnsi="Cambria Math"/>
                    <w:sz w:val="21"/>
                    <w:szCs w:val="21"/>
                  </w:rPr>
                  <m:t>e</m:t>
                </m:r>
              </m:e>
              <m:sup>
                <m:r>
                  <m:rPr>
                    <m:sty m:val="p"/>
                  </m:rPr>
                  <w:rPr>
                    <w:rFonts w:ascii="Cambria Math" w:hAnsi="Cambria Math"/>
                    <w:sz w:val="21"/>
                    <w:szCs w:val="21"/>
                  </w:rPr>
                  <m:t>−</m:t>
                </m:r>
                <m:r>
                  <w:rPr>
                    <w:rFonts w:ascii="Cambria Math" w:hAnsi="Cambria Math"/>
                    <w:sz w:val="21"/>
                    <w:szCs w:val="21"/>
                  </w:rPr>
                  <m:t>λ</m:t>
                </m:r>
                <m:d>
                  <m:dPr>
                    <m:begChr m:val="("/>
                    <m:endChr m:val=")"/>
                    <m:ctrlPr/>
                  </m:dPr>
                  <m:e>
                    <m:sSub>
                      <m:e>
                        <m:r>
                          <w:rPr>
                            <w:rFonts w:ascii="Cambria Math" w:hAnsi="Cambria Math"/>
                            <w:sz w:val="21"/>
                            <w:szCs w:val="21"/>
                          </w:rPr>
                          <m:t>t</m:t>
                        </m:r>
                      </m:e>
                      <m:sub>
                        <m:r>
                          <m:rPr>
                            <m:sty m:val="p"/>
                          </m:rPr>
                          <w:rPr>
                            <w:rFonts w:ascii="Cambria Math" w:hAnsi="Cambria Math"/>
                            <w:sz w:val="21"/>
                            <w:szCs w:val="21"/>
                          </w:rPr>
                          <m:t>now</m:t>
                        </m:r>
                      </m:sub>
                    </m:sSub>
                    <m:r>
                      <m:rPr>
                        <m:sty m:val="p"/>
                      </m:rPr>
                      <w:rPr>
                        <w:rFonts w:ascii="Cambria Math" w:hAnsi="Cambria Math"/>
                        <w:sz w:val="21"/>
                        <w:szCs w:val="21"/>
                      </w:rPr>
                      <m:t> − </m:t>
                    </m:r>
                    <m:sSub>
                      <m:e>
                        <m:r>
                          <w:rPr>
                            <w:rFonts w:ascii="Cambria Math" w:hAnsi="Cambria Math"/>
                            <w:sz w:val="21"/>
                            <w:szCs w:val="21"/>
                          </w:rPr>
                          <m:t>t</m:t>
                        </m:r>
                      </m:e>
                      <m:sub>
                        <m:r>
                          <w:rPr>
                            <w:rFonts w:ascii="Cambria Math" w:hAnsi="Cambria Math"/>
                            <w:sz w:val="21"/>
                            <w:szCs w:val="21"/>
                          </w:rPr>
                          <m:t>i</m:t>
                        </m:r>
                      </m:sub>
                    </m:sSub>
                  </m:e>
                </m:d>
              </m:sup>
            </m:sSup>
          </m:num>
          <m:den>
            <m:sSub>
              <m:e>
                <m:r>
                  <w:rPr>
                    <w:rFonts w:ascii="Cambria Math" w:hAnsi="Cambria Math"/>
                    <w:sz w:val="21"/>
                    <w:szCs w:val="21"/>
                  </w:rPr>
                  <m:t>S</m:t>
                </m:r>
              </m:e>
              <m:sub>
                <m:r>
                  <m:rPr>
                    <m:sty m:val="p"/>
                  </m:rPr>
                  <w:rPr>
                    <w:rFonts w:ascii="Cambria Math" w:hAnsi="Cambria Math"/>
                    <w:sz w:val="21"/>
                    <w:szCs w:val="21"/>
                  </w:rPr>
                  <m:t>max,</m:t>
                </m:r>
                <m:r>
                  <w:rPr>
                    <w:rFonts w:ascii="Cambria Math" w:hAnsi="Cambria Math"/>
                    <w:sz w:val="21"/>
                    <w:szCs w:val="21"/>
                  </w:rPr>
                  <m:t>t</m:t>
                </m:r>
              </m:sub>
            </m:sSub>
          </m:den>
        </m:f>
      </m:oMath>
      <w:r>
        <w:tab/>
      </w:r>
      <w:r>
        <w:rPr>
          <w:rFonts w:ascii="Times New Roman" w:hAnsi="Times New Roman" w:eastAsia="宋体" w:cs="Times New Roman"/>
          <w:sz w:val="21"/>
          <w:szCs w:val="21"/>
        </w:rPr>
        <w:t xml:space="preserve">(4)</w:t>
      </w:r>
    </w:p>
    <w:p>
      <w:pPr>
        <w:keepNext/>
        <w:keepLines/>
        <w:tabs>
          <w:tab w:val="center" w:pos="4153"/>
          <w:tab w:val="right" w:pos="8306"/>
        </w:tabs>
        <w:spacing w:beforeLines="15" w:before="45" w:afterLines="15" w:after="45"/>
      </w:pPr>
      <w:r>
        <w:tab/>
      </w:r>
      <m:oMath>
        <m:sSubSup>
          <m:e>
            <m:r>
              <w:rPr>
                <w:rFonts w:ascii="Cambria Math" w:hAnsi="Cambria Math"/>
                <w:sz w:val="21"/>
                <w:szCs w:val="21"/>
              </w:rPr>
              <m:t>W</m:t>
            </m:r>
          </m:e>
          <m:sub>
            <m:r>
              <w:rPr>
                <w:rFonts w:ascii="Cambria Math" w:hAnsi="Cambria Math"/>
                <w:sz w:val="21"/>
                <w:szCs w:val="21"/>
              </w:rPr>
              <m:t>t,u</m:t>
            </m:r>
          </m:sub>
          <m:sup>
            <m:d>
              <m:dPr>
                <m:begChr m:val="("/>
                <m:endChr m:val=")"/>
                <m:ctrlPr/>
              </m:dPr>
              <m:e>
                <m:r>
                  <w:rPr>
                    <w:rFonts w:ascii="Cambria Math" w:hAnsi="Cambria Math"/>
                    <w:sz w:val="21"/>
                    <w:szCs w:val="21"/>
                  </w:rPr>
                  <m:t>k</m:t>
                </m:r>
              </m:e>
            </m:d>
          </m:sup>
        </m:sSubSup>
        <m:r>
          <m:rPr>
            <m:sty m:val="p"/>
          </m:rPr>
          <w:rPr>
            <w:rFonts w:ascii="Cambria Math" w:hAnsi="Cambria Math"/>
            <w:sz w:val="21"/>
            <w:szCs w:val="21"/>
          </w:rPr>
          <m:t> = </m:t>
        </m:r>
        <m:r>
          <w:rPr>
            <w:rFonts w:ascii="Cambria Math" w:hAnsi="Cambria Math"/>
            <w:sz w:val="21"/>
            <w:szCs w:val="21"/>
          </w:rPr>
          <m:t>α</m:t>
        </m:r>
        <m:r>
          <m:rPr>
            <m:sty m:val="p"/>
          </m:rPr>
          <w:rPr>
            <w:rFonts w:ascii="Cambria Math" w:hAnsi="Cambria Math"/>
            <w:sz w:val="21"/>
            <w:szCs w:val="21"/>
          </w:rPr>
          <m:t> · </m:t>
        </m:r>
        <m:nary>
          <m:naryPr>
            <m:chr m:val="∑"/>
            <m:limLoc m:val="subSup"/>
            <m:grow m:val="1"/>
            <m:subHide m:val="0"/>
            <m:supHide m:val="0"/>
            <m:ctrlPr/>
          </m:naryPr>
          <m:sub>
            <m:r>
              <w:rPr>
                <w:rFonts w:ascii="Cambria Math" w:hAnsi="Cambria Math"/>
                <w:sz w:val="21"/>
                <w:szCs w:val="21"/>
              </w:rPr>
              <m:t>i</m:t>
            </m:r>
            <m:r>
              <m:rPr>
                <m:sty m:val="p"/>
              </m:rPr>
              <w:rPr>
                <w:rFonts w:ascii="Cambria Math" w:hAnsi="Cambria Math"/>
                <w:sz w:val="21"/>
                <w:szCs w:val="21"/>
              </w:rPr>
              <m:t> = 1</m:t>
            </m:r>
          </m:sub>
          <m:sup>
            <m:r>
              <w:rPr>
                <w:rFonts w:ascii="Cambria Math" w:hAnsi="Cambria Math"/>
                <w:sz w:val="21"/>
                <w:szCs w:val="21"/>
              </w:rPr>
              <m:t>m</m:t>
            </m:r>
          </m:sup>
          <m:e>
            <m:d>
              <m:dPr>
                <m:begChr m:val="("/>
                <m:endChr m:val=")"/>
                <m:ctrlPr/>
              </m:dPr>
              <m:e>
                <m:sSub>
                  <m:e>
                    <m:acc>
                      <m:accPr>
                        <m:chr m:val="̃"/>
                        <m:ctrlPr/>
                      </m:accPr>
                      <m:e>
                        <m:r>
                          <w:rPr>
                            <w:rFonts w:ascii="Cambria Math" w:hAnsi="Cambria Math"/>
                            <w:sz w:val="21"/>
                            <w:szCs w:val="21"/>
                          </w:rPr>
                          <m:t>s</m:t>
                        </m:r>
                      </m:e>
                    </m:acc>
                  </m:e>
                  <m:sub>
                    <m:r>
                      <w:rPr>
                        <w:rFonts w:ascii="Cambria Math" w:hAnsi="Cambria Math"/>
                        <w:sz w:val="21"/>
                        <w:szCs w:val="21"/>
                      </w:rPr>
                      <m:t>i,u</m:t>
                    </m:r>
                  </m:sub>
                </m:sSub>
                <m:r>
                  <m:rPr>
                    <m:sty m:val="p"/>
                  </m:rPr>
                  <w:rPr>
                    <w:rFonts w:ascii="Cambria Math" w:hAnsi="Cambria Math"/>
                    <w:sz w:val="21"/>
                    <w:szCs w:val="21"/>
                  </w:rPr>
                  <m:t> · </m:t>
                </m:r>
                <m:sSub>
                  <m:e>
                    <m:r>
                      <w:rPr>
                        <w:rFonts w:ascii="Cambria Math" w:hAnsi="Cambria Math"/>
                        <w:sz w:val="21"/>
                        <w:szCs w:val="21"/>
                      </w:rPr>
                      <m:t>w</m:t>
                    </m:r>
                  </m:e>
                  <m:sub>
                    <m:r>
                      <w:rPr>
                        <w:rFonts w:ascii="Cambria Math" w:hAnsi="Cambria Math"/>
                        <w:sz w:val="21"/>
                        <w:szCs w:val="21"/>
                      </w:rPr>
                      <m:t>i</m:t>
                    </m:r>
                  </m:sub>
                </m:sSub>
              </m:e>
            </m:d>
          </m:e>
        </m:nary>
        <m:r>
          <m:rPr>
            <m:sty m:val="p"/>
          </m:rPr>
          <w:rPr>
            <w:rFonts w:ascii="Cambria Math" w:hAnsi="Cambria Math"/>
            <w:sz w:val="21"/>
            <w:szCs w:val="21"/>
          </w:rPr>
          <m:t> + </m:t>
        </m:r>
        <m:d>
          <m:dPr>
            <m:begChr m:val="("/>
            <m:endChr m:val=")"/>
            <m:ctrlPr/>
          </m:dPr>
          <m:e>
            <m:r>
              <m:rPr>
                <m:sty m:val="p"/>
              </m:rPr>
              <w:rPr>
                <w:rFonts w:ascii="Cambria Math" w:hAnsi="Cambria Math"/>
                <w:sz w:val="21"/>
                <w:szCs w:val="21"/>
              </w:rPr>
              <m:t>1 − </m:t>
            </m:r>
            <m:r>
              <w:rPr>
                <w:rFonts w:ascii="Cambria Math" w:hAnsi="Cambria Math"/>
                <w:sz w:val="21"/>
                <w:szCs w:val="21"/>
              </w:rPr>
              <m:t>α</m:t>
            </m:r>
          </m:e>
        </m:d>
        <m:r>
          <m:rPr>
            <m:sty m:val="p"/>
          </m:rPr>
          <w:rPr>
            <w:rFonts w:ascii="Cambria Math" w:hAnsi="Cambria Math"/>
            <w:sz w:val="21"/>
            <w:szCs w:val="21"/>
          </w:rPr>
          <m:t> · </m:t>
        </m:r>
        <m:sSubSup>
          <m:e>
            <m:r>
              <w:rPr>
                <w:rFonts w:ascii="Cambria Math" w:hAnsi="Cambria Math"/>
                <w:sz w:val="21"/>
                <w:szCs w:val="21"/>
              </w:rPr>
              <m:t>W</m:t>
            </m:r>
          </m:e>
          <m:sub>
            <m:r>
              <w:rPr>
                <w:rFonts w:ascii="Cambria Math" w:hAnsi="Cambria Math"/>
                <w:sz w:val="21"/>
                <w:szCs w:val="21"/>
              </w:rPr>
              <m:t>t,u</m:t>
            </m:r>
          </m:sub>
          <m:sup>
            <m:d>
              <m:dPr>
                <m:begChr m:val="("/>
                <m:endChr m:val=")"/>
                <m:ctrlPr/>
              </m:dPr>
              <m:e>
                <m:r>
                  <w:rPr>
                    <w:rFonts w:ascii="Cambria Math" w:hAnsi="Cambria Math"/>
                    <w:sz w:val="21"/>
                    <w:szCs w:val="21"/>
                  </w:rPr>
                  <m:t>k</m:t>
                </m:r>
                <m:r>
                  <m:rPr>
                    <m:sty m:val="p"/>
                  </m:rPr>
                  <w:rPr>
                    <w:rFonts w:ascii="Cambria Math" w:hAnsi="Cambria Math"/>
                    <w:sz w:val="21"/>
                    <w:szCs w:val="21"/>
                  </w:rPr>
                  <m:t> − 1</m:t>
                </m:r>
              </m:e>
            </m:d>
          </m:sup>
        </m:sSubSup>
      </m:oMath>
      <w:r>
        <w:tab/>
      </w:r>
      <w:r>
        <w:rPr>
          <w:rFonts w:ascii="Times New Roman" w:hAnsi="Times New Roman" w:eastAsia="宋体" w:cs="Times New Roman"/>
          <w:sz w:val="21"/>
          <w:szCs w:val="21"/>
        </w:rPr>
        <w:t xml:space="preserve">(5)</w:t>
      </w:r>
    </w:p>
    <w:p>
      <w:pPr>
        <w:spacing w:line="300" w:lineRule="auto"/>
        <w:ind w:firstLineChars="200" w:firstLine="420"/>
      </w:pPr>
      <w:r>
        <w:rPr>
          <w:rFonts w:ascii="Times New Roman" w:hAnsi="Times New Roman" w:eastAsia="宋体" w:cs="Times New Roman"/>
          <w:sz w:val="21"/>
          <w:szCs w:val="21"/>
        </w:rPr>
        <w:t xml:space="preserve">式中：</w:t>
      </w:r>
      <w:r>
        <w:rPr>
          <w:rFonts w:ascii="Times New Roman" w:hAnsi="Times New Roman" w:eastAsia="宋体" w:cs="Times New Roman"/>
          <w:i/>
          <w:iCs/>
          <w:sz w:val="21"/>
          <w:szCs w:val="21"/>
        </w:rPr>
        <w:t xml:space="preserve">W</w:t>
      </w:r>
      <w:r>
        <w:rPr>
          <w:rFonts w:ascii="Times New Roman" w:hAnsi="Times New Roman" w:eastAsia="宋体" w:cs="Times New Roman"/>
          <w:sz w:val="21"/>
          <w:szCs w:val="21"/>
          <w:vertAlign w:val="superscript"/>
        </w:rPr>
        <w:t xml:space="preserve">(k)</w:t>
      </w:r>
      <w:r>
        <w:rPr>
          <w:rFonts w:ascii="Times New Roman" w:hAnsi="Times New Roman" w:eastAsia="宋体" w:cs="Times New Roman"/>
          <w:sz w:val="21"/>
          <w:szCs w:val="21"/>
          <w:vertAlign w:val="subscript"/>
        </w:rPr>
        <w:t xml:space="preserve">t,u</w:t>
      </w:r>
      <w:r>
        <w:rPr>
          <w:rFonts w:ascii="Times New Roman" w:hAnsi="Times New Roman" w:eastAsia="宋体" w:cs="Times New Roman"/>
          <w:sz w:val="21"/>
          <w:szCs w:val="21"/>
        </w:rPr>
        <w:t xml:space="preserve"> 为用户 </w:t>
      </w:r>
      <w:r>
        <w:rPr>
          <w:rFonts w:ascii="Times New Roman" w:hAnsi="Times New Roman" w:eastAsia="宋体" w:cs="Times New Roman"/>
          <w:i/>
          <w:iCs/>
          <w:sz w:val="21"/>
          <w:szCs w:val="21"/>
        </w:rPr>
        <w:t xml:space="preserve">u</w:t>
      </w:r>
      <w:r>
        <w:rPr>
          <w:rFonts w:ascii="Times New Roman" w:hAnsi="Times New Roman" w:eastAsia="宋体" w:cs="Times New Roman"/>
          <w:sz w:val="21"/>
          <w:szCs w:val="21"/>
        </w:rPr>
        <w:t xml:space="preserve"> 在标签 </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rPr>
        <w:t xml:space="preserve"> 上第 </w:t>
      </w:r>
      <w:r>
        <w:rPr>
          <w:rFonts w:ascii="Times New Roman" w:hAnsi="Times New Roman" w:eastAsia="宋体" w:cs="Times New Roman"/>
          <w:i/>
          <w:iCs/>
          <w:sz w:val="21"/>
          <w:szCs w:val="21"/>
        </w:rPr>
        <w:t xml:space="preserve">k</w:t>
      </w:r>
      <w:r>
        <w:rPr>
          <w:rFonts w:ascii="Times New Roman" w:hAnsi="Times New Roman" w:eastAsia="宋体" w:cs="Times New Roman"/>
          <w:sz w:val="21"/>
          <w:szCs w:val="21"/>
        </w:rPr>
        <w:t xml:space="preserve"> 个评价周期的权重；</w:t>
      </w:r>
      <w:r>
        <w:rPr>
          <w:rFonts w:ascii="Times New Roman" w:hAnsi="Times New Roman" w:eastAsia="宋体" w:cs="Times New Roman"/>
          <w:i/>
          <w:iCs/>
          <w:sz w:val="21"/>
          <w:szCs w:val="21"/>
        </w:rPr>
        <w:t xml:space="preserve">s</w:t>
      </w:r>
      <w:r>
        <w:rPr>
          <w:rFonts w:ascii="Times New Roman" w:hAnsi="Times New Roman" w:eastAsia="宋体" w:cs="Times New Roman"/>
          <w:sz w:val="21"/>
          <w:szCs w:val="21"/>
          <w:vertAlign w:val="subscript"/>
        </w:rPr>
        <w:t xml:space="preserve">i,u</w:t>
      </w:r>
      <w:r>
        <w:rPr>
          <w:rFonts w:ascii="Times New Roman" w:hAnsi="Times New Roman" w:eastAsia="宋体" w:cs="Times New Roman"/>
          <w:sz w:val="21"/>
          <w:szCs w:val="21"/>
        </w:rPr>
        <w:t xml:space="preserve"> 为用户 </w:t>
      </w:r>
      <w:r>
        <w:rPr>
          <w:rFonts w:ascii="Times New Roman" w:hAnsi="Times New Roman" w:eastAsia="宋体" w:cs="Times New Roman"/>
          <w:i/>
          <w:iCs/>
          <w:sz w:val="21"/>
          <w:szCs w:val="21"/>
        </w:rPr>
        <w:t xml:space="preserve">u</w:t>
      </w:r>
      <w:r>
        <w:rPr>
          <w:rFonts w:ascii="Times New Roman" w:hAnsi="Times New Roman" w:eastAsia="宋体" w:cs="Times New Roman"/>
          <w:sz w:val="21"/>
          <w:szCs w:val="21"/>
        </w:rPr>
        <w:t xml:space="preserve"> 在行为 </w:t>
      </w:r>
      <w:r>
        <w:rPr>
          <w:rFonts w:ascii="Times New Roman" w:hAnsi="Times New Roman" w:eastAsia="宋体" w:cs="Times New Roman"/>
          <w:i/>
          <w:iCs/>
          <w:sz w:val="21"/>
          <w:szCs w:val="21"/>
        </w:rPr>
        <w:t xml:space="preserve">i</w:t>
      </w:r>
      <w:r>
        <w:rPr>
          <w:rFonts w:ascii="Times New Roman" w:hAnsi="Times New Roman" w:eastAsia="宋体" w:cs="Times New Roman"/>
          <w:sz w:val="21"/>
          <w:szCs w:val="21"/>
        </w:rPr>
        <w:t xml:space="preserve"> 上获得的原始积分；</w:t>
      </w:r>
      <w:r>
        <w:rPr>
          <w:rFonts w:ascii="Times New Roman" w:hAnsi="Times New Roman" w:eastAsia="宋体" w:cs="Times New Roman"/>
          <w:i/>
          <w:iCs/>
          <w:sz w:val="21"/>
          <w:szCs w:val="21"/>
        </w:rPr>
        <w:t xml:space="preserve">S</w:t>
      </w:r>
      <w:r>
        <w:rPr>
          <w:rFonts w:ascii="Times New Roman" w:hAnsi="Times New Roman" w:eastAsia="宋体" w:cs="Times New Roman"/>
          <w:sz w:val="21"/>
          <w:szCs w:val="21"/>
          <w:vertAlign w:val="subscript"/>
        </w:rPr>
        <w:t xml:space="preserve">max,t</w:t>
      </w:r>
      <w:r>
        <w:rPr>
          <w:rFonts w:ascii="Times New Roman" w:hAnsi="Times New Roman" w:eastAsia="宋体" w:cs="Times New Roman"/>
          <w:sz w:val="21"/>
          <w:szCs w:val="21"/>
        </w:rPr>
        <w:t xml:space="preserve"> 为本周期内全中心在标签 </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rPr>
        <w:t xml:space="preserve"> 下的最高行为积分，用于将行为项归一化至 [0, 1] 区间，与历史权重项保持量纲一致；</w:t>
      </w:r>
      <w:r>
        <w:rPr>
          <w:rFonts w:ascii="Times New Roman" w:hAnsi="Times New Roman" w:eastAsia="宋体" w:cs="Times New Roman"/>
          <w:i/>
          <w:iCs/>
          <w:sz w:val="21"/>
          <w:szCs w:val="21"/>
        </w:rPr>
        <w:t xml:space="preserve">w</w:t>
      </w:r>
      <w:r>
        <w:rPr>
          <w:rFonts w:ascii="Times New Roman" w:hAnsi="Times New Roman" w:eastAsia="宋体" w:cs="Times New Roman"/>
          <w:sz w:val="21"/>
          <w:szCs w:val="21"/>
          <w:vertAlign w:val="subscript"/>
        </w:rPr>
        <w:t xml:space="preserve">i</w:t>
      </w:r>
      <w:r>
        <w:rPr>
          <w:rFonts w:ascii="Times New Roman" w:hAnsi="Times New Roman" w:eastAsia="宋体" w:cs="Times New Roman"/>
          <w:sz w:val="21"/>
          <w:szCs w:val="21"/>
        </w:rPr>
        <w:t xml:space="preserve"> 为行为 </w:t>
      </w:r>
      <w:r>
        <w:rPr>
          <w:rFonts w:ascii="Times New Roman" w:hAnsi="Times New Roman" w:eastAsia="宋体" w:cs="Times New Roman"/>
          <w:i/>
          <w:iCs/>
          <w:sz w:val="21"/>
          <w:szCs w:val="21"/>
        </w:rPr>
        <w:t xml:space="preserve">i</w:t>
      </w:r>
      <w:r>
        <w:rPr>
          <w:rFonts w:ascii="Times New Roman" w:hAnsi="Times New Roman" w:eastAsia="宋体" w:cs="Times New Roman"/>
          <w:sz w:val="21"/>
          <w:szCs w:val="21"/>
        </w:rPr>
        <w:t xml:space="preserve"> 对该标签的贡献系数，满足 Σ</w:t>
      </w:r>
      <w:r>
        <w:rPr>
          <w:rFonts w:ascii="Times New Roman" w:hAnsi="Times New Roman" w:eastAsia="宋体" w:cs="Times New Roman"/>
          <w:i/>
          <w:iCs/>
          <w:sz w:val="21"/>
          <w:szCs w:val="21"/>
        </w:rPr>
        <w:t xml:space="preserve">w</w:t>
      </w:r>
      <w:r>
        <w:rPr>
          <w:rFonts w:ascii="Times New Roman" w:hAnsi="Times New Roman" w:eastAsia="宋体" w:cs="Times New Roman"/>
          <w:sz w:val="21"/>
          <w:szCs w:val="21"/>
          <w:vertAlign w:val="subscript"/>
        </w:rPr>
        <w:t xml:space="preserve">i</w:t>
      </w:r>
      <w:r>
        <w:rPr>
          <w:rFonts w:ascii="Times New Roman" w:hAnsi="Times New Roman" w:eastAsia="宋体" w:cs="Times New Roman"/>
          <w:sz w:val="21"/>
          <w:szCs w:val="21"/>
        </w:rPr>
        <w:t xml:space="preserve"> = 1；</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vertAlign w:val="subscript"/>
        </w:rPr>
        <w:t xml:space="preserve">now</w:t>
      </w:r>
      <w:r>
        <w:rPr>
          <w:rFonts w:ascii="Times New Roman" w:hAnsi="Times New Roman" w:eastAsia="宋体" w:cs="Times New Roman"/>
          <w:sz w:val="21"/>
          <w:szCs w:val="21"/>
        </w:rPr>
        <w:t xml:space="preserve"> 与 </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vertAlign w:val="subscript"/>
        </w:rPr>
        <w:t xml:space="preserve">i</w:t>
      </w:r>
      <w:r>
        <w:rPr>
          <w:rFonts w:ascii="Times New Roman" w:hAnsi="Times New Roman" w:eastAsia="宋体" w:cs="Times New Roman"/>
          <w:sz w:val="21"/>
          <w:szCs w:val="21"/>
        </w:rPr>
        <w:t xml:space="preserve"> 分别为当前时间与成果完成时间；</w:t>
      </w:r>
      <w:r>
        <w:rPr>
          <w:rFonts w:ascii="Times New Roman" w:hAnsi="Times New Roman" w:eastAsia="宋体" w:cs="Times New Roman"/>
          <w:i/>
          <w:iCs/>
          <w:sz w:val="21"/>
          <w:szCs w:val="21"/>
        </w:rPr>
        <w:t xml:space="preserve">λ</w:t>
      </w:r>
      <w:r>
        <w:rPr>
          <w:rFonts w:ascii="Times New Roman" w:hAnsi="Times New Roman" w:eastAsia="宋体" w:cs="Times New Roman"/>
          <w:sz w:val="21"/>
          <w:szCs w:val="21"/>
        </w:rPr>
        <w:t xml:space="preserve"> 为时间衰减系数；</w:t>
      </w:r>
      <w:r>
        <w:rPr>
          <w:rFonts w:ascii="Times New Roman" w:hAnsi="Times New Roman" w:eastAsia="宋体" w:cs="Times New Roman"/>
          <w:i/>
          <w:iCs/>
          <w:sz w:val="21"/>
          <w:szCs w:val="21"/>
        </w:rPr>
        <w:t xml:space="preserve">α</w:t>
      </w:r>
      <w:r>
        <w:rPr>
          <w:rFonts w:ascii="Times New Roman" w:hAnsi="Times New Roman" w:eastAsia="宋体" w:cs="Times New Roman"/>
          <w:sz w:val="21"/>
          <w:szCs w:val="21"/>
        </w:rPr>
        <w:t xml:space="preserve"> 为新增行为权重系数。</w:t>
      </w:r>
    </w:p>
    <w:p>
      <w:pPr>
        <w:spacing w:line="300" w:lineRule="auto"/>
        <w:ind w:firstLineChars="200" w:firstLine="420"/>
      </w:pPr>
      <w:r>
        <w:rPr>
          <w:rFonts w:ascii="Times New Roman" w:hAnsi="Times New Roman" w:eastAsia="宋体" w:cs="Times New Roman"/>
          <w:sz w:val="21"/>
          <w:szCs w:val="21"/>
        </w:rPr>
        <w:t xml:space="preserve">式(5)在形式上是一阶指数加权移动平均，</w:t>
      </w:r>
      <w:r>
        <w:rPr>
          <w:rFonts w:ascii="Times New Roman" w:hAnsi="Times New Roman" w:eastAsia="宋体" w:cs="Times New Roman"/>
          <w:i/>
          <w:iCs/>
          <w:sz w:val="21"/>
          <w:szCs w:val="21"/>
        </w:rPr>
        <w:t xml:space="preserve">α</w:t>
      </w:r>
      <w:r>
        <w:rPr>
          <w:rFonts w:ascii="Times New Roman" w:hAnsi="Times New Roman" w:eastAsia="宋体" w:cs="Times New Roman"/>
          <w:sz w:val="21"/>
          <w:szCs w:val="21"/>
        </w:rPr>
        <w:t xml:space="preserve"> 取 0.7 对应的记忆长度约为 1/(1 − </w:t>
      </w:r>
      <w:r>
        <w:rPr>
          <w:rFonts w:ascii="Times New Roman" w:hAnsi="Times New Roman" w:eastAsia="宋体" w:cs="Times New Roman"/>
          <w:i/>
          <w:iCs/>
          <w:sz w:val="21"/>
          <w:szCs w:val="21"/>
        </w:rPr>
        <w:t xml:space="preserve">α</w:t>
      </w:r>
      <w:r>
        <w:rPr>
          <w:rFonts w:ascii="Times New Roman" w:hAnsi="Times New Roman" w:eastAsia="宋体" w:cs="Times New Roman"/>
          <w:sz w:val="21"/>
          <w:szCs w:val="21"/>
        </w:rPr>
        <w:t xml:space="preserve">) ≈ 3.3 个评价周期，即最新一年的贡献约占 70%、历史累积贡献约占 30%。这一取值既突出了近期科研活跃度，也保留了资深人员的历史积累，符合疾控中心科研梯队建设的实际需求。</w:t>
      </w:r>
    </w:p>
    <w:p>
      <w:pPr>
        <w:spacing w:line="300" w:lineRule="auto"/>
        <w:ind w:firstLineChars="200" w:firstLine="420"/>
      </w:pPr>
      <w:r>
        <w:rPr>
          <w:rFonts w:ascii="Times New Roman" w:hAnsi="Times New Roman" w:eastAsia="宋体" w:cs="Times New Roman"/>
          <w:sz w:val="21"/>
          <w:szCs w:val="21"/>
        </w:rPr>
        <w:t xml:space="preserve">时间衰减系数取 </w:t>
      </w:r>
      <w:r>
        <w:rPr>
          <w:rFonts w:ascii="Times New Roman" w:hAnsi="Times New Roman" w:eastAsia="宋体" w:cs="Times New Roman"/>
          <w:i/>
          <w:iCs/>
          <w:sz w:val="21"/>
          <w:szCs w:val="21"/>
        </w:rPr>
        <w:t xml:space="preserve">λ</w:t>
      </w:r>
      <w:r>
        <w:rPr>
          <w:rFonts w:ascii="Times New Roman" w:hAnsi="Times New Roman" w:eastAsia="宋体" w:cs="Times New Roman"/>
          <w:sz w:val="21"/>
          <w:szCs w:val="21"/>
        </w:rPr>
        <w:t xml:space="preserve"> = 0.14，对应半衰期 ln2</w:t>
      </w:r>
      <w:r>
        <w:rPr>
          <w:rFonts w:ascii="Times New Roman" w:hAnsi="Times New Roman" w:eastAsia="宋体" w:cs="Times New Roman"/>
          <w:i/>
          <w:iCs/>
          <w:sz w:val="21"/>
          <w:szCs w:val="21"/>
        </w:rPr>
        <w:t xml:space="preserve">/λ</w:t>
      </w:r>
      <w:r>
        <w:rPr>
          <w:rFonts w:ascii="Times New Roman" w:hAnsi="Times New Roman" w:eastAsia="宋体" w:cs="Times New Roman"/>
          <w:sz w:val="21"/>
          <w:szCs w:val="21"/>
        </w:rPr>
        <w:t xml:space="preserve"> ≈ 4.95 年，成果权重每年降至上年的 86.9%（即年衰减约 13.1%）。该取值参考了公共卫生领域科研成果影响力“先高后低”的一般规律：既避免成果永久有效导致评价僵化，也防止衰减过快而挫伤长期积累型科研人员的积极性。</w:t>
      </w:r>
    </w:p>
    <w:p>
      <w:pPr>
        <w:spacing w:line="300" w:lineRule="auto"/>
        <w:ind w:firstLineChars="200" w:firstLine="420"/>
      </w:pPr>
      <w:r>
        <w:rPr>
          <w:rFonts w:ascii="Times New Roman" w:hAnsi="Times New Roman" w:eastAsia="宋体" w:cs="Times New Roman"/>
          <w:sz w:val="21"/>
          <w:szCs w:val="21"/>
        </w:rPr>
        <w:t xml:space="preserve">系统采用两种策略更新标签。① 准实时流式更新：基于 Spring Event 事件驱动机制，积分流水生成后 1 s 内触发标签更新事件，系统异步计算该行为对相关标签权重的影响并做微调更新。② 全量更新：每日 2:00 执行全量标签更新任务，通过 MyBatis 批量查询所有活跃用户近一年的积分数据，重新计算全部非结构化标签权重，并对权重低于 0.1 的标签自动清理、转入待处理缓冲区，同时生成标签更新报告，重点记录权重变化较大的用户与标签。</w:t>
      </w:r>
    </w:p>
    <w:p>
      <w:pPr>
        <w:keepNext/>
        <w:keepLines/>
        <w:spacing w:beforeLines="30" w:before="90" w:afterLines="20" w:after="60"/>
        <w:outlineLvl w:val="1"/>
      </w:pPr>
      <w:r>
        <w:rPr>
          <w:rFonts w:ascii="Times New Roman" w:hAnsi="Times New Roman" w:eastAsia="黑体" w:cs="Times New Roman"/>
          <w:sz w:val="21"/>
          <w:szCs w:val="21"/>
        </w:rPr>
        <w:t xml:space="preserve">5.4  基于人才画像的多维能力得分算法</w:t>
      </w:r>
    </w:p>
    <w:p>
      <w:pPr>
        <w:spacing w:line="300" w:lineRule="auto"/>
        <w:ind w:firstLineChars="200" w:firstLine="420"/>
      </w:pPr>
      <w:r>
        <w:rPr>
          <w:rFonts w:ascii="Times New Roman" w:hAnsi="Times New Roman" w:eastAsia="宋体" w:cs="Times New Roman"/>
          <w:sz w:val="21"/>
          <w:szCs w:val="21"/>
        </w:rPr>
        <w:t xml:space="preserve">“人才晴雨表”采用前后端分离架构，后端负责数据聚合与计算，前端负责图表渲染与交互；所有可视化数据均遵循统一的 JSON 结构，包含图表类型、标题、坐标轴与数据系列等字段。人才画像可视化的核心，是将离散的标签权重数据转换为连续的多维能力得分，进而映射为图表元素。</w:t>
      </w:r>
    </w:p>
    <w:p>
      <w:pPr>
        <w:spacing w:line="300" w:lineRule="auto"/>
        <w:ind w:firstLineChars="200" w:firstLine="420"/>
      </w:pPr>
      <w:r>
        <w:rPr>
          <w:rFonts w:ascii="Times New Roman" w:hAnsi="Times New Roman" w:eastAsia="宋体" w:cs="Times New Roman"/>
          <w:sz w:val="21"/>
          <w:szCs w:val="21"/>
        </w:rPr>
        <w:t xml:space="preserve">定义标签—能力维度映射矩阵 </w:t>
      </w:r>
      <w:r>
        <w:rPr>
          <w:rFonts w:ascii="Times New Roman" w:hAnsi="Times New Roman" w:eastAsia="宋体" w:cs="Times New Roman"/>
          <w:i/>
          <w:iCs/>
          <w:sz w:val="21"/>
          <w:szCs w:val="21"/>
        </w:rPr>
        <w:t xml:space="preserve">M</w:t>
      </w:r>
      <w:r>
        <w:rPr>
          <w:rFonts w:ascii="Times New Roman" w:hAnsi="Times New Roman" w:eastAsia="宋体" w:cs="Times New Roman"/>
          <w:sz w:val="21"/>
          <w:szCs w:val="21"/>
        </w:rPr>
        <w:t xml:space="preserve"> ∈ ℝ</w:t>
      </w:r>
      <w:r>
        <w:rPr>
          <w:rFonts w:ascii="Times New Roman" w:hAnsi="Times New Roman" w:eastAsia="宋体" w:cs="Times New Roman"/>
          <w:sz w:val="21"/>
          <w:szCs w:val="21"/>
          <w:vertAlign w:val="superscript"/>
        </w:rPr>
        <w:t xml:space="preserve">T×D</w:t>
      </w:r>
      <w:r>
        <w:rPr>
          <w:rFonts w:ascii="Times New Roman" w:hAnsi="Times New Roman" w:eastAsia="宋体" w:cs="Times New Roman"/>
          <w:sz w:val="21"/>
          <w:szCs w:val="21"/>
        </w:rPr>
        <w:t xml:space="preserve">，其中 </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rPr>
        <w:t xml:space="preserve"> 为标签总数，</w:t>
      </w:r>
      <w:r>
        <w:rPr>
          <w:rFonts w:ascii="Times New Roman" w:hAnsi="Times New Roman" w:eastAsia="宋体" w:cs="Times New Roman"/>
          <w:i/>
          <w:iCs/>
          <w:sz w:val="21"/>
          <w:szCs w:val="21"/>
        </w:rPr>
        <w:t xml:space="preserve">D</w:t>
      </w:r>
      <w:r>
        <w:rPr>
          <w:rFonts w:ascii="Times New Roman" w:hAnsi="Times New Roman" w:eastAsia="宋体" w:cs="Times New Roman"/>
          <w:sz w:val="21"/>
          <w:szCs w:val="21"/>
        </w:rPr>
        <w:t xml:space="preserve"> 为能力维度数（本系统取 </w:t>
      </w:r>
      <w:r>
        <w:rPr>
          <w:rFonts w:ascii="Times New Roman" w:hAnsi="Times New Roman" w:eastAsia="宋体" w:cs="Times New Roman"/>
          <w:i/>
          <w:iCs/>
          <w:sz w:val="21"/>
          <w:szCs w:val="21"/>
        </w:rPr>
        <w:t xml:space="preserve">D</w:t>
      </w:r>
      <w:r>
        <w:rPr>
          <w:rFonts w:ascii="Times New Roman" w:hAnsi="Times New Roman" w:eastAsia="宋体" w:cs="Times New Roman"/>
          <w:sz w:val="21"/>
          <w:szCs w:val="21"/>
        </w:rPr>
        <w:t xml:space="preserve"> = 16）。矩阵元素 </w:t>
      </w:r>
      <w:r>
        <w:rPr>
          <w:rFonts w:ascii="Times New Roman" w:hAnsi="Times New Roman" w:eastAsia="宋体" w:cs="Times New Roman"/>
          <w:i/>
          <w:iCs/>
          <w:sz w:val="21"/>
          <w:szCs w:val="21"/>
        </w:rPr>
        <w:t xml:space="preserve">m</w:t>
      </w:r>
      <w:r>
        <w:rPr>
          <w:rFonts w:ascii="Times New Roman" w:hAnsi="Times New Roman" w:eastAsia="宋体" w:cs="Times New Roman"/>
          <w:sz w:val="21"/>
          <w:szCs w:val="21"/>
          <w:vertAlign w:val="subscript"/>
        </w:rPr>
        <w:t xml:space="preserve">t,d</w:t>
      </w:r>
      <w:r>
        <w:rPr>
          <w:rFonts w:ascii="Times New Roman" w:hAnsi="Times New Roman" w:eastAsia="宋体" w:cs="Times New Roman"/>
          <w:sz w:val="21"/>
          <w:szCs w:val="21"/>
        </w:rPr>
        <w:t xml:space="preserve"> ∈ [0, 1] 表示标签 </w:t>
      </w:r>
      <w:r>
        <w:rPr>
          <w:rFonts w:ascii="Times New Roman" w:hAnsi="Times New Roman" w:eastAsia="宋体" w:cs="Times New Roman"/>
          <w:i/>
          <w:iCs/>
          <w:sz w:val="21"/>
          <w:szCs w:val="21"/>
        </w:rPr>
        <w:t xml:space="preserve">t</w:t>
      </w:r>
      <w:r>
        <w:rPr>
          <w:rFonts w:ascii="Times New Roman" w:hAnsi="Times New Roman" w:eastAsia="宋体" w:cs="Times New Roman"/>
          <w:sz w:val="21"/>
          <w:szCs w:val="21"/>
        </w:rPr>
        <w:t xml:space="preserve"> 对能力维度 </w:t>
      </w:r>
      <w:r>
        <w:rPr>
          <w:rFonts w:ascii="Times New Roman" w:hAnsi="Times New Roman" w:eastAsia="宋体" w:cs="Times New Roman"/>
          <w:i/>
          <w:iCs/>
          <w:sz w:val="21"/>
          <w:szCs w:val="21"/>
        </w:rPr>
        <w:t xml:space="preserve">d</w:t>
      </w:r>
      <w:r>
        <w:rPr>
          <w:rFonts w:ascii="Times New Roman" w:hAnsi="Times New Roman" w:eastAsia="宋体" w:cs="Times New Roman"/>
          <w:sz w:val="21"/>
          <w:szCs w:val="21"/>
        </w:rPr>
        <w:t xml:space="preserve"> 的贡献度，满足 Σ</w:t>
      </w:r>
      <w:r>
        <w:rPr>
          <w:rFonts w:ascii="Times New Roman" w:hAnsi="Times New Roman" w:eastAsia="宋体" w:cs="Times New Roman"/>
          <w:sz w:val="21"/>
          <w:szCs w:val="21"/>
          <w:vertAlign w:val="subscript"/>
        </w:rPr>
        <w:t xml:space="preserve">d</w:t>
      </w:r>
      <w:r>
        <w:rPr>
          <w:rFonts w:ascii="Times New Roman" w:hAnsi="Times New Roman" w:eastAsia="宋体" w:cs="Times New Roman"/>
          <w:i/>
          <w:iCs/>
          <w:sz w:val="21"/>
          <w:szCs w:val="21"/>
        </w:rPr>
        <w:t xml:space="preserve">m</w:t>
      </w:r>
      <w:r>
        <w:rPr>
          <w:rFonts w:ascii="Times New Roman" w:hAnsi="Times New Roman" w:eastAsia="宋体" w:cs="Times New Roman"/>
          <w:sz w:val="21"/>
          <w:szCs w:val="21"/>
          <w:vertAlign w:val="subscript"/>
        </w:rPr>
        <w:t xml:space="preserve">t,d</w:t>
      </w:r>
      <w:r>
        <w:rPr>
          <w:rFonts w:ascii="Times New Roman" w:hAnsi="Times New Roman" w:eastAsia="宋体" w:cs="Times New Roman"/>
          <w:sz w:val="21"/>
          <w:szCs w:val="21"/>
        </w:rPr>
        <w:t xml:space="preserve"> = 1，即每个标签的贡献完全分配到各能力维度。映射关系由 3 名科研管理专家按德尔菲法两轮打分确定，能力维度清单与映射示例如表 3 所示。</w:t>
      </w:r>
    </w:p>
    <w:p>
      <w:pPr>
        <w:keepNext/>
        <w:keepLines/>
        <w:spacing w:beforeLines="15" w:before="45" w:afterLines="8" w:after="24"/>
        <w:jc w:val="center"/>
      </w:pPr>
      <w:r>
        <w:rPr>
          <w:rFonts w:ascii="Times New Roman" w:hAnsi="Times New Roman" w:eastAsia="黑体" w:cs="Times New Roman"/>
          <w:sz w:val="18"/>
          <w:szCs w:val="18"/>
        </w:rPr>
        <w:t xml:space="preserve">表 3  能力维度定义与标签映射示例</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560"/>
        <w:gridCol w:w="1180"/>
        <w:gridCol w:w="2413"/>
        <w:gridCol w:w="560"/>
        <w:gridCol w:w="1180"/>
        <w:gridCol w:w="2413"/>
      </w:tblGrid>
      <w:tr>
        <w:trPr>
          <w:cantSplit/>
          <w:tblHeader/>
        </w:trPr>
        <w:tc>
          <w:tcPr>
            <w:tcW w:w="56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序号</w:t>
            </w:r>
          </w:p>
        </w:tc>
        <w:tc>
          <w:tcPr>
            <w:tcW w:w="118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能力维度</w:t>
            </w:r>
          </w:p>
        </w:tc>
        <w:tc>
          <w:tcPr>
            <w:tcW w:w="2413"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主要来源标签</w:t>
            </w:r>
          </w:p>
        </w:tc>
        <w:tc>
          <w:tcPr>
            <w:tcW w:w="56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序号</w:t>
            </w:r>
          </w:p>
        </w:tc>
        <w:tc>
          <w:tcPr>
            <w:tcW w:w="118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能力维度</w:t>
            </w:r>
          </w:p>
        </w:tc>
        <w:tc>
          <w:tcPr>
            <w:tcW w:w="2413"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主要来源标签</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发表论文</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科研写作、学术产出</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9</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科普作品</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健康传播、科普创作</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2</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专利发明</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技术研发、知识产权</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10</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荣誉表彰</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综合业绩</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3</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项目课题</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项目申报、项目管理</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11</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学术团队</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团队建设、人才培养</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4</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成果奖励</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成果凝练</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12</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学术地位</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学术影响力</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5</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成果转化</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应用推广</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13</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学术比赛</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业务技能</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6</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出版著作</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科研写作</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14</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学术交流</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会议报告、对外合作</w:t>
            </w:r>
          </w:p>
        </w:tc>
      </w:tr>
      <w:tr>
        <w:trPr>
          <w:cantSplit/>
        </w:trPr>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7</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技术标准</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标准制定、规范起草</w:t>
            </w:r>
          </w:p>
        </w:tc>
        <w:tc>
          <w:tcPr>
            <w:tcW w:w="5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15</w:t>
            </w:r>
          </w:p>
        </w:tc>
        <w:tc>
          <w:tcPr>
            <w:tcW w:w="118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技能资质</w:t>
            </w:r>
          </w:p>
        </w:tc>
        <w:tc>
          <w:tcPr>
            <w:tcW w:w="2413"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继续教育、执业资质</w:t>
            </w:r>
          </w:p>
        </w:tc>
      </w:tr>
      <w:tr>
        <w:trPr>
          <w:cantSplit/>
        </w:trPr>
        <w:tc>
          <w:tcPr>
            <w:tcW w:w="56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8</w:t>
            </w:r>
          </w:p>
        </w:tc>
        <w:tc>
          <w:tcPr>
            <w:tcW w:w="118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继续教育</w:t>
            </w:r>
          </w:p>
        </w:tc>
        <w:tc>
          <w:tcPr>
            <w:tcW w:w="2413"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持续学习</w:t>
            </w:r>
          </w:p>
        </w:tc>
        <w:tc>
          <w:tcPr>
            <w:tcW w:w="56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16</w:t>
            </w:r>
          </w:p>
        </w:tc>
        <w:tc>
          <w:tcPr>
            <w:tcW w:w="118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工作文章</w:t>
            </w:r>
          </w:p>
        </w:tc>
        <w:tc>
          <w:tcPr>
            <w:tcW w:w="2413"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业务调研、工作总结</w:t>
            </w:r>
          </w:p>
        </w:tc>
      </w:tr>
    </w:tbl>
    <w:p>
      <w:pPr>
        <w:spacing w:beforeLines="8" w:before="24" w:line="300" w:lineRule="auto"/>
        <w:ind w:firstLineChars="200" w:firstLine="420"/>
      </w:pPr>
      <w:r>
        <w:rPr>
          <w:rFonts w:ascii="Times New Roman" w:hAnsi="Times New Roman" w:eastAsia="宋体" w:cs="Times New Roman"/>
          <w:sz w:val="21"/>
          <w:szCs w:val="21"/>
        </w:rPr>
        <w:t xml:space="preserve">用户 </w:t>
      </w:r>
      <w:r>
        <w:rPr>
          <w:rFonts w:ascii="Times New Roman" w:hAnsi="Times New Roman" w:eastAsia="宋体" w:cs="Times New Roman"/>
          <w:i/>
          <w:iCs/>
          <w:sz w:val="21"/>
          <w:szCs w:val="21"/>
        </w:rPr>
        <w:t xml:space="preserve">u</w:t>
      </w:r>
      <w:r>
        <w:rPr>
          <w:rFonts w:ascii="Times New Roman" w:hAnsi="Times New Roman" w:eastAsia="宋体" w:cs="Times New Roman"/>
          <w:sz w:val="21"/>
          <w:szCs w:val="21"/>
        </w:rPr>
        <w:t xml:space="preserve"> 在能力维度 </w:t>
      </w:r>
      <w:r>
        <w:rPr>
          <w:rFonts w:ascii="Times New Roman" w:hAnsi="Times New Roman" w:eastAsia="宋体" w:cs="Times New Roman"/>
          <w:i/>
          <w:iCs/>
          <w:sz w:val="21"/>
          <w:szCs w:val="21"/>
        </w:rPr>
        <w:t xml:space="preserve">d</w:t>
      </w:r>
      <w:r>
        <w:rPr>
          <w:rFonts w:ascii="Times New Roman" w:hAnsi="Times New Roman" w:eastAsia="宋体" w:cs="Times New Roman"/>
          <w:sz w:val="21"/>
          <w:szCs w:val="21"/>
        </w:rPr>
        <w:t xml:space="preserve"> 上的原始得分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d,u</w:t>
      </w:r>
      <w:r>
        <w:rPr>
          <w:rFonts w:ascii="Times New Roman" w:hAnsi="Times New Roman" w:eastAsia="宋体" w:cs="Times New Roman"/>
          <w:sz w:val="21"/>
          <w:szCs w:val="21"/>
        </w:rPr>
        <w:t xml:space="preserve"> 为所有标签权重的加权和，如式(6)所示。由于式(5)已在行为积分层面完成时间衰减修正，</w:t>
      </w:r>
      <w:r>
        <w:rPr>
          <w:rFonts w:ascii="Times New Roman" w:hAnsi="Times New Roman" w:eastAsia="宋体" w:cs="Times New Roman"/>
          <w:i/>
          <w:iCs/>
          <w:sz w:val="21"/>
          <w:szCs w:val="21"/>
        </w:rPr>
        <w:t xml:space="preserve">W</w:t>
      </w:r>
      <w:r>
        <w:rPr>
          <w:rFonts w:ascii="Times New Roman" w:hAnsi="Times New Roman" w:eastAsia="宋体" w:cs="Times New Roman"/>
          <w:sz w:val="21"/>
          <w:szCs w:val="21"/>
          <w:vertAlign w:val="subscript"/>
        </w:rPr>
        <w:t xml:space="preserve">t,u</w:t>
      </w:r>
      <w:r>
        <w:rPr>
          <w:rFonts w:ascii="Times New Roman" w:hAnsi="Times New Roman" w:eastAsia="宋体" w:cs="Times New Roman"/>
          <w:sz w:val="21"/>
          <w:szCs w:val="21"/>
        </w:rPr>
        <w:t xml:space="preserve"> 本身即为时效加权后的权重，因此式(6)无需再次引入衰减因子，标签权重、能力得分与画像渲染构成一条量纲一致的计算链路。</w:t>
      </w:r>
    </w:p>
    <w:p>
      <w:pPr>
        <w:keepNext/>
        <w:keepLines/>
        <w:tabs>
          <w:tab w:val="center" w:pos="4153"/>
          <w:tab w:val="right" w:pos="8306"/>
        </w:tabs>
        <w:spacing w:beforeLines="15" w:before="45" w:afterLines="15" w:after="45"/>
      </w:pPr>
      <w:r>
        <w:tab/>
      </w:r>
      <m:oMath>
        <m:sSub>
          <m:e>
            <m:r>
              <w:rPr>
                <w:rFonts w:ascii="Cambria Math" w:hAnsi="Cambria Math"/>
                <w:sz w:val="21"/>
                <w:szCs w:val="21"/>
              </w:rPr>
              <m:t>C</m:t>
            </m:r>
          </m:e>
          <m:sub>
            <m:r>
              <w:rPr>
                <w:rFonts w:ascii="Cambria Math" w:hAnsi="Cambria Math"/>
                <w:sz w:val="21"/>
                <w:szCs w:val="21"/>
              </w:rPr>
              <m:t>d,u</m:t>
            </m:r>
          </m:sub>
        </m:sSub>
        <m:r>
          <m:rPr>
            <m:sty m:val="p"/>
          </m:rPr>
          <w:rPr>
            <w:rFonts w:ascii="Cambria Math" w:hAnsi="Cambria Math"/>
            <w:sz w:val="21"/>
            <w:szCs w:val="21"/>
          </w:rPr>
          <m:t> = </m:t>
        </m:r>
        <m:nary>
          <m:naryPr>
            <m:chr m:val="∑"/>
            <m:limLoc m:val="subSup"/>
            <m:grow m:val="1"/>
            <m:subHide m:val="0"/>
            <m:supHide m:val="0"/>
            <m:ctrlPr/>
          </m:naryPr>
          <m:sub>
            <m:r>
              <w:rPr>
                <w:rFonts w:ascii="Cambria Math" w:hAnsi="Cambria Math"/>
                <w:sz w:val="21"/>
                <w:szCs w:val="21"/>
              </w:rPr>
              <m:t>t</m:t>
            </m:r>
            <m:r>
              <m:rPr>
                <m:sty m:val="p"/>
              </m:rPr>
              <w:rPr>
                <w:rFonts w:ascii="Cambria Math" w:hAnsi="Cambria Math"/>
                <w:sz w:val="21"/>
                <w:szCs w:val="21"/>
              </w:rPr>
              <m:t> = 1</m:t>
            </m:r>
          </m:sub>
          <m:sup>
            <m:r>
              <w:rPr>
                <w:rFonts w:ascii="Cambria Math" w:hAnsi="Cambria Math"/>
                <w:sz w:val="21"/>
                <w:szCs w:val="21"/>
              </w:rPr>
              <m:t>T</m:t>
            </m:r>
          </m:sup>
          <m:e>
            <m:d>
              <m:dPr>
                <m:begChr m:val="("/>
                <m:endChr m:val=")"/>
                <m:ctrlPr/>
              </m:dPr>
              <m:e>
                <m:sSub>
                  <m:e>
                    <m:r>
                      <w:rPr>
                        <w:rFonts w:ascii="Cambria Math" w:hAnsi="Cambria Math"/>
                        <w:sz w:val="21"/>
                        <w:szCs w:val="21"/>
                      </w:rPr>
                      <m:t>W</m:t>
                    </m:r>
                  </m:e>
                  <m:sub>
                    <m:r>
                      <w:rPr>
                        <w:rFonts w:ascii="Cambria Math" w:hAnsi="Cambria Math"/>
                        <w:sz w:val="21"/>
                        <w:szCs w:val="21"/>
                      </w:rPr>
                      <m:t>t,u</m:t>
                    </m:r>
                  </m:sub>
                </m:sSub>
                <m:r>
                  <m:rPr>
                    <m:sty m:val="p"/>
                  </m:rPr>
                  <w:rPr>
                    <w:rFonts w:ascii="Cambria Math" w:hAnsi="Cambria Math"/>
                    <w:sz w:val="21"/>
                    <w:szCs w:val="21"/>
                  </w:rPr>
                  <m:t> · </m:t>
                </m:r>
                <m:sSub>
                  <m:e>
                    <m:r>
                      <w:rPr>
                        <w:rFonts w:ascii="Cambria Math" w:hAnsi="Cambria Math"/>
                        <w:sz w:val="21"/>
                        <w:szCs w:val="21"/>
                      </w:rPr>
                      <m:t>m</m:t>
                    </m:r>
                  </m:e>
                  <m:sub>
                    <m:r>
                      <w:rPr>
                        <w:rFonts w:ascii="Cambria Math" w:hAnsi="Cambria Math"/>
                        <w:sz w:val="21"/>
                        <w:szCs w:val="21"/>
                      </w:rPr>
                      <m:t>t,d</m:t>
                    </m:r>
                  </m:sub>
                </m:sSub>
              </m:e>
            </m:d>
          </m:e>
        </m:nary>
      </m:oMath>
      <w:r>
        <w:tab/>
      </w:r>
      <w:r>
        <w:rPr>
          <w:rFonts w:ascii="Times New Roman" w:hAnsi="Times New Roman" w:eastAsia="宋体" w:cs="Times New Roman"/>
          <w:sz w:val="21"/>
          <w:szCs w:val="21"/>
        </w:rPr>
        <w:t xml:space="preserve">(6)</w:t>
      </w:r>
    </w:p>
    <w:p>
      <w:pPr>
        <w:spacing w:line="300" w:lineRule="auto"/>
        <w:ind w:firstLineChars="200" w:firstLine="420"/>
      </w:pPr>
      <w:r>
        <w:rPr>
          <w:rFonts w:ascii="Times New Roman" w:hAnsi="Times New Roman" w:eastAsia="宋体" w:cs="Times New Roman"/>
          <w:sz w:val="21"/>
          <w:szCs w:val="21"/>
        </w:rPr>
        <w:t xml:space="preserve">为消除不同能力维度的量纲差异、实现跨维度可比，对原始得分作归一化处理，如式(7)所示。</w:t>
      </w:r>
    </w:p>
    <w:p>
      <w:pPr>
        <w:keepNext/>
        <w:keepLines/>
        <w:tabs>
          <w:tab w:val="center" w:pos="4153"/>
          <w:tab w:val="right" w:pos="8306"/>
        </w:tabs>
        <w:spacing w:beforeLines="15" w:before="45" w:afterLines="15" w:after="45"/>
      </w:pPr>
      <w:r>
        <w:tab/>
      </w:r>
      <m:oMath>
        <m:sSubSup>
          <m:e>
            <m:r>
              <w:rPr>
                <w:rFonts w:ascii="Cambria Math" w:hAnsi="Cambria Math"/>
                <w:sz w:val="21"/>
                <w:szCs w:val="21"/>
              </w:rPr>
              <m:t>C</m:t>
            </m:r>
          </m:e>
          <m:sub>
            <m:r>
              <w:rPr>
                <w:rFonts w:ascii="Cambria Math" w:hAnsi="Cambria Math"/>
                <w:sz w:val="21"/>
                <w:szCs w:val="21"/>
              </w:rPr>
              <m:t>d,u</m:t>
            </m:r>
          </m:sub>
          <m:sup>
            <m:r>
              <m:rPr>
                <m:sty m:val="p"/>
              </m:rPr>
              <w:rPr>
                <w:rFonts w:ascii="Cambria Math" w:hAnsi="Cambria Math"/>
                <w:sz w:val="21"/>
                <w:szCs w:val="21"/>
              </w:rPr>
              <m:t>′</m:t>
            </m:r>
          </m:sup>
        </m:sSubSup>
        <m:r>
          <m:rPr>
            <m:sty m:val="p"/>
          </m:rPr>
          <w:rPr>
            <w:rFonts w:ascii="Cambria Math" w:hAnsi="Cambria Math"/>
            <w:sz w:val="21"/>
            <w:szCs w:val="21"/>
          </w:rPr>
          <m:t> = </m:t>
        </m:r>
        <m:f>
          <m:fPr>
            <m:ctrlPr/>
          </m:fPr>
          <m:num>
            <m:sSub>
              <m:e>
                <m:r>
                  <w:rPr>
                    <w:rFonts w:ascii="Cambria Math" w:hAnsi="Cambria Math"/>
                    <w:sz w:val="21"/>
                    <w:szCs w:val="21"/>
                  </w:rPr>
                  <m:t>C</m:t>
                </m:r>
              </m:e>
              <m:sub>
                <m:r>
                  <w:rPr>
                    <w:rFonts w:ascii="Cambria Math" w:hAnsi="Cambria Math"/>
                    <w:sz w:val="21"/>
                    <w:szCs w:val="21"/>
                  </w:rPr>
                  <m:t>d,u</m:t>
                </m:r>
              </m:sub>
            </m:sSub>
            <m:r>
              <m:rPr>
                <m:sty m:val="p"/>
              </m:rPr>
              <w:rPr>
                <w:rFonts w:ascii="Cambria Math" w:hAnsi="Cambria Math"/>
                <w:sz w:val="21"/>
                <w:szCs w:val="21"/>
              </w:rPr>
              <m:t> − </m:t>
            </m:r>
            <m:sSub>
              <m:e>
                <m:r>
                  <w:rPr>
                    <w:rFonts w:ascii="Cambria Math" w:hAnsi="Cambria Math"/>
                    <w:sz w:val="21"/>
                    <w:szCs w:val="21"/>
                  </w:rPr>
                  <m:t>C</m:t>
                </m:r>
              </m:e>
              <m:sub>
                <m:r>
                  <w:rPr>
                    <w:rFonts w:ascii="Cambria Math" w:hAnsi="Cambria Math"/>
                    <w:sz w:val="21"/>
                    <w:szCs w:val="21"/>
                  </w:rPr>
                  <m:t>d,</m:t>
                </m:r>
                <m:r>
                  <m:rPr>
                    <m:sty m:val="p"/>
                  </m:rPr>
                  <w:rPr>
                    <w:rFonts w:ascii="Cambria Math" w:hAnsi="Cambria Math"/>
                    <w:sz w:val="21"/>
                    <w:szCs w:val="21"/>
                  </w:rPr>
                  <m:t>min</m:t>
                </m:r>
              </m:sub>
            </m:sSub>
          </m:num>
          <m:den>
            <m:sSub>
              <m:e>
                <m:r>
                  <w:rPr>
                    <w:rFonts w:ascii="Cambria Math" w:hAnsi="Cambria Math"/>
                    <w:sz w:val="21"/>
                    <w:szCs w:val="21"/>
                  </w:rPr>
                  <m:t>C</m:t>
                </m:r>
              </m:e>
              <m:sub>
                <m:r>
                  <w:rPr>
                    <w:rFonts w:ascii="Cambria Math" w:hAnsi="Cambria Math"/>
                    <w:sz w:val="21"/>
                    <w:szCs w:val="21"/>
                  </w:rPr>
                  <m:t>d,</m:t>
                </m:r>
                <m:r>
                  <m:rPr>
                    <m:sty m:val="p"/>
                  </m:rPr>
                  <w:rPr>
                    <w:rFonts w:ascii="Cambria Math" w:hAnsi="Cambria Math"/>
                    <w:sz w:val="21"/>
                    <w:szCs w:val="21"/>
                  </w:rPr>
                  <m:t>max</m:t>
                </m:r>
              </m:sub>
            </m:sSub>
            <m:r>
              <m:rPr>
                <m:sty m:val="p"/>
              </m:rPr>
              <w:rPr>
                <w:rFonts w:ascii="Cambria Math" w:hAnsi="Cambria Math"/>
                <w:sz w:val="21"/>
                <w:szCs w:val="21"/>
              </w:rPr>
              <m:t> − </m:t>
            </m:r>
            <m:sSub>
              <m:e>
                <m:r>
                  <w:rPr>
                    <w:rFonts w:ascii="Cambria Math" w:hAnsi="Cambria Math"/>
                    <w:sz w:val="21"/>
                    <w:szCs w:val="21"/>
                  </w:rPr>
                  <m:t>C</m:t>
                </m:r>
              </m:e>
              <m:sub>
                <m:r>
                  <w:rPr>
                    <w:rFonts w:ascii="Cambria Math" w:hAnsi="Cambria Math"/>
                    <w:sz w:val="21"/>
                    <w:szCs w:val="21"/>
                  </w:rPr>
                  <m:t>d,</m:t>
                </m:r>
                <m:r>
                  <m:rPr>
                    <m:sty m:val="p"/>
                  </m:rPr>
                  <w:rPr>
                    <w:rFonts w:ascii="Cambria Math" w:hAnsi="Cambria Math"/>
                    <w:sz w:val="21"/>
                    <w:szCs w:val="21"/>
                  </w:rPr>
                  <m:t>min</m:t>
                </m:r>
              </m:sub>
            </m:sSub>
          </m:den>
        </m:f>
        <m:r>
          <m:rPr>
            <m:sty m:val="p"/>
          </m:rPr>
          <w:rPr>
            <w:rFonts w:ascii="Cambria Math" w:hAnsi="Cambria Math"/>
            <w:sz w:val="21"/>
            <w:szCs w:val="21"/>
          </w:rPr>
          <m:t> × 80 + 20</m:t>
        </m:r>
      </m:oMath>
      <w:r>
        <w:tab/>
      </w:r>
      <w:r>
        <w:rPr>
          <w:rFonts w:ascii="Times New Roman" w:hAnsi="Times New Roman" w:eastAsia="宋体" w:cs="Times New Roman"/>
          <w:sz w:val="21"/>
          <w:szCs w:val="21"/>
        </w:rPr>
        <w:t xml:space="preserve">(7)</w:t>
      </w:r>
    </w:p>
    <w:p>
      <w:pPr>
        <w:spacing w:line="300" w:lineRule="auto"/>
        <w:ind w:firstLineChars="200" w:firstLine="420"/>
      </w:pPr>
      <w:r>
        <w:rPr>
          <w:rFonts w:ascii="Times New Roman" w:hAnsi="Times New Roman" w:eastAsia="宋体" w:cs="Times New Roman"/>
          <w:sz w:val="21"/>
          <w:szCs w:val="21"/>
        </w:rPr>
        <w:t xml:space="preserve">式中：</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d,min</w:t>
      </w:r>
      <w:r>
        <w:rPr>
          <w:rFonts w:ascii="Times New Roman" w:hAnsi="Times New Roman" w:eastAsia="宋体" w:cs="Times New Roman"/>
          <w:sz w:val="21"/>
          <w:szCs w:val="21"/>
        </w:rPr>
        <w:t xml:space="preserve"> 与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d,max</w:t>
      </w:r>
      <w:r>
        <w:rPr>
          <w:rFonts w:ascii="Times New Roman" w:hAnsi="Times New Roman" w:eastAsia="宋体" w:cs="Times New Roman"/>
          <w:sz w:val="21"/>
          <w:szCs w:val="21"/>
        </w:rPr>
        <w:t xml:space="preserve"> 分别为全中心所有用户在能力维度 </w:t>
      </w:r>
      <w:r>
        <w:rPr>
          <w:rFonts w:ascii="Times New Roman" w:hAnsi="Times New Roman" w:eastAsia="宋体" w:cs="Times New Roman"/>
          <w:i/>
          <w:iCs/>
          <w:sz w:val="21"/>
          <w:szCs w:val="21"/>
        </w:rPr>
        <w:t xml:space="preserve">d</w:t>
      </w:r>
      <w:r>
        <w:rPr>
          <w:rFonts w:ascii="Times New Roman" w:hAnsi="Times New Roman" w:eastAsia="宋体" w:cs="Times New Roman"/>
          <w:sz w:val="21"/>
          <w:szCs w:val="21"/>
        </w:rPr>
        <w:t xml:space="preserve"> 上的最低与最高原始得分。归一化结果映射至 [20, 100] 而非 [0, 100]，以避免最低分用户在该维度上恒为 0、雷达图退化为尖刺的问题；当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d,max</w:t>
      </w:r>
      <w:r>
        <w:rPr>
          <w:rFonts w:ascii="Times New Roman" w:hAnsi="Times New Roman" w:eastAsia="宋体" w:cs="Times New Roman"/>
          <w:sz w:val="21"/>
          <w:szCs w:val="21"/>
        </w:rPr>
        <w:t xml:space="preserve"> =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d,min</w:t>
      </w:r>
      <w:r>
        <w:rPr>
          <w:rFonts w:ascii="Times New Roman" w:hAnsi="Times New Roman" w:eastAsia="宋体" w:cs="Times New Roman"/>
          <w:sz w:val="21"/>
          <w:szCs w:val="21"/>
        </w:rPr>
        <w:t xml:space="preserve"> 时（如新增维度或冷门维度全员得分相同），系统直接取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rPr>
        <w:t xml:space="preserve">′</w:t>
      </w:r>
      <w:r>
        <w:rPr>
          <w:rFonts w:ascii="Times New Roman" w:hAnsi="Times New Roman" w:eastAsia="宋体" w:cs="Times New Roman"/>
          <w:sz w:val="21"/>
          <w:szCs w:val="21"/>
          <w:vertAlign w:val="subscript"/>
        </w:rPr>
        <w:t xml:space="preserve">d,u</w:t>
      </w:r>
      <w:r>
        <w:rPr>
          <w:rFonts w:ascii="Times New Roman" w:hAnsi="Times New Roman" w:eastAsia="宋体" w:cs="Times New Roman"/>
          <w:sz w:val="21"/>
          <w:szCs w:val="21"/>
        </w:rPr>
        <w:t xml:space="preserve"> = 60，避免分母为零。归一化后的得分直接对应雷达图的半径长度。</w:t>
      </w:r>
    </w:p>
    <w:p>
      <w:pPr>
        <w:spacing w:line="300" w:lineRule="auto"/>
        <w:ind w:firstLineChars="200" w:firstLine="420"/>
      </w:pPr>
      <w:r>
        <w:rPr>
          <w:rFonts w:ascii="Times New Roman" w:hAnsi="Times New Roman" w:eastAsia="宋体" w:cs="Times New Roman"/>
          <w:sz w:val="21"/>
          <w:szCs w:val="21"/>
        </w:rPr>
        <w:t xml:space="preserve">需要指出的是，</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d,min</w:t>
      </w:r>
      <w:r>
        <w:rPr>
          <w:rFonts w:ascii="Times New Roman" w:hAnsi="Times New Roman" w:eastAsia="宋体" w:cs="Times New Roman"/>
          <w:sz w:val="21"/>
          <w:szCs w:val="21"/>
        </w:rPr>
        <w:t xml:space="preserve"> 与 </w:t>
      </w:r>
      <w:r>
        <w:rPr>
          <w:rFonts w:ascii="Times New Roman" w:hAnsi="Times New Roman" w:eastAsia="宋体" w:cs="Times New Roman"/>
          <w:i/>
          <w:iCs/>
          <w:sz w:val="21"/>
          <w:szCs w:val="21"/>
        </w:rPr>
        <w:t xml:space="preserve">C</w:t>
      </w:r>
      <w:r>
        <w:rPr>
          <w:rFonts w:ascii="Times New Roman" w:hAnsi="Times New Roman" w:eastAsia="宋体" w:cs="Times New Roman"/>
          <w:sz w:val="21"/>
          <w:szCs w:val="21"/>
          <w:vertAlign w:val="subscript"/>
        </w:rPr>
        <w:t xml:space="preserve">d,max</w:t>
      </w:r>
      <w:r>
        <w:rPr>
          <w:rFonts w:ascii="Times New Roman" w:hAnsi="Times New Roman" w:eastAsia="宋体" w:cs="Times New Roman"/>
          <w:sz w:val="21"/>
          <w:szCs w:val="21"/>
        </w:rPr>
        <w:t xml:space="preserve"> 随人员流动与年度产出而变化，故式(7)的结果适用于同一周期内的横向比较；用于跨年度纵向比较时，系统以上线首年的得分分布作为固定基准。</w:t>
      </w:r>
    </w:p>
    <w:p>
      <w:pPr>
        <w:spacing w:line="300" w:lineRule="auto"/>
        <w:ind w:firstLineChars="200" w:firstLine="420"/>
      </w:pPr>
      <w:r>
        <w:rPr>
          <w:rFonts w:ascii="Times New Roman" w:hAnsi="Times New Roman" w:eastAsia="宋体" w:cs="Times New Roman"/>
          <w:sz w:val="21"/>
          <w:szCs w:val="21"/>
        </w:rPr>
        <w:t xml:space="preserve">人才画像的生成流程如图 4 所示，可视化界面如图 5、图 6 所示。核心图表组件包括能力雷达图、积分趋势折线图、团队贡献矩阵与标签云图，可直观反映人才的能力结构与发展曲线[10]。</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610624" behindDoc="0" locked="0" layoutInCell="1" allowOverlap="1" wp14:anchorId="4F82A1DC" wp14:editId="41C9F5BC">
            <wp:simplePos x="0" y="0"/>
            <wp:positionH relativeFrom="column">
              <wp:posOffset>58420</wp:posOffset>
            </wp:positionH>
            <wp:positionV relativeFrom="paragraph">
              <wp:posOffset>130546</wp:posOffset>
            </wp:positionV>
            <wp:extent cx="5120640" cy="2759581"/>
            <wp:effectExtent l="0" t="0" r="0" b="0"/>
            <wp:wrapNone/>
            <wp:docPr id="10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2389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120640" cy="2759581"/>
                    </a:xfrm>
                    <a:prstGeom prst="rect">
                      <a:avLst/>
                    </a:prstGeom>
                  </pic:spPr>
                </pic:pic>
              </a:graphicData>
            </a:graphic>
            <wp14:sizeRelH relativeFrom="margin">
              <wp14:pctWidth>0</wp14:pctWidth>
            </wp14:sizeRelH>
            <wp14:sizeRelV relativeFrom="margin">
              <wp14:pctHeight>0</wp14:pctHeight>
            </wp14:sizeRelV>
          </wp:anchor>
        </w:drawing>
      </w:r>
    </w:p>
    <w:p>
      <w:pPr>
        <w:keepNext/>
        <w:keepLines/>
        <w:spacing w:beforeLines="10" w:before="30" w:afterLines="30" w:after="90"/>
        <w:jc w:val="center"/>
      </w:pPr>
      <w:r>
        <w:rPr>
          <w:rFonts w:ascii="Times New Roman" w:hAnsi="Times New Roman" w:eastAsia="黑体" w:cs="Times New Roman"/>
          <w:sz w:val="18"/>
          <w:szCs w:val="18"/>
        </w:rPr>
        <w:t xml:space="preserve">图 4  人才画像生成流程</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713024" behindDoc="0" locked="0" layoutInCell="1" allowOverlap="1" wp14:anchorId="6493539C" wp14:editId="410FDD2C">
            <wp:simplePos x="0" y="0"/>
            <wp:positionH relativeFrom="column">
              <wp:posOffset>2597150</wp:posOffset>
            </wp:positionH>
            <wp:positionV relativeFrom="paragraph">
              <wp:posOffset>152400</wp:posOffset>
            </wp:positionV>
            <wp:extent cx="4663440" cy="4356395"/>
            <wp:effectExtent l="0" t="0" r="0" b="0"/>
            <wp:wrapNone/>
            <wp:docPr id="1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63440" cy="4356395"/>
                    </a:xfrm>
                    <a:prstGeom prst="rect">
                      <a:avLst/>
                    </a:prstGeom>
                    <a:noFill/>
                    <a:ln>
                      <a:noFill/>
                    </a:ln>
                  </pic:spPr>
                </pic:pic>
              </a:graphicData>
            </a:graphic>
            <wp14:sizeRelH relativeFrom="margin">
              <wp14:pctWidth>0</wp14:pctWidth>
            </wp14:sizeRelH>
            <wp14:sizeRelV relativeFrom="margin">
              <wp14:pctHeight>0</wp14:pctHeight>
            </wp14:sizeRelV>
          </wp:anchor>
        </w:drawing>
      </w:r>
    </w:p>
    <w:p>
      <w:pPr>
        <w:keepNext/>
        <w:keepLines/>
        <w:spacing w:beforeLines="10" w:before="30" w:afterLines="30" w:after="90"/>
        <w:jc w:val="center"/>
      </w:pPr>
      <w:r>
        <w:rPr>
          <w:rFonts w:ascii="Times New Roman" w:hAnsi="Times New Roman" w:eastAsia="黑体" w:cs="Times New Roman"/>
          <w:sz w:val="18"/>
          <w:szCs w:val="18"/>
        </w:rPr>
        <w:t xml:space="preserve">图 5  人才画像可视化界面（积分趋势、能力雷达图与标签云）</w:t>
      </w:r>
    </w:p>
    <w:p>
      <w:pPr>
        <w:keepNext/>
        <w:keepLines/>
        <w:spacing w:beforeLines="15" w:before="45" w:afterLines="5" w:after="15"/>
        <w:jc w:val="center"/>
      </w:pPr>
      <w:r>
        <w:rPr>
          <w:rFonts w:ascii="Times New Roman" w:hAnsi="Times New Roman" w:eastAsia="宋体" w:cs="Times New Roman"/>
          <w:sz w:val="21"/>
          <w:szCs w:val="21"/>
        </w:rPr>
        <w:drawing>
          <wp:anchor distT="0" distB="0" distL="114300" distR="114300" simplePos="0" relativeHeight="251661824" behindDoc="0" locked="0" layoutInCell="1" allowOverlap="1" wp14:anchorId="6ADCC429" wp14:editId="3E113986">
            <wp:simplePos x="0" y="0"/>
            <wp:positionH relativeFrom="column">
              <wp:posOffset>-650240</wp:posOffset>
            </wp:positionH>
            <wp:positionV relativeFrom="paragraph">
              <wp:posOffset>154940</wp:posOffset>
            </wp:positionV>
            <wp:extent cx="4663440" cy="4518750"/>
            <wp:effectExtent l="0" t="0" r="8255" b="1270"/>
            <wp:wrapNone/>
            <wp:docPr id="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61940" name=""/>
                    <pic:cNvPicPr/>
                  </pic:nvPicPr>
                  <pic:blipFill>
                    <a:blip r:embed="rId15"/>
                    <a:stretch>
                      <a:fillRect/>
                    </a:stretch>
                  </pic:blipFill>
                  <pic:spPr>
                    <a:xfrm>
                      <a:off x="0" y="0"/>
                      <a:ext cx="4663440" cy="4518750"/>
                    </a:xfrm>
                    <a:prstGeom prst="rect">
                      <a:avLst/>
                    </a:prstGeom>
                  </pic:spPr>
                </pic:pic>
              </a:graphicData>
            </a:graphic>
            <wp14:sizeRelH relativeFrom="margin">
              <wp14:pctWidth>0</wp14:pctWidth>
            </wp14:sizeRelH>
            <wp14:sizeRelV relativeFrom="margin">
              <wp14:pctHeight>0</wp14:pctHeight>
            </wp14:sizeRelV>
          </wp:anchor>
        </w:drawing>
      </w:r>
    </w:p>
    <w:p>
      <w:pPr>
        <w:keepNext/>
        <w:keepLines/>
        <w:spacing w:beforeLines="10" w:before="30" w:afterLines="30" w:after="90"/>
        <w:jc w:val="center"/>
      </w:pPr>
      <w:r>
        <w:rPr>
          <w:rFonts w:ascii="Times New Roman" w:hAnsi="Times New Roman" w:eastAsia="黑体" w:cs="Times New Roman"/>
          <w:sz w:val="18"/>
          <w:szCs w:val="18"/>
        </w:rPr>
        <w:t xml:space="preserve">图 6  人才画像报告界面</w:t>
      </w:r>
    </w:p>
    <w:p>
      <w:pPr>
        <w:keepNext/>
        <w:keepLines/>
        <w:spacing w:beforeLines="30" w:before="90" w:afterLines="20" w:after="60"/>
        <w:outlineLvl w:val="1"/>
      </w:pPr>
      <w:r>
        <w:rPr>
          <w:rFonts w:ascii="Times New Roman" w:hAnsi="Times New Roman" w:eastAsia="黑体" w:cs="Times New Roman"/>
          <w:sz w:val="21"/>
          <w:szCs w:val="21"/>
        </w:rPr>
        <w:t xml:space="preserve">5.5  轻量级状态机工作流引擎</w:t>
      </w:r>
    </w:p>
    <w:p>
      <w:pPr>
        <w:spacing w:line="300" w:lineRule="auto"/>
        <w:ind w:firstLineChars="200" w:firstLine="420"/>
      </w:pPr>
      <w:r>
        <w:rPr>
          <w:rFonts w:ascii="Times New Roman" w:hAnsi="Times New Roman" w:eastAsia="宋体" w:cs="Times New Roman"/>
          <w:sz w:val="21"/>
          <w:szCs w:val="21"/>
        </w:rPr>
        <w:t xml:space="preserve">针对疾控中心科研审核流程相对固定但存在微调需求的特点，本文实现了一个轻量级状态机工作流引擎，无需依赖第三方工作流框架。引擎定义了申报单的 7 种状态与 7 种状态转换事件，其转换关系如表 4 所示。</w:t>
      </w:r>
    </w:p>
    <w:p>
      <w:pPr>
        <w:keepNext/>
        <w:keepLines/>
        <w:spacing w:beforeLines="15" w:before="45" w:afterLines="8" w:after="24"/>
        <w:jc w:val="center"/>
      </w:pPr>
      <w:r>
        <w:rPr>
          <w:rFonts w:ascii="Times New Roman" w:hAnsi="Times New Roman" w:eastAsia="黑体" w:cs="Times New Roman"/>
          <w:sz w:val="18"/>
          <w:szCs w:val="18"/>
        </w:rPr>
        <w:t xml:space="preserve">表 4  申报单状态转换矩阵</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1610"/>
        <w:gridCol w:w="956"/>
        <w:gridCol w:w="956"/>
        <w:gridCol w:w="956"/>
        <w:gridCol w:w="956"/>
        <w:gridCol w:w="956"/>
        <w:gridCol w:w="956"/>
        <w:gridCol w:w="960"/>
      </w:tblGrid>
      <w:tr>
        <w:trPr>
          <w:cantSplit/>
          <w:tblHeader/>
        </w:trPr>
        <w:tc>
          <w:tcPr>
            <w:tcW w:w="161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当前状态＼事件</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提交</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初审通过</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初审驳回</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复核通过</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复核驳回</w:t>
            </w:r>
          </w:p>
        </w:tc>
        <w:tc>
          <w:tcPr>
            <w:tcW w:w="95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终审通过</w:t>
            </w:r>
          </w:p>
        </w:tc>
        <w:tc>
          <w:tcPr>
            <w:tcW w:w="96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5"/>
                <w:szCs w:val="15"/>
              </w:rPr>
              <w:t xml:space="preserve">终审驳回</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草稿</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待初审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待初审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待复核</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初审驳回</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初审驳回</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待初审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待复核</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待终审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复核驳回</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复核驳回</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待初审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r>
      <w:tr>
        <w:trPr>
          <w:cantSplit/>
        </w:trPr>
        <w:tc>
          <w:tcPr>
            <w:tcW w:w="161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5"/>
                <w:szCs w:val="15"/>
              </w:rPr>
              <w:t xml:space="preserve">待终审</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rPr>
              <w:t xml:space="preserve">终审通过</w:t>
            </w:r>
          </w:p>
        </w:tc>
        <w:tc>
          <w:tcPr>
            <w:tcW w:w="96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5"/>
                <w:szCs w:val="15"/>
                <w:highlight w:val="yellow"/>
              </w:rPr>
              <w:t xml:space="preserve">复核驳回</w:t>
            </w:r>
          </w:p>
        </w:tc>
      </w:tr>
      <w:tr>
        <w:trPr>
          <w:cantSplit/>
        </w:trPr>
        <w:tc>
          <w:tcPr>
            <w:tcW w:w="161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5"/>
                <w:szCs w:val="15"/>
              </w:rPr>
              <w:t xml:space="preserve">终审通过</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5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c>
          <w:tcPr>
            <w:tcW w:w="96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5"/>
                <w:szCs w:val="15"/>
              </w:rPr>
              <w:t xml:space="preserve">—</w:t>
            </w:r>
          </w:p>
        </w:tc>
      </w:tr>
    </w:tbl>
    <w:p>
      <w:pPr>
        <w:spacing w:beforeLines="8" w:before="24" w:line="300" w:lineRule="auto"/>
        <w:ind w:firstLineChars="200" w:firstLine="420"/>
      </w:pPr>
      <w:r>
        <w:rPr>
          <w:rFonts w:ascii="Times New Roman" w:hAnsi="Times New Roman" w:eastAsia="宋体" w:cs="Times New Roman"/>
          <w:sz w:val="21"/>
          <w:szCs w:val="21"/>
        </w:rPr>
        <w:t xml:space="preserve">系统通过 workflow_config 表配置每个状态的处理人、处理时限与下一状态等信息。当用户触发状态转换事件时，引擎依次执行：① 校验当前用户是否具备执行该操作的权限；② 更新申报单状态；③ 记录操作日志（操作人、时间、意见）；④ 向下一处理人发送通知；⑤ 若为终审通过事件，触发积分计算任务。该引擎支持流程的动态调整，管理员可通过修改数据库配置改变审核环节或处理人，无需重启系统[5]。</w:t>
      </w:r>
    </w:p>
    <w:p>
      <w:pPr>
        <w:keepNext/>
        <w:keepLines/>
        <w:spacing w:beforeLines="30" w:before="90" w:afterLines="20" w:after="60"/>
        <w:outlineLvl w:val="1"/>
      </w:pPr>
      <w:r>
        <w:rPr>
          <w:rFonts w:ascii="Times New Roman" w:hAnsi="Times New Roman" w:eastAsia="黑体" w:cs="Times New Roman"/>
          <w:sz w:val="21"/>
          <w:szCs w:val="21"/>
        </w:rPr>
        <w:t xml:space="preserve">5.6  性能优化与安全设计</w:t>
      </w:r>
    </w:p>
    <w:p>
      <w:pPr>
        <w:spacing w:line="300" w:lineRule="auto"/>
        <w:ind w:firstLineChars="200" w:firstLine="420"/>
      </w:pPr>
      <w:r>
        <w:rPr>
          <w:rFonts w:ascii="Times New Roman" w:hAnsi="Times New Roman" w:eastAsia="宋体" w:cs="Times New Roman"/>
          <w:sz w:val="21"/>
          <w:szCs w:val="21"/>
        </w:rPr>
        <w:t xml:space="preserve">为应对高频积分查询场景，系统引入 Redis 缓存层。积分规则配置、用户总积分等热点数据在首次查询后存入缓存，后续请求直接从内存读取。缓存策略采用 Cache-Aside 模式：读取时先查缓存，未命中则查库并回填；写入时先更新数据库，再删除缓存，以保障数据一致性。针对缓存穿透风险，系统对不存在的数据也缓存空值并设置较短的 TTL，并配合分布式锁防止缓存击穿[15]。</w:t>
      </w:r>
    </w:p>
    <w:p>
      <w:pPr>
        <w:spacing w:line="300" w:lineRule="auto"/>
        <w:ind w:firstLineChars="200" w:firstLine="420"/>
      </w:pPr>
      <w:r>
        <w:rPr>
          <w:rFonts w:ascii="Times New Roman" w:hAnsi="Times New Roman" w:eastAsia="宋体" w:cs="Times New Roman"/>
          <w:sz w:val="21"/>
          <w:szCs w:val="21"/>
        </w:rPr>
        <w:t xml:space="preserve">在数据库调优方面，针对核心查询路径建立精准索引，多条件查询优先采用联合索引，SQL 层面避免全字段查询，启用慢查询日志以捕获瓶颈语句，并优化 InnoDB 引擎配置以提升缓存命中率[16]。</w:t>
      </w:r>
    </w:p>
    <w:p>
      <w:pPr>
        <w:spacing w:line="300" w:lineRule="auto"/>
        <w:ind w:firstLineChars="200" w:firstLine="420"/>
      </w:pPr>
      <w:r>
        <w:rPr>
          <w:rFonts w:ascii="Times New Roman" w:hAnsi="Times New Roman" w:eastAsia="宋体" w:cs="Times New Roman"/>
          <w:sz w:val="21"/>
          <w:szCs w:val="21"/>
        </w:rPr>
        <w:t xml:space="preserve">在安全设计方面，系统整合 Spring Security 与 JWT 令牌机制，实现无状态身份认证，支持分布式部署，并通过令牌过期与刷新机制防止会话劫持[14]。系统涉及 270 名科研人员的学历、职称与成果数据，均按《中华人民共和国个人信息保护法》的要求实施最小必要采集与分级授权访问，敏感字段在传输与展示环节做脱敏处理，所有查询与导出操作均留存审计日志。</w:t>
      </w:r>
    </w:p>
    <w:p>
      <w:pPr>
        <w:keepNext/>
        <w:keepLines/>
        <w:spacing w:beforeLines="50" w:before="150" w:afterLines="30" w:after="90"/>
        <w:outlineLvl w:val="0"/>
      </w:pPr>
      <w:r>
        <w:rPr>
          <w:rFonts w:ascii="Times New Roman" w:hAnsi="Times New Roman" w:eastAsia="黑体" w:cs="Times New Roman"/>
          <w:sz w:val="24"/>
          <w:szCs w:val="24"/>
        </w:rPr>
        <w:t xml:space="preserve">6  系统测试与应用效果</w:t>
      </w:r>
    </w:p>
    <w:p>
      <w:pPr>
        <w:keepNext/>
        <w:keepLines/>
        <w:spacing w:beforeLines="30" w:before="90" w:afterLines="20" w:after="60"/>
        <w:outlineLvl w:val="1"/>
      </w:pPr>
      <w:r>
        <w:rPr>
          <w:rFonts w:ascii="Times New Roman" w:hAnsi="Times New Roman" w:eastAsia="黑体" w:cs="Times New Roman"/>
          <w:sz w:val="21"/>
          <w:szCs w:val="21"/>
        </w:rPr>
        <w:t xml:space="preserve">6.1  测试环境</w:t>
      </w:r>
    </w:p>
    <w:p>
      <w:pPr>
        <w:spacing w:line="300" w:lineRule="auto"/>
        <w:ind w:firstLineChars="200" w:firstLine="420"/>
      </w:pPr>
      <w:r>
        <w:rPr>
          <w:rFonts w:ascii="Times New Roman" w:hAnsi="Times New Roman" w:eastAsia="宋体" w:cs="Times New Roman"/>
          <w:sz w:val="21"/>
          <w:szCs w:val="21"/>
        </w:rPr>
        <w:t xml:space="preserve">系统测试环境配置如表 5 所示。</w:t>
      </w:r>
    </w:p>
    <w:p>
      <w:pPr>
        <w:keepNext/>
        <w:keepLines/>
        <w:spacing w:beforeLines="15" w:before="45" w:afterLines="8" w:after="24"/>
        <w:jc w:val="center"/>
      </w:pPr>
      <w:r>
        <w:rPr>
          <w:rFonts w:ascii="Times New Roman" w:hAnsi="Times New Roman" w:eastAsia="黑体" w:cs="Times New Roman"/>
          <w:sz w:val="18"/>
          <w:szCs w:val="18"/>
        </w:rPr>
        <w:t xml:space="preserve">表 5  系统测试环境配置</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1600"/>
        <w:gridCol w:w="2600"/>
        <w:gridCol w:w="4106"/>
      </w:tblGrid>
      <w:tr>
        <w:trPr>
          <w:cantSplit/>
          <w:tblHeader/>
        </w:trPr>
        <w:tc>
          <w:tcPr>
            <w:tcW w:w="16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类别</w:t>
            </w:r>
          </w:p>
        </w:tc>
        <w:tc>
          <w:tcPr>
            <w:tcW w:w="26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配置项</w:t>
            </w:r>
          </w:p>
        </w:tc>
        <w:tc>
          <w:tcPr>
            <w:tcW w:w="410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参数</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服务器</w:t>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CPU / 内存</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 核 / ×× GB</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操作系统</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CentOS ××</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软件环境</w:t>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JDK</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OpenJDK ××</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Spring Boot / MyBatis</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 / ××</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数据库</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MySQL 8.0</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缓存</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Redis ××</w:t>
            </w:r>
          </w:p>
        </w:tc>
      </w:tr>
      <w:tr>
        <w:trPr>
          <w:cantSplit/>
        </w:trPr>
        <w:tc>
          <w:tcPr>
            <w:tcW w:w="1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
            </w:r>
          </w:p>
        </w:tc>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前端框架</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highlight w:val="yellow"/>
              </w:rPr>
              <w:t xml:space="preserve">Vue.js ××</w:t>
            </w:r>
          </w:p>
        </w:tc>
      </w:tr>
      <w:tr>
        <w:trPr>
          <w:cantSplit/>
        </w:trPr>
        <w:tc>
          <w:tcPr>
            <w:tcW w:w="16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测试工具</w:t>
            </w:r>
          </w:p>
        </w:tc>
        <w:tc>
          <w:tcPr>
            <w:tcW w:w="26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性能测试</w:t>
            </w:r>
          </w:p>
        </w:tc>
        <w:tc>
          <w:tcPr>
            <w:tcW w:w="4106"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highlight w:val="yellow"/>
              </w:rPr>
              <w:t xml:space="preserve">Apache JMeter ××</w:t>
            </w:r>
          </w:p>
        </w:tc>
      </w:tr>
    </w:tbl>
    <w:p>
      <w:pPr>
        <w:keepNext/>
        <w:keepLines/>
        <w:spacing w:beforeLines="30" w:before="90" w:afterLines="20" w:after="60"/>
        <w:outlineLvl w:val="1"/>
      </w:pPr>
      <w:r>
        <w:rPr>
          <w:rFonts w:ascii="Times New Roman" w:hAnsi="Times New Roman" w:eastAsia="黑体" w:cs="Times New Roman"/>
          <w:sz w:val="21"/>
          <w:szCs w:val="21"/>
        </w:rPr>
        <w:t xml:space="preserve">6.2  功能测试</w:t>
      </w:r>
    </w:p>
    <w:p>
      <w:pPr>
        <w:spacing w:beforeLines="8" w:before="24" w:line="300" w:lineRule="auto"/>
        <w:ind w:firstLineChars="200" w:firstLine="420"/>
      </w:pPr>
      <w:r>
        <w:rPr>
          <w:rFonts w:ascii="Times New Roman" w:hAnsi="Times New Roman" w:eastAsia="宋体" w:cs="Times New Roman"/>
          <w:sz w:val="21"/>
          <w:szCs w:val="21"/>
        </w:rPr>
        <w:t xml:space="preserve">按五大功能模块设计测试用例，覆盖正常流程、边界条件与异常输入，测试结果如表 6 所示。</w:t>
      </w:r>
    </w:p>
    <w:p>
      <w:pPr>
        <w:keepNext/>
        <w:keepLines/>
        <w:spacing w:beforeLines="15" w:before="45" w:afterLines="8" w:after="24"/>
        <w:jc w:val="center"/>
      </w:pPr>
      <w:r>
        <w:rPr>
          <w:rFonts w:ascii="Times New Roman" w:hAnsi="Times New Roman" w:eastAsia="黑体" w:cs="Times New Roman"/>
          <w:sz w:val="18"/>
          <w:szCs w:val="18"/>
        </w:rPr>
        <w:t xml:space="preserve">表 6  功能测试结果</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1300"/>
        <w:gridCol w:w="900"/>
        <w:gridCol w:w="900"/>
        <w:gridCol w:w="1100"/>
        <w:gridCol w:w="4106"/>
      </w:tblGrid>
      <w:tr>
        <w:trPr>
          <w:cantSplit/>
          <w:tblHeader/>
        </w:trPr>
        <w:tc>
          <w:tcPr>
            <w:tcW w:w="13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功能模块</w:t>
            </w:r>
          </w:p>
        </w:tc>
        <w:tc>
          <w:tcPr>
            <w:tcW w:w="9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用例数</w:t>
            </w:r>
          </w:p>
        </w:tc>
        <w:tc>
          <w:tcPr>
            <w:tcW w:w="9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通过数</w:t>
            </w:r>
          </w:p>
        </w:tc>
        <w:tc>
          <w:tcPr>
            <w:tcW w:w="11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通过率 / %</w:t>
            </w:r>
          </w:p>
        </w:tc>
        <w:tc>
          <w:tcPr>
            <w:tcW w:w="410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主要覆盖场景</w:t>
            </w:r>
          </w:p>
        </w:tc>
      </w:tr>
      <w:tr>
        <w:trPr>
          <w:cantSplit/>
        </w:trPr>
        <w:tc>
          <w:tcPr>
            <w:tcW w:w="13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积分管理</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规则配置、分值核算、年度上限校验、重复申报拦截</w:t>
            </w:r>
          </w:p>
        </w:tc>
      </w:tr>
      <w:tr>
        <w:trPr>
          <w:cantSplit/>
        </w:trPr>
        <w:tc>
          <w:tcPr>
            <w:tcW w:w="13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人才画像</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标签生成、权重更新、低权重标签清理、画像渲染</w:t>
            </w:r>
          </w:p>
        </w:tc>
      </w:tr>
      <w:tr>
        <w:trPr>
          <w:cantSplit/>
        </w:trPr>
        <w:tc>
          <w:tcPr>
            <w:tcW w:w="13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统计分析</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多维交叉统计、排行榜、数据下钻</w:t>
            </w:r>
          </w:p>
        </w:tc>
      </w:tr>
      <w:tr>
        <w:trPr>
          <w:cantSplit/>
        </w:trPr>
        <w:tc>
          <w:tcPr>
            <w:tcW w:w="13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申报审核</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状态流转、越权拦截、驳回重提、终审触发计分</w:t>
            </w:r>
          </w:p>
        </w:tc>
      </w:tr>
      <w:tr>
        <w:trPr>
          <w:cantSplit/>
        </w:trPr>
        <w:tc>
          <w:tcPr>
            <w:tcW w:w="13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系统管理</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角色授权、令牌过期与刷新、审计日志</w:t>
            </w:r>
          </w:p>
        </w:tc>
      </w:tr>
      <w:tr>
        <w:trPr>
          <w:cantSplit/>
        </w:trPr>
        <w:tc>
          <w:tcPr>
            <w:tcW w:w="13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合计</w:t>
            </w:r>
          </w:p>
        </w:tc>
        <w:tc>
          <w:tcPr>
            <w:tcW w:w="9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9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1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4106"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w:t>
            </w:r>
          </w:p>
        </w:tc>
      </w:tr>
    </w:tbl>
    <w:p>
      <w:pPr>
        <w:keepNext/>
        <w:keepLines/>
        <w:spacing w:beforeLines="30" w:before="90" w:afterLines="20" w:after="60"/>
        <w:outlineLvl w:val="1"/>
      </w:pPr>
      <w:r>
        <w:rPr>
          <w:rFonts w:ascii="Times New Roman" w:hAnsi="Times New Roman" w:eastAsia="黑体" w:cs="Times New Roman"/>
          <w:sz w:val="21"/>
          <w:szCs w:val="21"/>
        </w:rPr>
        <w:t xml:space="preserve">6.3  性能测试</w:t>
      </w:r>
    </w:p>
    <w:p>
      <w:pPr>
        <w:spacing w:beforeLines="8" w:before="24" w:line="300" w:lineRule="auto"/>
        <w:ind w:firstLineChars="200" w:firstLine="420"/>
      </w:pPr>
      <w:r>
        <w:rPr>
          <w:rFonts w:ascii="Times New Roman" w:hAnsi="Times New Roman" w:eastAsia="宋体" w:cs="Times New Roman"/>
          <w:sz w:val="21"/>
          <w:szCs w:val="21"/>
        </w:rPr>
        <w:t xml:space="preserve">采用 Apache JMeter 对积分查询、画像生成与排行榜统计三类核心接口进行压力测试，并对比开启与关闭 Redis 缓存两种条件下的表现，结果如表 7 所示。</w:t>
      </w:r>
    </w:p>
    <w:p>
      <w:pPr>
        <w:keepNext/>
        <w:keepLines/>
        <w:spacing w:beforeLines="15" w:before="45" w:afterLines="8" w:after="24"/>
        <w:jc w:val="center"/>
      </w:pPr>
      <w:r>
        <w:rPr>
          <w:rFonts w:ascii="Times New Roman" w:hAnsi="Times New Roman" w:eastAsia="黑体" w:cs="Times New Roman"/>
          <w:sz w:val="18"/>
          <w:szCs w:val="18"/>
        </w:rPr>
        <w:t xml:space="preserve">表 7  核心接口性能测试结果</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1300"/>
        <w:gridCol w:w="1600"/>
        <w:gridCol w:w="1600"/>
        <w:gridCol w:w="1500"/>
        <w:gridCol w:w="1000"/>
        <w:gridCol w:w="1306"/>
      </w:tblGrid>
      <w:tr>
        <w:trPr>
          <w:cantSplit/>
          <w:tblHeader/>
        </w:trPr>
        <w:tc>
          <w:tcPr>
            <w:tcW w:w="13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并发用户数</w:t>
            </w:r>
          </w:p>
        </w:tc>
        <w:tc>
          <w:tcPr>
            <w:tcW w:w="16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平均响应时间 / ms</w:t>
            </w:r>
          </w:p>
        </w:tc>
        <w:tc>
          <w:tcPr>
            <w:tcW w:w="16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95% 响应时间 / ms</w:t>
            </w:r>
          </w:p>
        </w:tc>
        <w:tc>
          <w:tcPr>
            <w:tcW w:w="15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吞吐量 / (次·s⁻¹)</w:t>
            </w:r>
          </w:p>
        </w:tc>
        <w:tc>
          <w:tcPr>
            <w:tcW w:w="10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错误率 / %</w:t>
            </w:r>
          </w:p>
        </w:tc>
        <w:tc>
          <w:tcPr>
            <w:tcW w:w="130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关闭缓存平均响应 / ms</w:t>
            </w:r>
          </w:p>
        </w:tc>
      </w:tr>
      <w:tr>
        <w:trPr>
          <w:cantSplit/>
        </w:trPr>
        <w:tc>
          <w:tcPr>
            <w:tcW w:w="13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50</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0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3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13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100</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0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3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13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200</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6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0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3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13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rPr>
              <w:t xml:space="preserve">500</w:t>
            </w:r>
          </w:p>
        </w:tc>
        <w:tc>
          <w:tcPr>
            <w:tcW w:w="16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6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0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30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bl>
    <w:p>
      <w:pPr>
        <w:keepNext/>
        <w:keepLines/>
        <w:spacing w:beforeLines="30" w:before="90" w:afterLines="20" w:after="60"/>
        <w:outlineLvl w:val="1"/>
      </w:pPr>
      <w:r>
        <w:rPr>
          <w:rFonts w:ascii="Times New Roman" w:hAnsi="Times New Roman" w:eastAsia="黑体" w:cs="Times New Roman"/>
          <w:sz w:val="21"/>
          <w:szCs w:val="21"/>
        </w:rPr>
        <w:t xml:space="preserve">6.4  标签质量评价</w:t>
      </w:r>
    </w:p>
    <w:p>
      <w:pPr>
        <w:spacing w:beforeLines="8" w:before="24" w:line="300" w:lineRule="auto"/>
        <w:ind w:firstLineChars="200" w:firstLine="420"/>
      </w:pPr>
      <w:r>
        <w:rPr>
          <w:rFonts w:ascii="Times New Roman" w:hAnsi="Times New Roman" w:eastAsia="宋体" w:cs="Times New Roman"/>
          <w:sz w:val="21"/>
          <w:szCs w:val="21"/>
        </w:rPr>
        <w:t xml:space="preserve">为评价动态标签的准确性，从 270 名科研人员中随机抽取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21"/>
          <w:szCs w:val="21"/>
        </w:rPr>
        <w:t xml:space="preserve"> 名，由 3 名科研管理专家依据其近三年科研档案独立完成能力标签人工标注，以三人一致的标注结果作为金标准，与系统自动生成的标签进行比对，计算准确率、召回率与 </w:t>
      </w:r>
      <w:r>
        <w:rPr>
          <w:rFonts w:ascii="Times New Roman" w:hAnsi="Times New Roman" w:eastAsia="宋体" w:cs="Times New Roman"/>
          <w:i/>
          <w:iCs/>
          <w:sz w:val="21"/>
          <w:szCs w:val="21"/>
        </w:rPr>
        <w:t xml:space="preserve">F</w:t>
      </w:r>
      <w:r>
        <w:rPr>
          <w:rFonts w:ascii="Times New Roman" w:hAnsi="Times New Roman" w:eastAsia="宋体" w:cs="Times New Roman"/>
          <w:sz w:val="21"/>
          <w:szCs w:val="21"/>
        </w:rPr>
        <w:t xml:space="preserve">1 值，并以 Kappa 系数评价专家标注的一致性。系统共生成 32 个动态能力标签，评价结果为：准确率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21"/>
          <w:szCs w:val="21"/>
        </w:rPr>
        <w:t xml:space="preserve">%，召回率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21"/>
          <w:szCs w:val="21"/>
        </w:rPr>
        <w:t xml:space="preserve">%，</w:t>
      </w:r>
      <w:r>
        <w:rPr>
          <w:rFonts w:ascii="Times New Roman" w:hAnsi="Times New Roman" w:eastAsia="宋体" w:cs="Times New Roman"/>
          <w:i/>
          <w:iCs/>
          <w:sz w:val="21"/>
          <w:szCs w:val="21"/>
        </w:rPr>
        <w:t xml:space="preserve">F</w:t>
      </w:r>
      <w:r>
        <w:rPr>
          <w:rFonts w:ascii="Times New Roman" w:hAnsi="Times New Roman" w:eastAsia="宋体" w:cs="Times New Roman"/>
          <w:sz w:val="21"/>
          <w:szCs w:val="21"/>
        </w:rPr>
        <w:t xml:space="preserve">1 值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21"/>
          <w:szCs w:val="21"/>
        </w:rPr>
        <w:t xml:space="preserve">，专家标注 Kappa 系数 </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21"/>
          <w:szCs w:val="21"/>
        </w:rPr>
        <w:t xml:space="preserve">，表明标签体系与专家判断具有较好的一致性。</w:t>
      </w:r>
    </w:p>
    <w:p>
      <w:pPr>
        <w:keepNext/>
        <w:keepLines/>
        <w:spacing w:beforeLines="30" w:before="90" w:afterLines="20" w:after="60"/>
        <w:outlineLvl w:val="1"/>
      </w:pPr>
      <w:r>
        <w:rPr>
          <w:rFonts w:ascii="Times New Roman" w:hAnsi="Times New Roman" w:eastAsia="黑体" w:cs="Times New Roman"/>
          <w:sz w:val="21"/>
          <w:szCs w:val="21"/>
        </w:rPr>
        <w:t xml:space="preserve">6.5  应用效果分析</w:t>
      </w:r>
    </w:p>
    <w:p>
      <w:pPr>
        <w:spacing w:beforeLines="8" w:before="24" w:line="300" w:lineRule="auto"/>
        <w:ind w:firstLineChars="200" w:firstLine="420"/>
      </w:pPr>
      <w:r>
        <w:rPr>
          <w:rFonts w:ascii="Times New Roman" w:hAnsi="Times New Roman" w:eastAsia="宋体" w:cs="Times New Roman"/>
          <w:sz w:val="21"/>
          <w:szCs w:val="21"/>
        </w:rPr>
        <w:t xml:space="preserve">以系统上线前 3 个月的科研管理台账与上线后 3 个月的系统日志为数据源，对比主要业务指标，结果如表 8 所示。</w:t>
      </w:r>
    </w:p>
    <w:p>
      <w:pPr>
        <w:keepNext/>
        <w:keepLines/>
        <w:spacing w:beforeLines="15" w:before="45" w:afterLines="8" w:after="24"/>
        <w:jc w:val="center"/>
      </w:pPr>
      <w:r>
        <w:rPr>
          <w:rFonts w:ascii="Times New Roman" w:hAnsi="Times New Roman" w:eastAsia="黑体" w:cs="Times New Roman"/>
          <w:sz w:val="18"/>
          <w:szCs w:val="18"/>
        </w:rPr>
        <w:t xml:space="preserve">表 8  系统上线前后应用效果对比</w:t>
      </w:r>
    </w:p>
    <w:tbl>
      <w:tblPr>
        <w:tblW w:w="8306" w:type="dxa"/>
        <w:jc w:val="center"/>
        <w:tblBorders>
          <w:top w:val="nil"/>
          <w:left w:val="nil"/>
          <w:bottom w:val="nil"/>
          <w:right w:val="nil"/>
          <w:insideH w:val="nil"/>
          <w:insideV w:val="nil"/>
        </w:tblBorders>
        <w:tblCellMar>
          <w:top w:w="28" w:type="dxa"/>
          <w:left w:w="64" w:type="dxa"/>
          <w:bottom w:w="28" w:type="dxa"/>
          <w:right w:w="64" w:type="dxa"/>
        </w:tblCellMar>
      </w:tblPr>
      <w:tblGrid>
        <w:gridCol w:w="2600"/>
        <w:gridCol w:w="2100"/>
        <w:gridCol w:w="2100"/>
        <w:gridCol w:w="1506"/>
      </w:tblGrid>
      <w:tr>
        <w:trPr>
          <w:cantSplit/>
          <w:tblHeader/>
        </w:trPr>
        <w:tc>
          <w:tcPr>
            <w:tcW w:w="26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指标</w:t>
            </w:r>
          </w:p>
        </w:tc>
        <w:tc>
          <w:tcPr>
            <w:tcW w:w="21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上线前（线下）</w:t>
            </w:r>
          </w:p>
        </w:tc>
        <w:tc>
          <w:tcPr>
            <w:tcW w:w="2100"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上线后（系统）</w:t>
            </w:r>
          </w:p>
        </w:tc>
        <w:tc>
          <w:tcPr>
            <w:tcW w:w="1506" w:type="dxa"/>
            <w:tcBorders>
              <w:top w:val="single" w:sz="12" w:space="0" w:color="auto"/>
              <w:left w:val="nil"/>
              <w:bottom w:val="single" w:sz="6" w:space="0" w:color="auto"/>
              <w:right w:val="nil"/>
            </w:tcBorders>
            <w:vAlign w:val="center"/>
          </w:tcPr>
          <w:p>
            <w:pPr>
              <w:jc w:val="center"/>
            </w:pPr>
            <w:r>
              <w:rPr>
                <w:rFonts w:ascii="Times New Roman" w:hAnsi="Times New Roman" w:eastAsia="宋体" w:cs="Times New Roman"/>
                <w:b/>
                <w:bCs/>
                <w:sz w:val="18"/>
                <w:szCs w:val="18"/>
              </w:rPr>
              <w:t xml:space="preserve">变化</w:t>
            </w:r>
          </w:p>
        </w:tc>
      </w:tr>
      <w:tr>
        <w:trPr>
          <w:cantSplit/>
        </w:trPr>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申报单量 / 件</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平均审核周期 / d</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超时未办结单量 / 件</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积分核算差错数 / 件</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w:t>
            </w:r>
          </w:p>
        </w:tc>
        <w:tc>
          <w:tcPr>
            <w:tcW w:w="15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r>
        <w:trPr>
          <w:cantSplit/>
        </w:trPr>
        <w:tc>
          <w:tcPr>
            <w:tcW w:w="2600" w:type="dxa"/>
            <w:tcBorders>
              <w:top w:val="nil" w:sz="0" w:space="0" w:color="auto"/>
              <w:left w:val="nil"/>
              <w:bottom w:val="nil" w:sz="0" w:space="0" w:color="auto"/>
              <w:right w:val="nil"/>
            </w:tcBorders>
            <w:vAlign w:val="center"/>
          </w:tcPr>
          <w:p>
            <w:pPr>
              <w:jc w:val="left"/>
            </w:pPr>
            <w:r>
              <w:rPr>
                <w:rFonts w:ascii="Times New Roman" w:hAnsi="Times New Roman" w:eastAsia="宋体" w:cs="Times New Roman"/>
                <w:sz w:val="18"/>
                <w:szCs w:val="18"/>
              </w:rPr>
              <w:t xml:space="preserve">积分核算人为差错率 / %</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5</w:t>
            </w:r>
          </w:p>
        </w:tc>
        <w:tc>
          <w:tcPr>
            <w:tcW w:w="2100"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0</w:t>
            </w:r>
          </w:p>
        </w:tc>
        <w:tc>
          <w:tcPr>
            <w:tcW w:w="1506" w:type="dxa"/>
            <w:tcBorders>
              <w:top w:val="nil" w:sz="0" w:space="0" w:color="auto"/>
              <w:left w:val="nil"/>
              <w:bottom w:val="nil" w:sz="0" w:space="0" w:color="auto"/>
              <w:right w:val="nil"/>
            </w:tcBorders>
            <w:vAlign w:val="center"/>
          </w:tcPr>
          <w:p>
            <w:pPr>
              <w:jc w:val="center"/>
            </w:pPr>
            <w:r>
              <w:rPr>
                <w:rFonts w:ascii="Times New Roman" w:hAnsi="Times New Roman" w:eastAsia="宋体" w:cs="Times New Roman"/>
                <w:sz w:val="18"/>
                <w:szCs w:val="18"/>
              </w:rPr>
              <w:t xml:space="preserve">−5</w:t>
            </w:r>
          </w:p>
        </w:tc>
      </w:tr>
      <w:tr>
        <w:trPr>
          <w:cantSplit/>
        </w:trPr>
        <w:tc>
          <w:tcPr>
            <w:tcW w:w="2600" w:type="dxa"/>
            <w:tcBorders>
              <w:top w:val="nil" w:sz="0" w:space="0" w:color="auto"/>
              <w:left w:val="nil"/>
              <w:bottom w:val="single" w:sz="12" w:space="0" w:color="auto"/>
              <w:right w:val="nil"/>
            </w:tcBorders>
            <w:vAlign w:val="center"/>
          </w:tcPr>
          <w:p>
            <w:pPr>
              <w:jc w:val="left"/>
            </w:pPr>
            <w:r>
              <w:rPr>
                <w:rFonts w:ascii="Times New Roman" w:hAnsi="Times New Roman" w:eastAsia="宋体" w:cs="Times New Roman"/>
                <w:sz w:val="18"/>
                <w:szCs w:val="18"/>
              </w:rPr>
              <w:t xml:space="preserve">人均积分查询次数 / (次·月⁻¹)</w:t>
            </w:r>
          </w:p>
        </w:tc>
        <w:tc>
          <w:tcPr>
            <w:tcW w:w="21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2100"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c>
          <w:tcPr>
            <w:tcW w:w="1506" w:type="dxa"/>
            <w:tcBorders>
              <w:top w:val="nil" w:sz="0" w:space="0" w:color="auto"/>
              <w:left w:val="nil"/>
              <w:bottom w:val="single" w:sz="12" w:space="0" w:color="auto"/>
              <w:right w:val="nil"/>
            </w:tcBorders>
            <w:vAlign w:val="center"/>
          </w:tcPr>
          <w:p>
            <w:pPr>
              <w:jc w:val="center"/>
            </w:pPr>
            <w:r>
              <w:rPr>
                <w:rFonts w:ascii="Times New Roman" w:hAnsi="Times New Roman" w:eastAsia="宋体" w:cs="Times New Roman"/>
                <w:sz w:val="18"/>
                <w:szCs w:val="18"/>
                <w:highlight w:val="yellow"/>
              </w:rPr>
              <w:t xml:space="preserve">××</w:t>
            </w:r>
          </w:p>
        </w:tc>
      </w:tr>
    </w:tbl>
    <w:p>
      <w:pPr>
        <w:spacing w:beforeLines="8" w:before="24" w:line="300" w:lineRule="auto"/>
        <w:ind w:firstLineChars="200" w:firstLine="420"/>
      </w:pPr>
      <w:r>
        <w:rPr>
          <w:rFonts w:ascii="Times New Roman" w:hAnsi="Times New Roman" w:eastAsia="宋体" w:cs="Times New Roman"/>
          <w:sz w:val="21"/>
          <w:szCs w:val="21"/>
        </w:rPr>
        <w:t xml:space="preserve">由表 8 可见，系统上线后申报与审核环节实现了全流程线上化，审核周期与核算差错均显著下降，排行与画像信息的实时可视化也提升了科研人员的参与度。</w:t>
      </w:r>
    </w:p>
    <w:p>
      <w:pPr>
        <w:keepNext/>
        <w:keepLines/>
        <w:spacing w:beforeLines="50" w:before="150" w:afterLines="30" w:after="90"/>
        <w:outlineLvl w:val="0"/>
      </w:pPr>
      <w:r>
        <w:rPr>
          <w:rFonts w:ascii="Times New Roman" w:hAnsi="Times New Roman" w:eastAsia="黑体" w:cs="Times New Roman"/>
          <w:sz w:val="24"/>
          <w:szCs w:val="24"/>
        </w:rPr>
        <w:t xml:space="preserve">7  结论与展望</w:t>
      </w:r>
    </w:p>
    <w:p>
      <w:pPr>
        <w:spacing w:line="300" w:lineRule="auto"/>
        <w:ind w:firstLineChars="200" w:firstLine="420"/>
      </w:pPr>
      <w:r>
        <w:rPr>
          <w:rFonts w:ascii="Times New Roman" w:hAnsi="Times New Roman" w:eastAsia="宋体" w:cs="Times New Roman"/>
          <w:sz w:val="21"/>
          <w:szCs w:val="21"/>
        </w:rPr>
        <w:t xml:space="preserve">本文设计并实现了基于 Spring Boot 与 MyBatis 的疾控科研积分管理系统，融合可配置积分计量与动态标签体系，构建了数据驱动的评价激励闭环。针对多作者成果提出分段权重积分分配模型并给出与守恒型方法的对比；将指数时间衰减前置于行为积分归一化环节，使标签权重、能力维度得分与人才画像形成量纲一致的统一计算链路；基于有限状态机实现了无第三方依赖的轻量级审批工作流引擎。系统在南通市疾病预防控制中心运行期间，审核周期与积分核算差错显著下降，排名与画像信息实现实时可视化，有效支撑了科研人才的精细化评价与激励。</w:t>
      </w:r>
    </w:p>
    <w:p>
      <w:pPr>
        <w:spacing w:line="300" w:lineRule="auto"/>
        <w:ind w:firstLineChars="200" w:firstLine="420"/>
      </w:pPr>
      <w:r>
        <w:rPr>
          <w:rFonts w:ascii="Times New Roman" w:hAnsi="Times New Roman" w:eastAsia="宋体" w:cs="Times New Roman"/>
          <w:sz w:val="21"/>
          <w:szCs w:val="21"/>
        </w:rPr>
        <w:t xml:space="preserve">后续工作将从三方面展开：一是引入数据分析算法开展人才潜力识别与科研产出预测；二是开展 </w:t>
      </w:r>
      <w:r>
        <w:rPr>
          <w:rFonts w:ascii="Times New Roman" w:hAnsi="Times New Roman" w:eastAsia="宋体" w:cs="Times New Roman"/>
          <w:i/>
          <w:iCs/>
          <w:sz w:val="21"/>
          <w:szCs w:val="21"/>
        </w:rPr>
        <w:t xml:space="preserve">α</w:t>
      </w:r>
      <w:r>
        <w:rPr>
          <w:rFonts w:ascii="Times New Roman" w:hAnsi="Times New Roman" w:eastAsia="宋体" w:cs="Times New Roman"/>
          <w:sz w:val="21"/>
          <w:szCs w:val="21"/>
        </w:rPr>
        <w:t xml:space="preserve">、</w:t>
      </w:r>
      <w:r>
        <w:rPr>
          <w:rFonts w:ascii="Times New Roman" w:hAnsi="Times New Roman" w:eastAsia="宋体" w:cs="Times New Roman"/>
          <w:i/>
          <w:iCs/>
          <w:sz w:val="21"/>
          <w:szCs w:val="21"/>
        </w:rPr>
        <w:t xml:space="preserve">λ</w:t>
      </w:r>
      <w:r>
        <w:rPr>
          <w:rFonts w:ascii="Times New Roman" w:hAnsi="Times New Roman" w:eastAsia="宋体" w:cs="Times New Roman"/>
          <w:sz w:val="21"/>
          <w:szCs w:val="21"/>
        </w:rPr>
        <w:t xml:space="preserve"> 等关键参数的敏感性分析，进一步提升评价模型的稳健性；三是拓展系统边界，与人事、财务等相关系统实现数据互通，构建更完善的人才发展数字生态。</w:t>
      </w:r>
    </w:p>
    <w:p>
      <w:pPr>
        <w:spacing w:beforeLines="50" w:before="150" w:afterLines="25" w:after="75"/>
        <w:jc w:val="center"/>
      </w:pPr>
      <w:r>
        <w:rPr>
          <w:rFonts w:ascii="Times New Roman" w:hAnsi="Times New Roman" w:eastAsia="黑体" w:cs="Times New Roman"/>
          <w:sz w:val="24"/>
          <w:szCs w:val="24"/>
        </w:rPr>
        <w:t xml:space="preserve">参考文献</w:t>
      </w:r>
    </w:p>
    <w:p>
      <w:pPr>
        <w:spacing w:afterLines="2" w:after="6" w:line="260" w:lineRule="auto"/>
      </w:pPr>
      <w:r>
        <w:rPr>
          <w:rFonts w:ascii="Times New Roman" w:hAnsi="Times New Roman" w:eastAsia="宋体" w:cs="Times New Roman"/>
          <w:sz w:val="18"/>
          <w:szCs w:val="18"/>
        </w:rPr>
        <w:t xml:space="preserve">[1] </w:t>
      </w:r>
      <w:r>
        <w:rPr>
          <w:rFonts w:ascii="Times New Roman" w:hAnsi="Times New Roman" w:eastAsia="宋体" w:cs="Times New Roman"/>
          <w:sz w:val="18"/>
          <w:szCs w:val="18"/>
        </w:rPr>
        <w:t xml:space="preserve">李涛, 关健, 吴沛新. 卫生政策与管理研究领域科技评价体系的思考和建议[J]. 中华医学科研管理杂志, 2023, 36(4): 259-265.</w:t>
      </w:r>
    </w:p>
    <w:p>
      <w:pPr>
        <w:spacing w:afterLines="2" w:after="6" w:line="260" w:lineRule="auto"/>
      </w:pPr>
      <w:r>
        <w:rPr>
          <w:rFonts w:ascii="Times New Roman" w:hAnsi="Times New Roman" w:eastAsia="宋体" w:cs="Times New Roman"/>
          <w:sz w:val="18"/>
          <w:szCs w:val="18"/>
        </w:rPr>
        <w:t xml:space="preserve">[2] </w:t>
      </w:r>
      <w:r>
        <w:rPr>
          <w:rFonts w:ascii="Times New Roman" w:hAnsi="Times New Roman" w:eastAsia="宋体" w:cs="Times New Roman"/>
          <w:sz w:val="18"/>
          <w:szCs w:val="18"/>
        </w:rPr>
        <w:t xml:space="preserve">沈杨阳. 国家科研管理机构组织颠覆性技术创新的实践路径[J]. 中国科技论坛, 2026(5): 1-11.</w:t>
      </w:r>
    </w:p>
    <w:p>
      <w:pPr>
        <w:spacing w:afterLines="2" w:after="6" w:line="260" w:lineRule="auto"/>
      </w:pPr>
      <w:r>
        <w:rPr>
          <w:rFonts w:ascii="Times New Roman" w:hAnsi="Times New Roman" w:eastAsia="宋体" w:cs="Times New Roman"/>
          <w:sz w:val="18"/>
          <w:szCs w:val="18"/>
        </w:rPr>
        <w:t xml:space="preserve">[3] </w:t>
      </w:r>
      <w:r>
        <w:rPr>
          <w:rFonts w:ascii="Times New Roman" w:hAnsi="Times New Roman" w:eastAsia="宋体" w:cs="Times New Roman"/>
          <w:sz w:val="18"/>
          <w:szCs w:val="18"/>
        </w:rPr>
        <w:t xml:space="preserve">AMARAL P, MAGALHÃES P. Performance-based funding and research productivity: a longitudinal analysis of European universities[J]. Scientometrics, 2024, 129(3): 1587-1612.</w:t>
      </w:r>
    </w:p>
    <w:p>
      <w:pPr>
        <w:spacing w:afterLines="2" w:after="6" w:line="260" w:lineRule="auto"/>
      </w:pPr>
      <w:r>
        <w:rPr>
          <w:rFonts w:ascii="Times New Roman" w:hAnsi="Times New Roman" w:eastAsia="宋体" w:cs="Times New Roman"/>
          <w:sz w:val="18"/>
          <w:szCs w:val="18"/>
        </w:rPr>
        <w:t xml:space="preserve">[4] </w:t>
      </w:r>
      <w:r>
        <w:rPr>
          <w:rFonts w:ascii="Times New Roman" w:hAnsi="Times New Roman" w:eastAsia="宋体" w:cs="Times New Roman"/>
          <w:sz w:val="18"/>
          <w:szCs w:val="18"/>
        </w:rPr>
        <w:t xml:space="preserve">LEI F. Design and implementation assurance of a dynamic indicator system for classified faculty performance evaluation in the post-"breaking the five onlys" era[J]. World Journal of Educational Studies, 2025, 3(9): 16-31.</w:t>
      </w:r>
    </w:p>
    <w:p>
      <w:pPr>
        <w:spacing w:afterLines="2" w:after="6" w:line="260" w:lineRule="auto"/>
      </w:pPr>
      <w:r>
        <w:rPr>
          <w:rFonts w:ascii="Times New Roman" w:hAnsi="Times New Roman" w:eastAsia="宋体" w:cs="Times New Roman"/>
          <w:sz w:val="18"/>
          <w:szCs w:val="18"/>
        </w:rPr>
        <w:t xml:space="preserve">[5] </w:t>
      </w:r>
      <w:r>
        <w:rPr>
          <w:rFonts w:ascii="Times New Roman" w:hAnsi="Times New Roman" w:eastAsia="宋体" w:cs="Times New Roman"/>
          <w:sz w:val="18"/>
          <w:szCs w:val="18"/>
        </w:rPr>
        <w:t xml:space="preserve">ZHANG Y, LI H, WANG J. A lightweight microservice orchestration framework based on Spring Boot for edge-cloud collaborative computing in industrial IoT[J]. IEEE Internet of Things Journal, 2025, 12(4): 5821-5834.</w:t>
      </w:r>
    </w:p>
    <w:p>
      <w:pPr>
        <w:spacing w:afterLines="2" w:after="6" w:line="260" w:lineRule="auto"/>
      </w:pPr>
      <w:r>
        <w:rPr>
          <w:rFonts w:ascii="Times New Roman" w:hAnsi="Times New Roman" w:eastAsia="宋体" w:cs="Times New Roman"/>
          <w:sz w:val="18"/>
          <w:szCs w:val="18"/>
        </w:rPr>
        <w:t xml:space="preserve">[6] </w:t>
      </w:r>
      <w:r>
        <w:rPr>
          <w:rFonts w:ascii="Times New Roman" w:hAnsi="Times New Roman" w:eastAsia="宋体" w:cs="Times New Roman"/>
          <w:sz w:val="18"/>
          <w:szCs w:val="18"/>
        </w:rPr>
        <w:t xml:space="preserve">刘盛, 王占云. 基于SpringBoot+Vue微服务架构的科研样本库管理系统的设计与实现[J]. 信息系统工程, 2025(4): 4-7.</w:t>
      </w:r>
    </w:p>
    <w:p>
      <w:pPr>
        <w:spacing w:afterLines="2" w:after="6" w:line="260" w:lineRule="auto"/>
      </w:pPr>
      <w:r>
        <w:rPr>
          <w:rFonts w:ascii="Times New Roman" w:hAnsi="Times New Roman" w:eastAsia="宋体" w:cs="Times New Roman"/>
          <w:sz w:val="18"/>
          <w:szCs w:val="18"/>
        </w:rPr>
        <w:t xml:space="preserve">[7] </w:t>
      </w:r>
      <w:r>
        <w:rPr>
          <w:rFonts w:ascii="Times New Roman" w:hAnsi="Times New Roman" w:eastAsia="宋体" w:cs="Times New Roman"/>
          <w:sz w:val="18"/>
          <w:szCs w:val="18"/>
        </w:rPr>
        <w:t xml:space="preserve">季甜甜, 刘冬冬. 基于Vue前端性能的研究与分析[J]. 阜阳师范大学学报(自然科学版), 2024, 41(1): 15-22.</w:t>
      </w:r>
    </w:p>
    <w:p>
      <w:pPr>
        <w:spacing w:afterLines="2" w:after="6" w:line="260" w:lineRule="auto"/>
      </w:pPr>
      <w:r>
        <w:rPr>
          <w:rFonts w:ascii="Times New Roman" w:hAnsi="Times New Roman" w:eastAsia="宋体" w:cs="Times New Roman"/>
          <w:sz w:val="18"/>
          <w:szCs w:val="18"/>
        </w:rPr>
        <w:t xml:space="preserve">[8] </w:t>
      </w:r>
      <w:r>
        <w:rPr>
          <w:rFonts w:ascii="Times New Roman" w:hAnsi="Times New Roman" w:eastAsia="宋体" w:cs="Times New Roman"/>
          <w:sz w:val="18"/>
          <w:szCs w:val="18"/>
        </w:rPr>
        <w:t xml:space="preserve">张岩. 基于Spring Boot的公共卫生服务平台设计[J]. 现代信息技术, 2026, 10(1): 105-110, 116.</w:t>
      </w:r>
    </w:p>
    <w:p>
      <w:pPr>
        <w:spacing w:afterLines="2" w:after="6" w:line="260" w:lineRule="auto"/>
      </w:pPr>
      <w:r>
        <w:rPr>
          <w:rFonts w:ascii="Times New Roman" w:hAnsi="Times New Roman" w:eastAsia="宋体" w:cs="Times New Roman"/>
          <w:sz w:val="18"/>
          <w:szCs w:val="18"/>
        </w:rPr>
        <w:t xml:space="preserve">[9] </w:t>
      </w:r>
      <w:r>
        <w:rPr>
          <w:rFonts w:ascii="Times New Roman" w:hAnsi="Times New Roman" w:eastAsia="宋体" w:cs="Times New Roman"/>
          <w:sz w:val="18"/>
          <w:szCs w:val="18"/>
        </w:rPr>
        <w:t xml:space="preserve">罗仕鉴, 郭和睿, 钟素萍, 等. 智能体驱动的产品设计用户画像生成方法[J]. 计算机集成制造系统, 2025, 31(11): 3919-3931.</w:t>
      </w:r>
    </w:p>
    <w:p>
      <w:pPr>
        <w:spacing w:afterLines="2" w:after="6" w:line="260" w:lineRule="auto"/>
      </w:pPr>
      <w:r>
        <w:rPr>
          <w:rFonts w:ascii="Times New Roman" w:hAnsi="Times New Roman" w:eastAsia="宋体" w:cs="Times New Roman"/>
          <w:sz w:val="18"/>
          <w:szCs w:val="18"/>
        </w:rPr>
        <w:t xml:space="preserve">[10] </w:t>
      </w:r>
      <w:r>
        <w:rPr>
          <w:rFonts w:ascii="Times New Roman" w:hAnsi="Times New Roman" w:eastAsia="宋体" w:cs="Times New Roman"/>
          <w:sz w:val="18"/>
          <w:szCs w:val="18"/>
        </w:rPr>
        <w:t xml:space="preserve">白菁昊, 庄俊玺. 面向学习者画像的时序动态标签构建及预测方法[J]. 计算机科学, 2026, 53(5): 79-89.</w:t>
      </w:r>
    </w:p>
    <w:p>
      <w:pPr>
        <w:spacing w:afterLines="2" w:after="6" w:line="260" w:lineRule="auto"/>
      </w:pPr>
      <w:r>
        <w:rPr>
          <w:rFonts w:ascii="Times New Roman" w:hAnsi="Times New Roman" w:eastAsia="宋体" w:cs="Times New Roman"/>
          <w:sz w:val="18"/>
          <w:szCs w:val="18"/>
        </w:rPr>
        <w:t xml:space="preserve">[11] </w:t>
      </w:r>
      <w:r>
        <w:rPr>
          <w:rFonts w:ascii="Times New Roman" w:hAnsi="Times New Roman" w:eastAsia="宋体" w:cs="Times New Roman"/>
          <w:sz w:val="18"/>
          <w:szCs w:val="18"/>
        </w:rPr>
        <w:t xml:space="preserve">来天平, 王永超, 罗盘, 等. 基于角色资源级别的权限控制模型的设计与应用研究[J]. 通信学报, 2024, 45(</w:t>
      </w:r>
      <w:r>
        <w:rPr>
          <w:rFonts w:ascii="Times New Roman" w:hAnsi="Times New Roman" w:eastAsia="宋体" w:cs="Times New Roman"/>
          <w:sz w:val="21"/>
          <w:szCs w:val="21"/>
          <w:highlight w:val="yellow"/>
        </w:rPr>
        <w:t xml:space="preserve">××</w:t>
      </w:r>
      <w:r>
        <w:rPr>
          <w:rFonts w:ascii="Times New Roman" w:hAnsi="Times New Roman" w:eastAsia="宋体" w:cs="Times New Roman"/>
          <w:sz w:val="18"/>
          <w:szCs w:val="18"/>
        </w:rPr>
        <w:t xml:space="preserve">): 153-159.</w:t>
      </w:r>
    </w:p>
    <w:p>
      <w:pPr>
        <w:spacing w:afterLines="2" w:after="6" w:line="260" w:lineRule="auto"/>
      </w:pPr>
      <w:r>
        <w:rPr>
          <w:rFonts w:ascii="Times New Roman" w:hAnsi="Times New Roman" w:eastAsia="宋体" w:cs="Times New Roman"/>
          <w:sz w:val="18"/>
          <w:szCs w:val="18"/>
        </w:rPr>
        <w:t xml:space="preserve">[12] </w:t>
      </w:r>
      <w:r>
        <w:rPr>
          <w:rFonts w:ascii="Times New Roman" w:hAnsi="Times New Roman" w:eastAsia="宋体" w:cs="Times New Roman"/>
          <w:sz w:val="18"/>
          <w:szCs w:val="18"/>
        </w:rPr>
        <w:t xml:space="preserve">DURDAG O, COŞKUNÇAY A. Reconfiguring role-based access control via role clustering[J]. IEEE Access, 2025, 13: 72984-72993.</w:t>
      </w:r>
    </w:p>
    <w:p>
      <w:pPr>
        <w:spacing w:afterLines="2" w:after="6" w:line="260" w:lineRule="auto"/>
      </w:pPr>
      <w:r>
        <w:rPr>
          <w:rFonts w:ascii="Times New Roman" w:hAnsi="Times New Roman" w:eastAsia="宋体" w:cs="Times New Roman"/>
          <w:sz w:val="18"/>
          <w:szCs w:val="18"/>
        </w:rPr>
        <w:t xml:space="preserve">[13] </w:t>
      </w:r>
      <w:r>
        <w:rPr>
          <w:rFonts w:ascii="Times New Roman" w:hAnsi="Times New Roman" w:eastAsia="宋体" w:cs="Times New Roman"/>
          <w:sz w:val="18"/>
          <w:szCs w:val="18"/>
        </w:rPr>
        <w:t xml:space="preserve">魏巍. 基于RBAC模型云资源管理系统访问控制权限的设计与实施[J]. 科学技术创新, 2025(2): 122-125.</w:t>
      </w:r>
    </w:p>
    <w:p>
      <w:pPr>
        <w:spacing w:afterLines="2" w:after="6" w:line="260" w:lineRule="auto"/>
      </w:pPr>
      <w:r>
        <w:rPr>
          <w:rFonts w:ascii="Times New Roman" w:hAnsi="Times New Roman" w:eastAsia="宋体" w:cs="Times New Roman"/>
          <w:sz w:val="18"/>
          <w:szCs w:val="18"/>
        </w:rPr>
        <w:t xml:space="preserve">[14] </w:t>
      </w:r>
      <w:r>
        <w:rPr>
          <w:rFonts w:ascii="Times New Roman" w:hAnsi="Times New Roman" w:eastAsia="宋体" w:cs="Times New Roman"/>
          <w:sz w:val="18"/>
          <w:szCs w:val="18"/>
        </w:rPr>
        <w:t xml:space="preserve">何立富. 前后端分离环境下Spring Security权限系统构建与实现[J]. 电脑编程技巧与维护, 2025(10): 3-7.</w:t>
      </w:r>
    </w:p>
    <w:p>
      <w:pPr>
        <w:spacing w:afterLines="2" w:after="6" w:line="260" w:lineRule="auto"/>
      </w:pPr>
      <w:r>
        <w:rPr>
          <w:rFonts w:ascii="Times New Roman" w:hAnsi="Times New Roman" w:eastAsia="宋体" w:cs="Times New Roman"/>
          <w:sz w:val="18"/>
          <w:szCs w:val="18"/>
        </w:rPr>
        <w:t xml:space="preserve">[15] </w:t>
      </w:r>
      <w:r>
        <w:rPr>
          <w:rFonts w:ascii="Times New Roman" w:hAnsi="Times New Roman" w:eastAsia="宋体" w:cs="Times New Roman"/>
          <w:sz w:val="18"/>
          <w:szCs w:val="18"/>
        </w:rPr>
        <w:t xml:space="preserve">WANG Y C, YANG J Y, WANG Z L. kRedis: multi-tenant in-memory key-value cache partitioning using efficient random sampling-based LRU model[J]. IEEE Transactions on Cloud Computing, 2023, 11(4): 1-18.</w:t>
      </w:r>
    </w:p>
    <w:p>
      <w:pPr>
        <w:spacing w:afterLines="2" w:after="6" w:line="260" w:lineRule="auto"/>
      </w:pPr>
      <w:r>
        <w:rPr>
          <w:rFonts w:ascii="Times New Roman" w:hAnsi="Times New Roman" w:eastAsia="宋体" w:cs="Times New Roman"/>
          <w:sz w:val="18"/>
          <w:szCs w:val="18"/>
        </w:rPr>
        <w:t xml:space="preserve">[16] </w:t>
      </w:r>
      <w:r>
        <w:rPr>
          <w:rFonts w:ascii="Times New Roman" w:hAnsi="Times New Roman" w:eastAsia="宋体" w:cs="Times New Roman"/>
          <w:sz w:val="18"/>
          <w:szCs w:val="18"/>
        </w:rPr>
        <w:t xml:space="preserve">卢超, 杨朝树, 姚政竹, 等. 基于持久内存的B+树索引优化综述[J]. 计算机科学, 2026, 53(1): 77-88.</w:t>
      </w:r>
    </w:p>
    <w:p>
      <w:pPr>
        <w:pBdr>
          <w:bottom w:val="single" w:sz="6" w:space="1" w:color="auto"/>
        </w:pBdr>
        <w:spacing w:beforeLines="25" w:before="75"/>
      </w:pPr>
      <w:r>
        <w:rPr>
          <w:rFonts w:ascii="Times New Roman" w:hAnsi="Times New Roman" w:eastAsia="宋体" w:cs="Times New Roman"/>
          <w:sz w:val="18"/>
          <w:szCs w:val="18"/>
        </w:rPr>
        <w:t xml:space="preserve"/>
      </w:r>
    </w:p>
    <w:p>
      <w:pPr>
        <w:spacing w:afterLines="4" w:after="12" w:line="260" w:lineRule="auto"/>
      </w:pPr>
      <w:r>
        <w:rPr>
          <w:rFonts w:ascii="Times New Roman" w:hAnsi="Times New Roman" w:eastAsia="黑体" w:cs="Times New Roman"/>
          <w:sz w:val="18"/>
          <w:szCs w:val="18"/>
        </w:rPr>
        <w:t xml:space="preserve">基金项目：</w:t>
      </w:r>
      <w:r>
        <w:rPr>
          <w:rFonts w:ascii="Times New Roman" w:hAnsi="Times New Roman" w:eastAsia="宋体" w:cs="Times New Roman"/>
          <w:sz w:val="21"/>
          <w:szCs w:val="21"/>
          <w:highlight w:val="yellow"/>
        </w:rPr>
        <w:t xml:space="preserve">××××（项目编号：××××）</w:t>
      </w:r>
      <w:r>
        <w:rPr>
          <w:rFonts w:ascii="Times New Roman" w:hAnsi="Times New Roman" w:eastAsia="宋体" w:cs="Times New Roman"/>
          <w:color w:val="808080"/>
          <w:sz w:val="18"/>
          <w:szCs w:val="18"/>
        </w:rPr>
        <w:t xml:space="preserve">（无基金资助请整段删除）</w:t>
      </w:r>
    </w:p>
    <w:p>
      <w:pPr>
        <w:spacing w:line="260" w:lineRule="auto"/>
      </w:pPr>
      <w:r>
        <w:rPr>
          <w:rFonts w:ascii="Times New Roman" w:hAnsi="Times New Roman" w:eastAsia="黑体" w:cs="Times New Roman"/>
          <w:sz w:val="18"/>
          <w:szCs w:val="18"/>
        </w:rPr>
        <w:t xml:space="preserve">作者简介：</w:t>
      </w:r>
      <w:r>
        <w:rPr>
          <w:rFonts w:ascii="Times New Roman" w:hAnsi="Times New Roman" w:eastAsia="宋体" w:cs="Times New Roman"/>
          <w:sz w:val="18"/>
          <w:szCs w:val="18"/>
        </w:rPr>
        <w:t xml:space="preserve">杨文超（</w:t>
      </w:r>
      <w:r>
        <w:rPr>
          <w:rFonts w:ascii="Times New Roman" w:hAnsi="Times New Roman" w:eastAsia="宋体" w:cs="Times New Roman"/>
          <w:sz w:val="21"/>
          <w:szCs w:val="21"/>
          <w:highlight w:val="yellow"/>
        </w:rPr>
        <w:t xml:space="preserve">19××</w:t>
      </w:r>
      <w:r>
        <w:rPr>
          <w:rFonts w:ascii="Times New Roman" w:hAnsi="Times New Roman" w:eastAsia="宋体" w:cs="Times New Roman"/>
          <w:sz w:val="18"/>
          <w:szCs w:val="18"/>
        </w:rPr>
        <w:t xml:space="preserve">—），</w:t>
      </w:r>
      <w:r>
        <w:rPr>
          <w:rFonts w:ascii="Times New Roman" w:hAnsi="Times New Roman" w:eastAsia="宋体" w:cs="Times New Roman"/>
          <w:sz w:val="21"/>
          <w:szCs w:val="21"/>
          <w:highlight w:val="yellow"/>
        </w:rPr>
        <w:t xml:space="preserve">性别</w:t>
      </w:r>
      <w:r>
        <w:rPr>
          <w:rFonts w:ascii="Times New Roman" w:hAnsi="Times New Roman" w:eastAsia="宋体" w:cs="Times New Roman"/>
          <w:sz w:val="18"/>
          <w:szCs w:val="18"/>
        </w:rPr>
        <w:t xml:space="preserve">，</w:t>
      </w:r>
      <w:r>
        <w:rPr>
          <w:rFonts w:ascii="Times New Roman" w:hAnsi="Times New Roman" w:eastAsia="宋体" w:cs="Times New Roman"/>
          <w:sz w:val="21"/>
          <w:szCs w:val="21"/>
          <w:highlight w:val="yellow"/>
        </w:rPr>
        <w:t xml:space="preserve">籍贯</w:t>
      </w:r>
      <w:r>
        <w:rPr>
          <w:rFonts w:ascii="Times New Roman" w:hAnsi="Times New Roman" w:eastAsia="宋体" w:cs="Times New Roman"/>
          <w:sz w:val="18"/>
          <w:szCs w:val="18"/>
        </w:rPr>
        <w:t xml:space="preserve">人，</w:t>
      </w:r>
      <w:r>
        <w:rPr>
          <w:rFonts w:ascii="Times New Roman" w:hAnsi="Times New Roman" w:eastAsia="宋体" w:cs="Times New Roman"/>
          <w:sz w:val="21"/>
          <w:szCs w:val="21"/>
          <w:highlight w:val="yellow"/>
        </w:rPr>
        <w:t xml:space="preserve">职称/学历</w:t>
      </w:r>
      <w:r>
        <w:rPr>
          <w:rFonts w:ascii="Times New Roman" w:hAnsi="Times New Roman" w:eastAsia="宋体" w:cs="Times New Roman"/>
          <w:sz w:val="18"/>
          <w:szCs w:val="18"/>
        </w:rPr>
        <w:t xml:space="preserve">，主要研究方向为科研管理信息化、公共卫生数据分析。E-mail：</w:t>
      </w:r>
      <w:r>
        <w:rPr>
          <w:rFonts w:ascii="Times New Roman" w:hAnsi="Times New Roman" w:eastAsia="宋体" w:cs="Times New Roman"/>
          <w:sz w:val="21"/>
          <w:szCs w:val="21"/>
          <w:highlight w:val="yellow"/>
        </w:rPr>
        <w:t xml:space="preserve">××@××</w:t>
      </w:r>
    </w:p>
    <w:sectPr w:rsidR="005B51E2" w:rsidRPr="000B2B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6BC65" w14:textId="77777777" w:rsidR="005D75C4" w:rsidRDefault="005D75C4" w:rsidP="005B51E2">
      <w:pPr>
        <w:spacing w:after="0" w:line="240" w:lineRule="auto"/>
        <w:rPr>
          <w:rFonts w:hint="eastAsia"/>
        </w:rPr>
      </w:pPr>
      <w:r>
        <w:separator/>
      </w:r>
    </w:p>
  </w:endnote>
  <w:endnote w:type="continuationSeparator" w:id="0">
    <w:p w14:paraId="12EE1DD0" w14:textId="77777777" w:rsidR="005D75C4" w:rsidRDefault="005D75C4" w:rsidP="005B51E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AAC15" w14:textId="77777777" w:rsidR="005D75C4" w:rsidRDefault="005D75C4" w:rsidP="005B51E2">
      <w:pPr>
        <w:spacing w:after="0" w:line="240" w:lineRule="auto"/>
        <w:rPr>
          <w:rFonts w:hint="eastAsia"/>
        </w:rPr>
      </w:pPr>
      <w:r>
        <w:separator/>
      </w:r>
    </w:p>
  </w:footnote>
  <w:footnote w:type="continuationSeparator" w:id="0">
    <w:p w14:paraId="3F969622" w14:textId="77777777" w:rsidR="005D75C4" w:rsidRDefault="005D75C4" w:rsidP="005B51E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C8B"/>
    <w:multiLevelType w:val="hybridMultilevel"/>
    <w:tmpl w:val="C9BCEF2C"/>
    <w:lvl w:ilvl="0" w:tplc="77A0A8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69414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E3D08"/>
    <w:rsid w:val="00001389"/>
    <w:rsid w:val="00021476"/>
    <w:rsid w:val="00030E9E"/>
    <w:rsid w:val="0003457F"/>
    <w:rsid w:val="00047837"/>
    <w:rsid w:val="00086AF0"/>
    <w:rsid w:val="0009541E"/>
    <w:rsid w:val="000B2A1D"/>
    <w:rsid w:val="000B2B95"/>
    <w:rsid w:val="000B528F"/>
    <w:rsid w:val="000D662A"/>
    <w:rsid w:val="000E77BA"/>
    <w:rsid w:val="00102829"/>
    <w:rsid w:val="00105192"/>
    <w:rsid w:val="00105E66"/>
    <w:rsid w:val="00113A0C"/>
    <w:rsid w:val="00121E97"/>
    <w:rsid w:val="00137F41"/>
    <w:rsid w:val="00141A88"/>
    <w:rsid w:val="0015225F"/>
    <w:rsid w:val="001650C7"/>
    <w:rsid w:val="0016734A"/>
    <w:rsid w:val="00185434"/>
    <w:rsid w:val="00195740"/>
    <w:rsid w:val="001A14C5"/>
    <w:rsid w:val="001A70A1"/>
    <w:rsid w:val="00210DD2"/>
    <w:rsid w:val="00225CDE"/>
    <w:rsid w:val="0026328B"/>
    <w:rsid w:val="00274CDD"/>
    <w:rsid w:val="0029409F"/>
    <w:rsid w:val="002B1675"/>
    <w:rsid w:val="002C1EE2"/>
    <w:rsid w:val="002C433D"/>
    <w:rsid w:val="002E6926"/>
    <w:rsid w:val="0032250C"/>
    <w:rsid w:val="00345497"/>
    <w:rsid w:val="0036506E"/>
    <w:rsid w:val="00395316"/>
    <w:rsid w:val="003B3A98"/>
    <w:rsid w:val="003E415E"/>
    <w:rsid w:val="003F7C45"/>
    <w:rsid w:val="0041664F"/>
    <w:rsid w:val="00461777"/>
    <w:rsid w:val="004618BD"/>
    <w:rsid w:val="00462952"/>
    <w:rsid w:val="00467B1E"/>
    <w:rsid w:val="004768A6"/>
    <w:rsid w:val="004868A9"/>
    <w:rsid w:val="004C3455"/>
    <w:rsid w:val="004D2C3A"/>
    <w:rsid w:val="004D47DF"/>
    <w:rsid w:val="004E7822"/>
    <w:rsid w:val="004F0C29"/>
    <w:rsid w:val="004F3A2B"/>
    <w:rsid w:val="00517EE6"/>
    <w:rsid w:val="005204A7"/>
    <w:rsid w:val="00536BF2"/>
    <w:rsid w:val="005839D6"/>
    <w:rsid w:val="005A7A10"/>
    <w:rsid w:val="005B2EE8"/>
    <w:rsid w:val="005B51E2"/>
    <w:rsid w:val="005C0270"/>
    <w:rsid w:val="005C08A7"/>
    <w:rsid w:val="005D183C"/>
    <w:rsid w:val="005D75C4"/>
    <w:rsid w:val="005E7DD3"/>
    <w:rsid w:val="00667BAE"/>
    <w:rsid w:val="0068567B"/>
    <w:rsid w:val="006B33D1"/>
    <w:rsid w:val="006B39CC"/>
    <w:rsid w:val="006D3F39"/>
    <w:rsid w:val="006D5CCC"/>
    <w:rsid w:val="006E2399"/>
    <w:rsid w:val="006F38AF"/>
    <w:rsid w:val="00714292"/>
    <w:rsid w:val="00720321"/>
    <w:rsid w:val="007337FF"/>
    <w:rsid w:val="00746169"/>
    <w:rsid w:val="00761940"/>
    <w:rsid w:val="00785AAE"/>
    <w:rsid w:val="007C7F15"/>
    <w:rsid w:val="007E4292"/>
    <w:rsid w:val="008557F7"/>
    <w:rsid w:val="00856FED"/>
    <w:rsid w:val="0087417B"/>
    <w:rsid w:val="00875153"/>
    <w:rsid w:val="008963A2"/>
    <w:rsid w:val="008A1791"/>
    <w:rsid w:val="008B2229"/>
    <w:rsid w:val="008B58C6"/>
    <w:rsid w:val="008C143B"/>
    <w:rsid w:val="008D51EC"/>
    <w:rsid w:val="008D62E4"/>
    <w:rsid w:val="008E3D08"/>
    <w:rsid w:val="008E606E"/>
    <w:rsid w:val="008E74E4"/>
    <w:rsid w:val="009312CD"/>
    <w:rsid w:val="009731EC"/>
    <w:rsid w:val="009859A3"/>
    <w:rsid w:val="009A549B"/>
    <w:rsid w:val="009B7C32"/>
    <w:rsid w:val="00A25E48"/>
    <w:rsid w:val="00A334E5"/>
    <w:rsid w:val="00A55135"/>
    <w:rsid w:val="00A55145"/>
    <w:rsid w:val="00AA2A57"/>
    <w:rsid w:val="00AC3431"/>
    <w:rsid w:val="00AE3374"/>
    <w:rsid w:val="00AF4551"/>
    <w:rsid w:val="00AF766E"/>
    <w:rsid w:val="00B02F4E"/>
    <w:rsid w:val="00B05E48"/>
    <w:rsid w:val="00B071D1"/>
    <w:rsid w:val="00B3598A"/>
    <w:rsid w:val="00B47C72"/>
    <w:rsid w:val="00B62835"/>
    <w:rsid w:val="00B649D3"/>
    <w:rsid w:val="00B73E7B"/>
    <w:rsid w:val="00B87BD5"/>
    <w:rsid w:val="00BB17A8"/>
    <w:rsid w:val="00BB1B84"/>
    <w:rsid w:val="00BD2C4D"/>
    <w:rsid w:val="00BD6237"/>
    <w:rsid w:val="00BE41C0"/>
    <w:rsid w:val="00BF1437"/>
    <w:rsid w:val="00C14545"/>
    <w:rsid w:val="00C15A6D"/>
    <w:rsid w:val="00C30F17"/>
    <w:rsid w:val="00C95DD2"/>
    <w:rsid w:val="00C97E23"/>
    <w:rsid w:val="00CA3F85"/>
    <w:rsid w:val="00CB2F26"/>
    <w:rsid w:val="00CB74F4"/>
    <w:rsid w:val="00CF7776"/>
    <w:rsid w:val="00D124CA"/>
    <w:rsid w:val="00D45627"/>
    <w:rsid w:val="00D60DAC"/>
    <w:rsid w:val="00D66A22"/>
    <w:rsid w:val="00D76D93"/>
    <w:rsid w:val="00DA69E2"/>
    <w:rsid w:val="00E06855"/>
    <w:rsid w:val="00E26782"/>
    <w:rsid w:val="00E26FEC"/>
    <w:rsid w:val="00E319C2"/>
    <w:rsid w:val="00E624EF"/>
    <w:rsid w:val="00E92986"/>
    <w:rsid w:val="00E97719"/>
    <w:rsid w:val="00EB170D"/>
    <w:rsid w:val="00EC08BE"/>
    <w:rsid w:val="00EF4CC1"/>
    <w:rsid w:val="00F255F4"/>
    <w:rsid w:val="00F4510A"/>
    <w:rsid w:val="00F735A6"/>
    <w:rsid w:val="00F80986"/>
    <w:rsid w:val="00F85605"/>
    <w:rsid w:val="00F96C39"/>
    <w:rsid w:val="00FB3D83"/>
    <w:rsid w:val="00FD348F"/>
    <w:rsid w:val="00FF0B2E"/>
    <w:rsid w:val="00FF5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C2449"/>
  <w15:chartTrackingRefBased/>
  <w15:docId w15:val="{C1C1DF1A-F42C-4C0C-91D1-141157A7A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C3431"/>
    <w:pPr>
      <w:spacing w:after="200" w:line="276" w:lineRule="auto"/>
    </w:pPr>
    <w:rPr>
      <w:kern w:val="0"/>
      <w:sz w:val="22"/>
      <w:lang w:eastAsia="en-US"/>
    </w:rPr>
  </w:style>
  <w:style w:type="paragraph" w:styleId="1">
    <w:name w:val="heading 1"/>
    <w:basedOn w:val="a"/>
    <w:next w:val="a"/>
    <w:link w:val="10"/>
    <w:uiPriority w:val="9"/>
    <w:qFormat/>
    <w:rsid w:val="008E3D0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E3D0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E3D08"/>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8E3D0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8E3D08"/>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8E3D08"/>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8E3D0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E3D0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8E3D0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E3D08"/>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8E3D08"/>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8E3D0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8E3D08"/>
    <w:rPr>
      <w:rFonts w:cstheme="majorBidi"/>
      <w:color w:val="2F5496" w:themeColor="accent1" w:themeShade="BF"/>
      <w:sz w:val="28"/>
      <w:szCs w:val="28"/>
    </w:rPr>
  </w:style>
  <w:style w:type="character" w:customStyle="1" w:styleId="50">
    <w:name w:val="标题 5 字符"/>
    <w:basedOn w:val="a0"/>
    <w:link w:val="5"/>
    <w:uiPriority w:val="9"/>
    <w:semiHidden/>
    <w:rsid w:val="008E3D08"/>
    <w:rPr>
      <w:rFonts w:cstheme="majorBidi"/>
      <w:color w:val="2F5496" w:themeColor="accent1" w:themeShade="BF"/>
      <w:sz w:val="24"/>
      <w:szCs w:val="24"/>
    </w:rPr>
  </w:style>
  <w:style w:type="character" w:customStyle="1" w:styleId="60">
    <w:name w:val="标题 6 字符"/>
    <w:basedOn w:val="a0"/>
    <w:link w:val="6"/>
    <w:uiPriority w:val="9"/>
    <w:semiHidden/>
    <w:rsid w:val="008E3D08"/>
    <w:rPr>
      <w:rFonts w:cstheme="majorBidi"/>
      <w:b/>
      <w:bCs/>
      <w:color w:val="2F5496" w:themeColor="accent1" w:themeShade="BF"/>
    </w:rPr>
  </w:style>
  <w:style w:type="character" w:customStyle="1" w:styleId="70">
    <w:name w:val="标题 7 字符"/>
    <w:basedOn w:val="a0"/>
    <w:link w:val="7"/>
    <w:uiPriority w:val="9"/>
    <w:semiHidden/>
    <w:rsid w:val="008E3D08"/>
    <w:rPr>
      <w:rFonts w:cstheme="majorBidi"/>
      <w:b/>
      <w:bCs/>
      <w:color w:val="595959" w:themeColor="text1" w:themeTint="A6"/>
    </w:rPr>
  </w:style>
  <w:style w:type="character" w:customStyle="1" w:styleId="80">
    <w:name w:val="标题 8 字符"/>
    <w:basedOn w:val="a0"/>
    <w:link w:val="8"/>
    <w:uiPriority w:val="9"/>
    <w:semiHidden/>
    <w:rsid w:val="008E3D08"/>
    <w:rPr>
      <w:rFonts w:cstheme="majorBidi"/>
      <w:color w:val="595959" w:themeColor="text1" w:themeTint="A6"/>
    </w:rPr>
  </w:style>
  <w:style w:type="character" w:customStyle="1" w:styleId="90">
    <w:name w:val="标题 9 字符"/>
    <w:basedOn w:val="a0"/>
    <w:link w:val="9"/>
    <w:uiPriority w:val="9"/>
    <w:semiHidden/>
    <w:rsid w:val="008E3D08"/>
    <w:rPr>
      <w:rFonts w:eastAsiaTheme="majorEastAsia" w:cstheme="majorBidi"/>
      <w:color w:val="595959" w:themeColor="text1" w:themeTint="A6"/>
    </w:rPr>
  </w:style>
  <w:style w:type="paragraph" w:styleId="a3">
    <w:name w:val="Title"/>
    <w:basedOn w:val="a"/>
    <w:next w:val="a"/>
    <w:link w:val="a4"/>
    <w:uiPriority w:val="10"/>
    <w:qFormat/>
    <w:rsid w:val="008E3D0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E3D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E3D0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E3D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E3D08"/>
    <w:pPr>
      <w:spacing w:before="160" w:after="160"/>
      <w:jc w:val="center"/>
    </w:pPr>
    <w:rPr>
      <w:i/>
      <w:iCs/>
      <w:color w:val="404040" w:themeColor="text1" w:themeTint="BF"/>
    </w:rPr>
  </w:style>
  <w:style w:type="character" w:customStyle="1" w:styleId="a8">
    <w:name w:val="引用 字符"/>
    <w:basedOn w:val="a0"/>
    <w:link w:val="a7"/>
    <w:uiPriority w:val="29"/>
    <w:rsid w:val="008E3D08"/>
    <w:rPr>
      <w:i/>
      <w:iCs/>
      <w:color w:val="404040" w:themeColor="text1" w:themeTint="BF"/>
    </w:rPr>
  </w:style>
  <w:style w:type="paragraph" w:styleId="a9">
    <w:name w:val="List Paragraph"/>
    <w:basedOn w:val="a"/>
    <w:uiPriority w:val="34"/>
    <w:qFormat/>
    <w:rsid w:val="008E3D08"/>
    <w:pPr>
      <w:ind w:left="720"/>
      <w:contextualSpacing/>
    </w:pPr>
  </w:style>
  <w:style w:type="character" w:styleId="aa">
    <w:name w:val="Intense Emphasis"/>
    <w:basedOn w:val="a0"/>
    <w:uiPriority w:val="21"/>
    <w:qFormat/>
    <w:rsid w:val="008E3D08"/>
    <w:rPr>
      <w:i/>
      <w:iCs/>
      <w:color w:val="2F5496" w:themeColor="accent1" w:themeShade="BF"/>
    </w:rPr>
  </w:style>
  <w:style w:type="paragraph" w:styleId="ab">
    <w:name w:val="Intense Quote"/>
    <w:basedOn w:val="a"/>
    <w:next w:val="a"/>
    <w:link w:val="ac"/>
    <w:uiPriority w:val="30"/>
    <w:qFormat/>
    <w:rsid w:val="008E3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E3D08"/>
    <w:rPr>
      <w:i/>
      <w:iCs/>
      <w:color w:val="2F5496" w:themeColor="accent1" w:themeShade="BF"/>
    </w:rPr>
  </w:style>
  <w:style w:type="character" w:styleId="ad">
    <w:name w:val="Intense Reference"/>
    <w:basedOn w:val="a0"/>
    <w:uiPriority w:val="32"/>
    <w:qFormat/>
    <w:rsid w:val="008E3D08"/>
    <w:rPr>
      <w:b/>
      <w:bCs/>
      <w:smallCaps/>
      <w:color w:val="2F5496" w:themeColor="accent1" w:themeShade="BF"/>
      <w:spacing w:val="5"/>
    </w:rPr>
  </w:style>
  <w:style w:type="paragraph" w:styleId="ae">
    <w:name w:val="header"/>
    <w:basedOn w:val="a"/>
    <w:link w:val="af"/>
    <w:uiPriority w:val="99"/>
    <w:unhideWhenUsed/>
    <w:rsid w:val="005B51E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5B51E2"/>
    <w:rPr>
      <w:kern w:val="0"/>
      <w:sz w:val="18"/>
      <w:szCs w:val="18"/>
      <w:lang w:eastAsia="en-US"/>
    </w:rPr>
  </w:style>
  <w:style w:type="paragraph" w:styleId="af0">
    <w:name w:val="footer"/>
    <w:basedOn w:val="a"/>
    <w:link w:val="af1"/>
    <w:uiPriority w:val="99"/>
    <w:unhideWhenUsed/>
    <w:rsid w:val="005B51E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5B51E2"/>
    <w:rPr>
      <w:kern w:val="0"/>
      <w:sz w:val="18"/>
      <w:szCs w:val="18"/>
      <w:lang w:eastAsia="en-US"/>
    </w:rPr>
  </w:style>
  <w:style w:type="character" w:styleId="af2">
    <w:name w:val="Hyperlink"/>
    <w:basedOn w:val="a0"/>
    <w:uiPriority w:val="99"/>
    <w:unhideWhenUsed/>
    <w:rsid w:val="00E92986"/>
    <w:rPr>
      <w:color w:val="0563C1" w:themeColor="hyperlink"/>
      <w:u w:val="single"/>
    </w:rPr>
  </w:style>
  <w:style w:type="character" w:styleId="af3">
    <w:name w:val="Unresolved Mention"/>
    <w:basedOn w:val="a0"/>
    <w:uiPriority w:val="99"/>
    <w:semiHidden/>
    <w:unhideWhenUsed/>
    <w:rsid w:val="00E929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lient.ntdss.ntu.edu.cn/https/webvpnf76667b2f293e54e17391bd867b618de/knavi/detail?p=4amtIGgsGOBe6B6hofrKCNVpT2_gXJSITyPUCZ332YFwDx6WwMMNTXKANFR5SO0tY7gg10KWEsEALERRyErpS0ZezJHEJbGJbDGPoGfJSIatQPz55GcyPoXI9Ud3Osek&amp;uniplatform=NZKP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712</TotalTime>
  <Pages>9</Pages>
  <Words>1312</Words>
  <Characters>7485</Characters>
  <Application>Microsoft Office Word</Application>
  <DocSecurity>0</DocSecurity>
  <Lines>62</Lines>
  <Paragraphs>17</Paragraphs>
  <ScaleCrop>false</ScaleCrop>
  <Company/>
  <LinksUpToDate>false</LinksUpToDate>
  <CharactersWithSpaces>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252</cp:revision>
  <cp:lastPrinted>2026-07-22T04:53:00Z</cp:lastPrinted>
  <dcterms:created xsi:type="dcterms:W3CDTF">2026-07-21T03:04:00Z</dcterms:created>
  <dcterms:modified xsi:type="dcterms:W3CDTF">2026-08-18T09:20:00Z</dcterms:modified>
</cp:coreProperties>
</file>