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0.7）为核心的动态标签权重模型，并将周期内指数时间衰减（λ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15 个业务科室、270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(alpha = 0.7), with a within-period exponential time decay (lambda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15 departments and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李涛等[1]从指标体系角度探讨了科研评价，黄钊等[2]与李少琼等[3]分别面向疾控数字化系统与疾控信息化评价指标展开研究，但均聚焦机构层面而非个人；杨思洛等[4]梳理了“破五唯”导向下科研成果评价的制度表征，Amaral 等[5]、沈杨阳[6]与 Lei[7]分别从绩效拨款、组织机制与分类绩效角度探讨了科研评价，但评价对象同样以机构为主；罗仕鉴等[8]与白菁昊等[9]验证了用户画像与时序动态标签方法的有效性，胡晓莹等[10]与 Chen 等[11]将指数加权移动平均与时间衰减引入用户兴趣建模，但均未考虑科研成果的长周期性与时效衰减。两条线索至今没有接上：评价指标的研究停在机构层面，动态标签的研究面向的是消费与学习行为。本文的做法是把成果积分直接当作行为信号接入标签权重的更新，再由标签权重映射到能力维度，让量化与画像共用一条计算通路。沿着这条通路，多作者成果的积分如何分配、标签权重如何随时间衰减、审批环节如何免发布调整，是必须先解决的三个具体问题。</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轻量级服务的组织方式一致[14,15]，该技术栈在科研样本库、考试等业务系统中已有成熟应用[12,17]。可视化层集成 Apache ECharts[16]，数据库选用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构成的三维动态标签体系[8-9]；统计分析模块的“人才晴雨表”仪表盘集成 Apache ECharts[16]，支持多维交叉统计与下钻；申报审核模块内置轻量级工作流引擎驱动三级审批；系统管理模块采用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多作者成果的积分分配是量化评价的难点：长期沿用以第一作者、通讯作者为统计口径的做法会抹杀普通合著者的贡献[23]，而分数分配法、调和计数法等经典方案[24]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S</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作者获得的积分；</w:t>
      </w:r>
      <w:r>
        <w:rPr>
          <w:rFonts w:ascii="Times New Roman" w:hAnsi="Times New Roman" w:eastAsia="宋体" w:cs="Times New Roman"/>
          <w:i/>
          <w:iCs/>
          <w:sz w:val="21"/>
          <w:szCs w:val="21"/>
          <w:lang w:eastAsia="zh-CN"/>
        </w:rPr>
        <w:t>S</w:t>
      </w:r>
      <w:r>
        <w:rPr>
          <w:rFonts w:ascii="Times New Roman" w:hAnsi="Times New Roman" w:eastAsia="宋体" w:cs="Times New Roman"/>
          <w:sz w:val="21"/>
          <w:szCs w:val="21"/>
          <w:vertAlign w:val="subscript"/>
          <w:lang w:eastAsia="zh-CN"/>
        </w:rPr>
        <w:t>total</w:t>
      </w:r>
      <w:r>
        <w:rPr>
          <w:rFonts w:hint="eastAsia" w:ascii="Times New Roman" w:hAnsi="Times New Roman" w:eastAsia="宋体" w:cs="Times New Roman"/>
          <w:sz w:val="21"/>
          <w:szCs w:val="21"/>
          <w:lang w:eastAsia="zh-CN"/>
        </w:rPr>
        <w:t xml:space="preserve"> 为成果标准积分；</w:t>
      </w:r>
      <w:r>
        <w:rPr>
          <w:rFonts w:ascii="Times New Roman" w:hAnsi="Times New Roman" w:eastAsia="宋体" w:cs="Times New Roman"/>
          <w:i/>
          <w:iCs/>
          <w:sz w:val="21"/>
          <w:szCs w:val="21"/>
          <w:lang w:eastAsia="zh-CN"/>
        </w:rPr>
        <w:t>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[23,24]的归类。系统默认采用名义分值制以契合协作导向，需控制年度积分总量的科室可在后台切换为归一化模式（式(3)）。</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s̃</w:t>
      </w:r>
      <w:r>
        <w:rPr>
          <w:rFonts w:hint="eastAsia" w:ascii="Times New Roman" w:hAnsi="Times New Roman" w:eastAsia="宋体" w:cs="Times New Roman"/>
          <w:sz w:val="21"/>
          <w:szCs w:val="21"/>
          <w:vertAlign w:val="subscript"/>
          <w:lang w:eastAsia="zh-CN"/>
        </w:rPr>
        <w:t>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perscript"/>
          <w:lang w:eastAsia="zh-CN"/>
        </w:rPr>
        <w:t>(k)</w:t>
      </w:r>
      <w:r>
        <w:rPr>
          <w:rFonts w:hint="eastAsia" w:ascii="Times New Roman" w:hAnsi="Times New Roman" w:eastAsia="宋体" w:cs="Times New Roman"/>
          <w:sz w:val="21"/>
          <w:szCs w:val="21"/>
          <w:vertAlign w:val="subscript"/>
          <w:lang w:eastAsia="zh-CN"/>
        </w:rPr>
        <w:t>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perscript"/>
          <w:lang w:eastAsia="zh-CN"/>
        </w:rPr>
        <w:t>(0)</w:t>
      </w:r>
      <w:r>
        <w:rPr>
          <w:rFonts w:hint="eastAsia" w:ascii="Times New Roman" w:hAnsi="Times New Roman" w:eastAsia="宋体" w:cs="Times New Roman"/>
          <w:sz w:val="21"/>
          <w:szCs w:val="21"/>
          <w:vertAlign w:val="subscript"/>
          <w:lang w:eastAsia="zh-CN"/>
        </w:rPr>
        <w:t>t,u</w:t>
      </w:r>
      <w:r>
        <w:rPr>
          <w:rFonts w:hint="eastAsia" w:ascii="Times New Roman" w:hAnsi="Times New Roman" w:eastAsia="宋体" w:cs="Times New Roman"/>
          <w:sz w:val="21"/>
          <w:szCs w:val="21"/>
          <w:lang w:eastAsia="zh-CN"/>
        </w:rPr>
        <w:t xml:space="preserve"> 取 0; </w:t>
      </w:r>
      <w:r>
        <w:rPr>
          <w:rFonts w:hint="eastAsia" w:ascii="Times New Roman" w:hAnsi="Times New Roman" w:eastAsia="宋体" w:cs="Times New Roman"/>
          <w:i/>
          <w:sz w:val="21"/>
          <w:szCs w:val="21"/>
          <w:lang w:eastAsia="zh-CN"/>
        </w:rPr>
        <w:t>s</w:t>
      </w:r>
      <w:r>
        <w:rPr>
          <w:rFonts w:hint="eastAsia" w:ascii="Times New Roman" w:hAnsi="Times New Roman" w:eastAsia="宋体" w:cs="Times New Roman"/>
          <w:sz w:val="21"/>
          <w:szCs w:val="21"/>
          <w:vertAlign w:val="subscript"/>
          <w:lang w:eastAsia="zh-CN"/>
        </w:rPr>
        <w:t>i,u</w:t>
      </w:r>
      <w:r>
        <w:rPr>
          <w:rFonts w:hint="eastAsia" w:ascii="Times New Roman" w:hAnsi="Times New Roman" w:eastAsia="宋体" w:cs="Times New Roman"/>
          <w:sz w:val="21"/>
          <w:szCs w:val="21"/>
          <w:lang w:eastAsia="zh-CN"/>
        </w:rPr>
        <w:t xml:space="preserve"> 为其在行为 </w:t>
      </w:r>
      <w:r>
        <w:rPr>
          <w:rFonts w:hint="eastAsia" w:ascii="Times New Roman" w:hAnsi="Times New Roman" w:eastAsia="宋体" w:cs="Times New Roman"/>
          <w:i/>
          <w:sz w:val="21"/>
          <w:szCs w:val="21"/>
          <w:lang w:eastAsia="zh-CN"/>
        </w:rPr>
        <w:t>i</w:t>
      </w:r>
      <w:r>
        <w:rPr>
          <w:rFonts w:hint="eastAsia" w:ascii="Times New Roman" w:hAnsi="Times New Roman" w:eastAsia="宋体" w:cs="Times New Roman"/>
          <w:sz w:val="21"/>
          <w:szCs w:val="21"/>
          <w:lang w:eastAsia="zh-CN"/>
        </w:rPr>
        <w:t xml:space="preserve"> 上的原始积分；</w:t>
      </w:r>
      <w:r>
        <w:rPr>
          <w:rFonts w:hint="eastAsia" w:ascii="Times New Roman" w:hAnsi="Times New Roman" w:eastAsia="宋体" w:cs="Times New Roman"/>
          <w:i/>
          <w:sz w:val="21"/>
          <w:szCs w:val="21"/>
          <w:lang w:eastAsia="zh-CN"/>
        </w:rPr>
        <w:t>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S</w:t>
      </w:r>
      <w:r>
        <w:rPr>
          <w:rFonts w:hint="eastAsia" w:ascii="Times New Roman" w:hAnsi="Times New Roman" w:eastAsia="宋体" w:cs="Times New Roman"/>
          <w:sz w:val="21"/>
          <w:szCs w:val="21"/>
          <w:vertAlign w:val="subscript"/>
          <w:lang w:eastAsia="zh-CN"/>
        </w:rPr>
        <w:t>max,t</w:t>
      </w:r>
      <w:r>
        <w:rPr>
          <w:rFonts w:hint="eastAsia" w:ascii="Times New Roman" w:hAnsi="Times New Roman" w:eastAsia="宋体" w:cs="Times New Roman"/>
          <w:sz w:val="21"/>
          <w:szCs w:val="21"/>
          <w:lang w:eastAsia="zh-CN"/>
        </w:rPr>
        <w:t xml:space="preserve"> 为本周期全中心在标签 </w:t>
      </w:r>
      <w:r>
        <w:rPr>
          <w:rFonts w:hint="eastAsia" w:ascii="Times New Roman" w:hAnsi="Times New Roman" w:eastAsia="宋体" w:cs="Times New Roman"/>
          <w:i/>
          <w:sz w:val="21"/>
          <w:szCs w:val="21"/>
          <w:lang w:eastAsia="zh-CN"/>
        </w:rPr>
        <w:t>t</w:t>
      </w:r>
      <w:r>
        <w:rPr>
          <w:rFonts w:hint="eastAsia" w:ascii="Times New Roman" w:hAnsi="Times New Roman" w:eastAsia="宋体" w:cs="Times New Roman"/>
          <w:sz w:val="21"/>
          <w:szCs w:val="21"/>
          <w:lang w:eastAsia="zh-CN"/>
        </w:rPr>
        <w:t xml:space="preserve"> 下的最高行为积分，用于将行为项归一化至 [0, 1]; </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 1; </w:t>
      </w:r>
      <w:r>
        <w:rPr>
          <w:rFonts w:hint="eastAsia" w:ascii="Times New Roman" w:hAnsi="Times New Roman" w:eastAsia="宋体" w:cs="Times New Roman"/>
          <w:i/>
          <w:sz w:val="21"/>
          <w:szCs w:val="21"/>
          <w:lang w:eastAsia="zh-CN"/>
        </w:rPr>
        <w:t>τ</w:t>
      </w:r>
      <w:r>
        <w:rPr>
          <w:rFonts w:hint="eastAsia" w:ascii="Times New Roman" w:hAnsi="Times New Roman" w:eastAsia="宋体" w:cs="Times New Roman"/>
          <w:sz w:val="21"/>
          <w:szCs w:val="21"/>
          <w:vertAlign w:val="subscript"/>
          <w:lang w:eastAsia="zh-CN"/>
        </w:rPr>
        <w:t>now</w:t>
      </w:r>
      <w:r>
        <w:rPr>
          <w:rFonts w:hint="eastAsia" w:ascii="Times New Roman" w:hAnsi="Times New Roman" w:eastAsia="宋体" w:cs="Times New Roman"/>
          <w:sz w:val="21"/>
          <w:szCs w:val="21"/>
          <w:lang w:eastAsia="zh-CN"/>
        </w:rPr>
        <w:t xml:space="preserve"> 为本周期期末时刻，</w:t>
      </w:r>
      <w:r>
        <w:rPr>
          <w:rFonts w:hint="eastAsia" w:ascii="Times New Roman" w:hAnsi="Times New Roman" w:eastAsia="宋体" w:cs="Times New Roman"/>
          <w:i/>
          <w:sz w:val="21"/>
          <w:szCs w:val="21"/>
          <w:lang w:eastAsia="zh-CN"/>
        </w:rPr>
        <w:t>τ</w:t>
      </w:r>
      <w:r>
        <w:rPr>
          <w:rFonts w:hint="eastAsia"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为成果完成时间。需要指出的是，式(4) 的衰减因子只处理周期内部的时效差异，跨周期的时效由式(5) 的指数加权承担，两级衰减各司其职，不重复计算同一段时间。</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α 取 0.7，即最新周期贡献占 70%、历史累积占 30%，各期权重按 α(1 − α)</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衰减，最近 3 个年度周期累计贡献约 97.3%，与事业单位近三年考核口径相吻合——</w:t>
      </w:r>
      <w:r>
        <w:rPr>
          <w:rFonts w:hint="eastAsia" w:ascii="Times New Roman" w:hAnsi="Times New Roman" w:eastAsia="宋体" w:cs="Times New Roman"/>
          <w:b/>
          <w:sz w:val="21"/>
          <w:szCs w:val="21"/>
          <w:lang w:eastAsia="zh-CN"/>
        </w:rPr>
        <w:t xml:space="preserve">跨年度的成果时效完全由式(5) 承担</w:t>
      </w:r>
      <w:r>
        <w:rPr>
          <w:rFonts w:hint="eastAsia" w:ascii="Times New Roman" w:hAnsi="Times New Roman" w:eastAsia="宋体" w:cs="Times New Roman"/>
          <w:sz w:val="21"/>
          <w:szCs w:val="21"/>
          <w:lang w:eastAsia="zh-CN"/>
        </w:rPr>
        <w:t xml:space="preserve">，兼顾近期活跃度与资深人员的积累。式(4)中的时间衰减系数取 λ = 0.14，其作用范围限于周期内部：由于 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取本周期期末，成果龄期不超过 1 年，年内最大衰减为 1 − e</w:t>
      </w:r>
      <w:r>
        <w:rPr>
          <w:rFonts w:hint="eastAsia" w:ascii="Times New Roman" w:hAnsi="Times New Roman" w:eastAsia="宋体" w:cs="Times New Roman"/>
          <w:sz w:val="21"/>
          <w:szCs w:val="21"/>
          <w:vertAlign w:val="superscript"/>
          <w:lang w:eastAsia="zh-CN"/>
        </w:rPr>
        <w:t xml:space="preserve">−0.14</w:t>
      </w:r>
      <w:r>
        <w:rPr>
          <w:rFonts w:hint="eastAsia" w:ascii="Times New Roman" w:hAnsi="Times New Roman" w:eastAsia="宋体" w:cs="Times New Roman"/>
          <w:sz w:val="21"/>
          <w:szCs w:val="21"/>
          <w:lang w:eastAsia="zh-CN"/>
        </w:rPr>
        <w:t xml:space="preserve"> ≈ 13.1%，用于区分同一考核年度内早完成与晚完成的成果，避免年末集中申报与年初申报获得同等权重。两式分工明确，不重复计算同一段时间。</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 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针对疾控中心审核流程相对固定但存在微调需求的特点，本文实现了无第三方框架依赖的状态机工作流引擎。相比基于 BPMN 2.0 的全流程引擎或依赖 Drools 等规则引擎的方案[25-26]，本引擎仅保留流程定义、实例管理与状态流转三类职责，以状态机为核心驱动。引擎定义草稿、待初审、初审驳回、待复核、复核驳回、待终审、终审驳回与终审通过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系统引入 Redis 缓存应对高频积分查询，采用 Cache-Aside 模式并以空值缓存与分布式锁分别防止缓存穿透与击穿，热点键的识别与分区沿用集群缓存中的热点合并做法[27]，实测缓存命中率在 50–500 并发下保持在 92.5% 以上（表3）。数据库层面按持久内存 B+ 树索引的优化结论[28]为核心查询路径建立联合索引，并调整了 InnoDB 的缓冲池与刷盘参数。安全方面整合 Spring Security 与 JWT 实现无状态认证[22,29]；涉及的学历、职称与成果数据按《中华人民共和国个人信息保护法》实施最小必要采集与分级授权访问，敏感字段脱敏并留存审计日志。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个用例全部通过；并发梯度按开源 Web 项目性能测试的常见做法设置[30]，核心接口性能与缓存命中率如表3所示。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为评价标签准确性，从 270 名科研人员中随机抽取 90 名，由 3 名专家依据其近三年科研档案独立标注，以三人一致的结果为金标准与系统输出比对。系统共生成 32 个动态能力标签，准确率 88.0%、召回率 84.1%、</w:t>
      </w:r>
      <w:r>
        <w:rPr>
          <w:rFonts w:hint="eastAsia" w:ascii="Times New Roman" w:hAnsi="Times New Roman" w:eastAsia="宋体" w:cs="Times New Roman"/>
          <w:i/>
          <w:sz w:val="21"/>
          <w:szCs w:val="21"/>
          <w:lang w:eastAsia="zh-CN"/>
        </w:rPr>
        <w:t>F</w:t>
      </w:r>
      <w:r>
        <w:rPr>
          <w:rFonts w:hint="eastAsia" w:ascii="Times New Roman" w:hAnsi="Times New Roman" w:eastAsia="宋体" w:cs="Times New Roman"/>
          <w:sz w:val="21"/>
          <w:szCs w:val="21"/>
          <w:lang w:eastAsia="zh-CN"/>
        </w:rPr>
        <w:t>1 值 0.86，专家标注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参与度明显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从评价对象、核心方法、多作者成果分配、成果时效处理、量化与画像的耦合方式及审批流程支持六个方面进行了对比。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文献[1,3]</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文献[2]</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文献[8,9]</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Cs/>
                <w:sz w:val="18"/>
                <w:szCs w:val="18"/>
              </w:rPr>
              <w:t xml:space="preserve">文献[10,11]</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核心方法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指标体系</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数字化系统</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用户画像</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兴趣建模</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积分量化与画像</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时序动态标签</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前置嵌入归一化（式(4)）</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注：表中对同类工作的归纳依据其公开文献所述的研究对象与方法，“—”表示该文献未涉及该方面。</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三点局限：其一，系统度量的是科研活跃度而非成果质量，与同行评议互补而非替代；其二，α 依据事业单位近三年考核口径设定，λ 用于区分年度内成果的完成先后，两者制度依据明确，但其取值区间对人才排名的影响程度仍有待更大样本的敏感性分析验证；其三，标签—能力维度映射矩阵由本中心专家标定，跨机构推广时需重新标定。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现代信息技术,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廖凤露, 许毅, 汤伟. 图书馆数据可视化大屏系统的设计与实现[J]. 电脑与信息技术, 2025(3): 79-83, 97.</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朱嘉杰, 徐小莲. 基于Flask框架的国家教育考试保密知识测试系统设计与实现[J]. 计算机应用与软件, 2026(4): 35-40.</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何立富. 前后端分离环境下Spring Security权限系统构建与实现[J]. 电脑编程技巧与维护, 2025(10): 3-7.</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韩颖霄, 张均胜, 郑明, 等. 一种覆盖所有作者的论文荣誉分配方法——缓解署名分歧的量化锚点[J]. 中国科技资源导刊, 2025(6): 48-63.</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Xu S, Li L, Wang CC, et al. An improved author-topic (AT) model with authorship credit allocation schemes[J]. Journal of Information Science, 2025, 51(1): 184-204.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蒙立东, 林乃斌, 韦文嵚, 等. 基于JSON的轻量级工作流引擎设计与实现[J]. 大众科技, 2025, 27(2): 20-24.</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郭圣伟, 张洋. 轻量级工作流系统的设计与应用[J]. 电脑知识与技术, 2025(36): 48-51, 55.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Li HM, Wu S, Li ZP, et al. Enabling high performance and resource utilization in clustered cache via hotness identification, data copying, and instance merging[J]. IEEE Transactions on Computers, 2025, 74(2): 371-385.</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卢超, 杨朝树, 姚政竹, 等. 基于持久内存的B+树索引优化综述[J]. 计算机科学, 2026, 53(1): 77-88.</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吕玉桂. Spring Security+JWT实现微服务架构中的身份验证和授权[J]. 电脑知识与技术, 2024(22): 60-63.</w:t>
      </w:r>
    </w:p>
    <w:p w14:paraId="4DC4DDFD">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[30] Di Meglio S, Starace LLL, Pontillo V, et al. Performance testing in open-source web projects: Adoption, maintenance, and a change taxonomy[C]//Proceedings of the 2025 IEEE International Conference on Software Maintenance and Evolution .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573816315@qq.com。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yangwecy@gmail.com。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收件人：杨文超　联系电话：18351310755　E-mail: 573816315@qq.com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