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Lines="18" w:after="54" w:line="300" w:lineRule="auto"/>
        <w:jc w:val="center"/>
      </w:pPr>
      <w:r>
        <w:rPr>
          <w:rFonts w:ascii="Times New Roman" w:hAnsi="Times New Roman" w:eastAsia="黑体" w:cs="Times New Roman"/>
          <w:sz w:val="32"/>
          <w:szCs w:val="32"/>
        </w:rPr>
        <w:t xml:space="preserve">基于动态积分与标签画像的疾控科研人才评价系统设计与实现</w:t>
      </w:r>
    </w:p>
    <w:p>
      <w:pPr>
        <w:spacing w:afterLines="8" w:after="24"/>
        <w:jc w:val="center"/>
      </w:pPr>
      <w:r>
        <w:rPr>
          <w:rFonts w:ascii="Times New Roman" w:hAnsi="Times New Roman" w:eastAsia="楷体" w:cs="Times New Roman"/>
          <w:sz w:val="28"/>
          <w:szCs w:val="28"/>
        </w:rPr>
        <w:t xml:space="preserve">杨文超</w:t>
      </w:r>
    </w:p>
    <w:p>
      <w:pPr>
        <w:spacing w:afterLines="20" w:after="60"/>
        <w:jc w:val="center"/>
      </w:pPr>
      <w:r>
        <w:rPr>
          <w:rFonts w:ascii="Times New Roman" w:hAnsi="Times New Roman" w:eastAsia="宋体" w:cs="Times New Roman"/>
          <w:sz w:val="18"/>
          <w:szCs w:val="18"/>
        </w:rPr>
        <w:t xml:space="preserve">（南通市疾病预防控制中心，江苏 南通　226001）</w:t>
      </w:r>
    </w:p>
    <w:p>
      <w:pPr>
        <w:spacing w:afterLines="8" w:after="24" w:line="280" w:lineRule="auto"/>
        <w:jc w:val="center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Design and Implementation of a Research Talent Evaluation System for CDC Institutions Based on Dynamic Points and Tag Profiling</w:t>
      </w:r>
    </w:p>
    <w:p>
      <w:pPr>
        <w:spacing w:afterLines="6" w:after="18"/>
        <w:jc w:val="center"/>
      </w:pPr>
      <w:r>
        <w:rPr>
          <w:rFonts w:ascii="Times New Roman" w:hAnsi="Times New Roman" w:eastAsia="Times New Roman" w:cs="Times New Roman"/>
          <w:sz w:val="21"/>
          <w:szCs w:val="21"/>
        </w:rPr>
        <w:t xml:space="preserve">YANG Wenchao</w:t>
      </w:r>
    </w:p>
    <w:p>
      <w:pPr>
        <w:spacing w:afterLines="22" w:after="66"/>
        <w:jc w:val="center"/>
      </w:pPr>
      <w:r>
        <w:rPr>
          <w:rFonts w:ascii="Times New Roman" w:hAnsi="Times New Roman" w:eastAsia="Times New Roman" w:cs="Times New Roman"/>
          <w:i/>
          <w:iCs/>
          <w:sz w:val="18"/>
          <w:szCs w:val="18"/>
        </w:rPr>
        <w:t xml:space="preserve">(Nantong Center for Disease Control and Prevention, Nantong 226001, Jiangsu, China)</w:t>
      </w:r>
    </w:p>
    <w:p>
      <w:pPr>
        <w:spacing w:afterLines="6" w:after="18" w:line="270" w:lineRule="auto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摘要：</w:t>
      </w:r>
      <w:r>
        <w:rPr>
          <w:rFonts w:ascii="Times New Roman" w:hAnsi="Times New Roman" w:eastAsia="宋体" w:cs="Times New Roman"/>
          <w:sz w:val="18"/>
          <w:szCs w:val="18"/>
        </w:rPr>
        <w:t xml:space="preserve">针对疾控机构科研人才评价精细化程度不足的问题，设计并实现了基于 Spring Boot 与 MyBatis 的四层架构科研积分管理系统。提出面向多作者成果的分段权重积分分配模型，并与均分法、调和计数法作对比；设计基于一阶指数加权移动平均的动态标签权重模型（</w:t>
      </w:r>
      <w:r>
        <w:rPr>
          <w:rFonts w:ascii="Times New Roman" w:hAnsi="Times New Roman" w:eastAsia="宋体" w:cs="Times New Roman"/>
          <w:i/>
          <w:iCs/>
          <w:sz w:val="18"/>
          <w:szCs w:val="18"/>
        </w:rPr>
        <w:t xml:space="preserve">α</w:t>
      </w:r>
      <w:r>
        <w:rPr>
          <w:rFonts w:ascii="Times New Roman" w:hAnsi="Times New Roman" w:eastAsia="宋体" w:cs="Times New Roman"/>
          <w:sz w:val="18"/>
          <w:szCs w:val="18"/>
        </w:rPr>
        <w:t xml:space="preserve"> = 0.7），将半衰期约 4.95 年（</w:t>
      </w:r>
      <w:r>
        <w:rPr>
          <w:rFonts w:ascii="Times New Roman" w:hAnsi="Times New Roman" w:eastAsia="宋体" w:cs="Times New Roman"/>
          <w:i/>
          <w:iCs/>
          <w:sz w:val="18"/>
          <w:szCs w:val="18"/>
        </w:rPr>
        <w:t xml:space="preserve">λ</w:t>
      </w:r>
      <w:r>
        <w:rPr>
          <w:rFonts w:ascii="Times New Roman" w:hAnsi="Times New Roman" w:eastAsia="宋体" w:cs="Times New Roman"/>
          <w:sz w:val="18"/>
          <w:szCs w:val="18"/>
        </w:rPr>
        <w:t xml:space="preserve"> = 0.14）的指数时间衰减因子前置嵌入行为积分归一化环节，使标签权重、能力维度得分与人才画像构成量纲一致的统一计算链路；基于有限状态机实现无第三方依赖的四级审批工作流引擎。系统在南通市疾病预防控制中心运行 3 个月，覆盖 15 个业务科室、270 名科研人员，审核周期由平均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 天缩短至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 天，积分核算人为差错率由 5% 降至 0，核心业务平均响应时间为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 ms。“积分量化 + 标签画像”双维度模式可为同类公共卫生机构提供参考。</w:t>
      </w:r>
    </w:p>
    <w:p>
      <w:pPr>
        <w:spacing w:afterLines="6" w:after="18" w:line="270" w:lineRule="auto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关键词：</w:t>
      </w:r>
      <w:r>
        <w:rPr>
          <w:rFonts w:ascii="Times New Roman" w:hAnsi="Times New Roman" w:eastAsia="宋体" w:cs="Times New Roman"/>
          <w:sz w:val="18"/>
          <w:szCs w:val="18"/>
        </w:rPr>
        <w:t xml:space="preserve">积分量化评价；标签权重模型；时间衰减算法；工作流引擎；前后端分离架构</w:t>
      </w:r>
    </w:p>
    <w:p>
      <w:pPr>
        <w:spacing w:afterLines="20" w:after="60" w:line="270" w:lineRule="auto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中图分类号：</w:t>
      </w:r>
      <w:r>
        <w:rPr>
          <w:rFonts w:ascii="Times New Roman" w:hAnsi="Times New Roman" w:eastAsia="宋体" w:cs="Times New Roman"/>
          <w:sz w:val="18"/>
          <w:szCs w:val="18"/>
        </w:rPr>
        <w:t xml:space="preserve">TP311.5　　</w:t>
      </w: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文献标识码：</w:t>
      </w:r>
      <w:r>
        <w:rPr>
          <w:rFonts w:ascii="Times New Roman" w:hAnsi="Times New Roman" w:eastAsia="宋体" w:cs="Times New Roman"/>
          <w:sz w:val="18"/>
          <w:szCs w:val="18"/>
        </w:rPr>
        <w:t xml:space="preserve">A</w:t>
      </w:r>
    </w:p>
    <w:p>
      <w:pPr>
        <w:spacing w:afterLines="6" w:after="18" w:line="270" w:lineRule="auto"/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 xml:space="preserve">Abstract: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To address the insufficient granularity of research talent evaluation in centers for disease control and prevention, a four-layer research points management system based on Spring Boot and MyBatis is designed and implemented. A piecewise weighting model is proposed for allocating points among the multiple authors of a research output and is compared with the equal-sharing and harmonic counting methods. A dynamic tag weight model based on a first-order exponentially weighted moving average is designed, into which an exponential time-decay factor with a half-life of about 4.95 years is embedded ahead of behaviour-score normalization, so that tag weights, capability dimension scores and the talent profile form a single dimensionally consistent computation chain. A lightweight four-level approval workflow engine is implemented as a finite state machine without third-party dependency. Running at Nantong Center for Disease Control and Prevention for three months and covering 15 divisions and 270 researchers, the system shortened the average approval cycle from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days to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days, eliminated manual errors in points accounting, and kept the average response time of core services at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 ms. The dual-dimension model of points-based quantification combined with tag profiling provides a reference for research management informatization in comparable public health institutions.</w:t>
      </w:r>
    </w:p>
    <w:p>
      <w:pPr>
        <w:spacing w:afterLines="20" w:after="60" w:line="270" w:lineRule="auto"/>
      </w:pPr>
      <w:r>
        <w:rPr>
          <w:rFonts w:ascii="Times New Roman" w:hAnsi="Times New Roman" w:eastAsia="Times New Roman" w:cs="Times New Roman"/>
          <w:b/>
          <w:bCs/>
          <w:sz w:val="18"/>
          <w:szCs w:val="18"/>
        </w:rPr>
        <w:t xml:space="preserve">Key words: </w:t>
      </w:r>
      <w:r>
        <w:rPr>
          <w:rFonts w:ascii="Times New Roman" w:hAnsi="Times New Roman" w:eastAsia="Times New Roman" w:cs="Times New Roman"/>
          <w:sz w:val="18"/>
          <w:szCs w:val="18"/>
        </w:rPr>
        <w:t xml:space="preserve">points-based quantitative evaluation; tag weight model; time decay algorithm; workflow engine; front-end and back-end separation architecture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1  引言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在“科教兴卫、人才强卫”战略指引下，各级疾病预防控制机构日益重视科研能力建设，但基层疾控机构的科研人才评价仍存在方式粗放、“四唯”倾向明显、缺少动态量化手段等问题[1-2]，难以支撑科研梯队建设与精准激励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科研评价量化方面，李涛等[1]、沈杨阳[2]与 Amaral 等[3]分别从指标体系、组织机制与经费分配角度作了探讨，但评价对象均为机构而非个人；Lei[4]面向“破五唯”设计的高校教师分类绩效指标体系与本文思路接近，但其指标构成与疾控机构以公共卫生服务、现场流行病学调查为主的产出结构差异较大。人才画像方面，罗仕鉴等[9]与白菁昊等[10]验证了动态标签刻画能力演进的有效性，但其权重更新机制面向消费与学习行为，未考虑科研成果的长周期性与时效衰减特征。系统实现方面，刘盛等[6]与张岩[8]验证了 Spring Boot 技术栈在卫生行业的适用性，但功能定位偏向业务数据管理，未涉及评价的量化建模。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可见，面向公共卫生领域、同时整合积分量化与人才标签画像的专用科研管理系统仍比较少见。本文的主要工作如下：① 提出面向多作者成果的分段权重积分分配模型，给出其与均分法、调和计数法的对比及在积分总量口径上的制度性约束；② 构建“指数加权移动平均标签权重 + 指数时间衰减”的动态画像模型，将时间衰减前置于行为积分归一化环节，使标签权重、能力维度得分与可视化画像构成量纲一致的统一计算链路；③ 实现无第三方框架依赖的状态机工作流引擎与可配置积分规则引擎，支持审核环节与积分规则的免发布调整。系统面向的南通市疾控中心设有 15 个业务科室、270 名科研人员，科研成果涵盖 12 个大类，核心业务响应时间要求控制在 3 s 以内。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2  系统总体架构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系统采用四层架构：表现层由 Spring Boot 的 @RestController 构成，负责接收 HTTP 请求并调用业务服务，实现前后端分离；业务逻辑层由 Service 组件构成，封装积分计算、审核流程控制、画像生成与排行统计等规则并管理事务；数据访问层通过 MyBatis 的 Mapper 接口与 XML 映射文件实现对象关系映射，可在复杂场景下直接优化 SQL[8]；数据层负责持久化与存储管理。前端采用 Vue.js，通过 RESTful API 与后端交互；数据库选用 MySQL 8.0，并引入 Redis 缓存提升查询效率[5-8]。分层架构如图 1 所示。</w:t>
      </w:r>
    </w:p>
    <w:p>
      <w:pPr>
        <w:keepNext/>
        <w:keepLines/>
        <w:spacing w:beforeLines="15" w:before="45" w:afterLines="5" w:after="15"/>
        <w:jc w:val="center"/>
      </w:pPr>
      <w:r>
        <w:rPr>
          <w:rFonts w:ascii="Times New Roman" w:hAnsi="Times New Roman" w:eastAsia="宋体" w:cs="Times New Roman"/>
          <w:sz w:val="21"/>
          <w:szCs w:val="21"/>
        </w:rPr>
        <w:drawing>
          <wp:anchor distT="0" distB="0" distL="114300" distR="114300" simplePos="0" relativeHeight="251602432" behindDoc="0" locked="0" layoutInCell="1" allowOverlap="1" wp14:anchorId="1A1F1FF7" wp14:editId="59EEC34D">
            <wp:simplePos x="0" y="0"/>
            <wp:positionH relativeFrom="column">
              <wp:posOffset>882650</wp:posOffset>
            </wp:positionH>
            <wp:positionV relativeFrom="paragraph">
              <wp:posOffset>302260</wp:posOffset>
            </wp:positionV>
            <wp:extent cx="2926080" cy="2713806"/>
            <wp:effectExtent l="0" t="0" r="0" b="0"/>
            <wp:wrapNone/>
            <wp:docPr id="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7138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keepNext/>
        <w:keepLines/>
        <w:spacing w:beforeLines="10" w:before="30" w:afterLines="30" w:after="90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图 1  系统分层架构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3  核心功能模块设计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系统设计了五大功能模块，构成申报、计算、画像、展示、权限的完整闭环，如图 2 所示。积分管理模块支持可视化配置 12 大类 46 项积分规则，成果提交后由计算引擎自动校验并核算分值、生成积分流水[8-9]；人才画像模块构建涵盖结构化标签（学历、职称、专业）与非结构化能力标签（科研能力、项目管理、数据分析）的动态标签体系，自动关联积分流水与科研成果[9-10]；统计分析模块的“人才晴雨表”仪表盘集成 Apache ECharts，支持多维交叉统计与数据下钻；申报审核模块内置轻量级工作流引擎驱动四级审批；系统管理模块采用 RBAC 模型构建用户—角色—权限三层架构，预设 5 类角色，并承担基础数据维护、规则调整与操作日志审计等职能[11-13]。</w:t>
      </w:r>
    </w:p>
    <w:p>
      <w:pPr>
        <w:keepNext/>
        <w:keepLines/>
        <w:spacing w:beforeLines="15" w:before="45" w:afterLines="5" w:after="15"/>
        <w:jc w:val="center"/>
      </w:pPr>
      <w:r>
        <w:rPr>
          <w:rFonts w:ascii="Times New Roman" w:hAnsi="Times New Roman" w:eastAsia="宋体" w:cs="Times New Roman"/>
          <w:sz w:val="21"/>
          <w:szCs w:val="21"/>
        </w:rPr>
        <w:drawing>
          <wp:anchor distT="0" distB="0" distL="114300" distR="114300" simplePos="0" relativeHeight="251605504" behindDoc="0" locked="0" layoutInCell="1" allowOverlap="1" wp14:anchorId="68644931" wp14:editId="24382D51">
            <wp:simplePos x="0" y="0"/>
            <wp:positionH relativeFrom="column">
              <wp:posOffset>0</wp:posOffset>
            </wp:positionH>
            <wp:positionV relativeFrom="paragraph">
              <wp:posOffset>95250</wp:posOffset>
            </wp:positionV>
            <wp:extent cx="5120640" cy="2360552"/>
            <wp:effectExtent l="0" t="0" r="635" b="6350"/>
            <wp:wrapNone/>
            <wp:docPr id="10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91618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605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>
      <w:pPr>
        <w:keepNext/>
        <w:keepLines/>
        <w:spacing w:beforeLines="10" w:before="30" w:afterLines="30" w:after="90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图 2  功能模块详细设计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4  关键技术实现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4.1  可配置积分规则引擎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传统实现中积分规则的调整需修改代码并重新发布。为此，系统将全部积分规则存入数据库配置表：points_category 存储 12 个成果大类，points_item 定义分值标准、年度上限、有效期与适用职称范围，points_record 记录积分变动明细。管理员在后台修改配置即可实时生效，无需重新编译部署。为确保数据一致性，系统采用 Spring 声明式事务，将成果校验、重复申报拦截、年度上限判断、按作者排序分配、总积分更新与流水生成封装在同一事务中，任一步骤出错即回滚。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4.2  多作者积分权重分配模型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结合该中心的科研管理实践，本文采用基于 Kronecker δ 函数的分段权重模型对作者序位与分配系数的映射关系统一建模，如式(1)、式(2)所示。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sSub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× </m:t>
        </m:r>
        <m:d>
          <m:dPr>
            <m:begChr m:val="("/>
            <m:endChr m:val=")"/>
            <m:ctrlPr/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0.2 + 0.8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+ 0.6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+ 0.3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i,3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1"/>
            <w:szCs w:val="21"/>
          </w:rPr>
          <m:t>,    </m:t>
        </m:r>
        <m:r>
          <w:rPr>
            <w:rFonts w:ascii="Cambria Math" w:hAnsi="Cambria Math"/>
            <w:sz w:val="21"/>
            <w:szCs w:val="21"/>
          </w:rPr>
          <m:t>i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 = 1, 2, …, </m:t>
        </m:r>
        <m:r>
          <w:rPr>
            <w:rFonts w:ascii="Cambria Math" w:hAnsi="Cambria Math"/>
            <w:sz w:val="21"/>
            <w:szCs w:val="21"/>
          </w:rPr>
          <m:t>n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(1)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r>
              <w:rPr>
                <w:rFonts w:ascii="Cambria Math" w:hAnsi="Cambria Math"/>
                <w:sz w:val="21"/>
                <w:szCs w:val="21"/>
              </w:rPr>
              <m:t>δ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i,j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d>
          <m:dPr>
            <m:begChr m:val="{"/>
            <m:endChr m:val=""/>
            <m:ctrlPr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/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1,</m:t>
                  </m:r>
                </m:e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 = </m:t>
                  </m:r>
                  <m:r>
                    <w:rPr>
                      <w:rFonts w:ascii="Cambria Math" w:hAnsi="Cambria Math"/>
                      <w:sz w:val="21"/>
                      <w:szCs w:val="21"/>
                    </w:rPr>
                    <m:t>j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0,</m:t>
                  </m:r>
                </m:e>
                <m:e>
                  <m:r>
                    <w:rPr>
                      <w:rFonts w:ascii="Cambria Math" w:hAnsi="Cambria Math"/>
                      <w:sz w:val="21"/>
                      <w:szCs w:val="21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1"/>
                      <w:szCs w:val="21"/>
                    </w:rPr>
                    <m:t> ≠ </m:t>
                  </m:r>
                  <m:r>
                    <w:rPr>
                      <w:rFonts w:ascii="Cambria Math" w:hAnsi="Cambria Math"/>
                      <w:sz w:val="21"/>
                      <w:szCs w:val="21"/>
                    </w:rPr>
                    <m:t>j</m:t>
                  </m:r>
                </m:e>
              </m:mr>
            </m:m>
          </m:e>
        </m:d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(2)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为第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作者获得的积分；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total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为成果标准积分；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n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为作者总数。展开后第 1、2、3 作者的分配系数分别为 1.0、0.8、0.5，第 4 作者及以后统一按 0.2 计；通讯作者按第 1 作者计，共同第一作者按并列第 1 作者计[9]。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式(1)采用</w:t>
      </w:r>
      <w:r>
        <w:rPr>
          <w:rFonts w:ascii="Times New Roman" w:hAnsi="Times New Roman" w:eastAsia="宋体" w:cs="Times New Roman"/>
          <w:b/>
          <w:bCs/>
          <w:sz w:val="21"/>
          <w:szCs w:val="21"/>
        </w:rPr>
        <w:t xml:space="preserve">名义分值制</w:t>
      </w:r>
      <w:r>
        <w:rPr>
          <w:rFonts w:ascii="Times New Roman" w:hAnsi="Times New Roman" w:eastAsia="宋体" w:cs="Times New Roman"/>
          <w:sz w:val="21"/>
          <w:szCs w:val="21"/>
        </w:rPr>
        <w:t xml:space="preserve">而非总量守恒制，即各作者所得之和可能大于成果标准积分（4 位作者时为 2.5 倍）。这一设计源于疾控机构鼓励多科室协作攻关的管理导向，其“挂名”风险由两项制度约束控制：points_item 表的年度上限对各类积分累计值封顶；第 4 作者及以后的积分不计入职称评审口径。本文模型与常见守恒型方法的对比如表 1 所示。对需控制积分总量的场景，系统另提供可配置的归一化模式，如式(3)所示。</w:t>
      </w:r>
    </w:p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1  多作者积分权重分配方法对比（以 4 位作者为例）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2000"/>
        <w:gridCol w:w="1262"/>
        <w:gridCol w:w="1262"/>
        <w:gridCol w:w="1262"/>
        <w:gridCol w:w="1262"/>
        <w:gridCol w:w="1258"/>
      </w:tblGrid>
      <w:tr>
        <w:trPr>
          <w:cantSplit/>
          <w:tblHeader/>
        </w:trPr>
        <w:tc>
          <w:tcPr>
            <w:tcW w:w="20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分配方法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1 作者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2 作者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3 作者</w:t>
            </w:r>
          </w:p>
        </w:tc>
        <w:tc>
          <w:tcPr>
            <w:tcW w:w="126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第 4 作者</w:t>
            </w:r>
          </w:p>
        </w:tc>
        <w:tc>
          <w:tcPr>
            <w:tcW w:w="125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合计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均分法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0.25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调和计数法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0.48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0.24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0.16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0.12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算术递减法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0.40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0.30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0.10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</w:tr>
      <w:tr>
        <w:trPr>
          <w:cantSplit/>
        </w:trPr>
        <w:tc>
          <w:tcPr>
            <w:tcW w:w="20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本文分段权重法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1.00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0.80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0.50</w:t>
            </w:r>
          </w:p>
        </w:tc>
        <w:tc>
          <w:tcPr>
            <w:tcW w:w="1262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0.20</w:t>
            </w:r>
          </w:p>
        </w:tc>
        <w:tc>
          <w:tcPr>
            <w:tcW w:w="1258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2.50</w:t>
            </w:r>
          </w:p>
        </w:tc>
      </w:tr>
    </w:tbl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Sup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norm</m:t>
            </m:r>
          </m:sup>
        </m:sSubSup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sSub>
          <m:e>
            <m:r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× </m:t>
        </m:r>
        <m:f>
          <m:fPr>
            <m:ctrlPr/>
          </m:fPr>
          <m:num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subSup"/>
                <m:grow m:val="1"/>
                <m:subHide m:val="0"/>
                <m:supHide m:val="0"/>
                <m:ctrlPr/>
              </m:naryPr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= 1</m:t>
                </m:r>
              </m:sub>
              <m:sup>
                <m:r>
                  <w:rPr>
                    <w:rFonts w:ascii="Cambria Math" w:hAnsi="Cambria Math"/>
                    <w:sz w:val="21"/>
                    <w:szCs w:val="21"/>
                  </w:rPr>
                  <m:t>n</m:t>
                </m:r>
              </m:sup>
              <m:e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j</m:t>
                    </m:r>
                  </m:sub>
                </m:sSub>
              </m:e>
            </m:nary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(3)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v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为第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作者按式(1)得到的原始分配系数。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4.3  动态标签权重模型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构建了基础属性、能力维度与专业方向三维标签体系。考虑到科研贡献具有明显时效性，本文将指数时间衰减因子前置嵌入行为积分的归一化环节（式(4)），标签权重则在此基础上按一阶指数加权移动平均更新（式(5)）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acc>
              <m:accPr>
                <m:chr m:val="̃"/>
                <m:ctrlPr/>
              </m:acc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</m:acc>
          </m:e>
          <m:sub>
            <m:r>
              <w:rPr>
                <w:rFonts w:ascii="Cambria Math" w:hAnsi="Cambria Math"/>
                <w:sz w:val="21"/>
                <w:szCs w:val="21"/>
              </w:rPr>
              <m:t>i,u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f>
          <m:fPr>
            <m:ctrlPr/>
          </m:fPr>
          <m:num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i,u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· 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λ</m:t>
                </m:r>
                <m:d>
                  <m:dPr>
                    <m:begChr m:val="("/>
                    <m:endChr m:val=")"/>
                    <m:ctrlPr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now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1"/>
                        <w:szCs w:val="21"/>
                      </w:rPr>
                      <m:t> − </m:t>
                    </m:r>
                    <m:sSub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i</m:t>
                        </m:r>
                      </m:sub>
                    </m:sSub>
                  </m:e>
                </m:d>
              </m:sup>
            </m:sSup>
          </m:num>
          <m:den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max,</m:t>
                </m:r>
                <m:r>
                  <w:rPr>
                    <w:rFonts w:ascii="Cambria Math" w:hAnsi="Cambria Math"/>
                    <w:sz w:val="21"/>
                    <w:szCs w:val="21"/>
                  </w:rPr>
                  <m:t>t</m:t>
                </m:r>
              </m:sub>
            </m:sSub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(4)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Sup>
          <m:e>
            <m:r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begChr m:val="("/>
                <m:endChr m:val=")"/>
                <m:ctrlPr/>
              </m:d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r>
          <w:rPr>
            <w:rFonts w:ascii="Cambria Math" w:hAnsi="Cambria Math"/>
            <w:sz w:val="21"/>
            <w:szCs w:val="21"/>
          </w:rPr>
          <m:t>α</m:t>
        </m:r>
        <m:r>
          <m:rPr>
            <m:sty m:val="p"/>
          </m:rPr>
          <w:rPr>
            <w:rFonts w:ascii="Cambria Math" w:hAnsi="Cambria Math"/>
            <w:sz w:val="21"/>
            <w:szCs w:val="21"/>
          </w:rPr>
          <m:t> · </m:t>
        </m:r>
        <m:nary>
          <m:naryPr>
            <m:chr m:val="∑"/>
            <m:limLoc m:val="subSup"/>
            <m:grow m:val="1"/>
            <m:subHide m:val="0"/>
            <m:supHide m:val="0"/>
            <m:ctrlPr/>
          </m:naryPr>
          <m:sub>
            <m:r>
              <w:rPr>
                <w:rFonts w:ascii="Cambria Math" w:hAnsi="Cambria Math"/>
                <w:sz w:val="21"/>
                <w:szCs w:val="21"/>
              </w:rPr>
              <m:t>i</m:t>
            </m:r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= 1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m</m:t>
            </m:r>
          </m:sup>
          <m:e>
            <m:d>
              <m:dPr>
                <m:begChr m:val="("/>
                <m:endChr m:val=")"/>
                <m:ctrlPr/>
              </m:dPr>
              <m:e>
                <m:sSub>
                  <m:e>
                    <m:acc>
                      <m:accPr>
                        <m:chr m:val="̃"/>
                        <m:ctrlPr/>
                      </m:accPr>
                      <m:e>
                        <m:r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s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i,u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· </m:t>
                </m:r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w:rPr>
            <w:rFonts w:ascii="Cambria Math" w:hAnsi="Cambria Math"/>
            <w:sz w:val="21"/>
            <w:szCs w:val="21"/>
          </w:rPr>
          <m:t> + </m:t>
        </m:r>
        <m:d>
          <m:dPr>
            <m:begChr m:val="("/>
            <m:endChr m:val=")"/>
            <m:ctrlPr/>
          </m:dPr>
          <m:e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1 − </m:t>
            </m:r>
            <m:r>
              <w:rPr>
                <w:rFonts w:ascii="Cambria Math" w:hAnsi="Cambria Math"/>
                <w:sz w:val="21"/>
                <w:szCs w:val="21"/>
              </w:rPr>
              <m:t>α</m:t>
            </m:r>
          </m:e>
        </m:d>
        <m:r>
          <m:rPr>
            <m:sty m:val="p"/>
          </m:rPr>
          <w:rPr>
            <w:rFonts w:ascii="Cambria Math" w:hAnsi="Cambria Math"/>
            <w:sz w:val="21"/>
            <w:szCs w:val="21"/>
          </w:rPr>
          <m:t> · </m:t>
        </m:r>
        <m:sSubSup>
          <m:e>
            <m:r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begChr m:val="("/>
                <m:endChr m:val=")"/>
                <m:ctrlPr/>
              </m:d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− 1</m:t>
                </m:r>
              </m:e>
            </m:d>
          </m:sup>
        </m:sSubSup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(5)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  <w:vertAlign w:val="superscript"/>
        </w:rPr>
        <w:t xml:space="preserve">(k)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t,u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为用户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u</w:t>
      </w:r>
      <w:r>
        <w:rPr>
          <w:rFonts w:ascii="Times New Roman" w:hAnsi="Times New Roman" w:eastAsia="宋体" w:cs="Times New Roman"/>
          <w:sz w:val="21"/>
          <w:szCs w:val="21"/>
        </w:rPr>
        <w:t xml:space="preserve"> 在标签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上第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k</w:t>
      </w:r>
      <w:r>
        <w:rPr>
          <w:rFonts w:ascii="Times New Roman" w:hAnsi="Times New Roman" w:eastAsia="宋体" w:cs="Times New Roman"/>
          <w:sz w:val="21"/>
          <w:szCs w:val="21"/>
        </w:rPr>
        <w:t xml:space="preserve"> 个周期的权重；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i,u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为其在行为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上的原始积分；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S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max,t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为本周期全中心在标签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下的最高行为积分，用于将行为项归一化至 [0, 1]，与历史权重项保持量纲一致；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为行为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的贡献系数，满足 Σ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w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= 1；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now</w:t>
      </w:r>
      <w:r>
        <w:rPr>
          <w:rFonts w:ascii="Times New Roman" w:hAnsi="Times New Roman" w:eastAsia="宋体" w:cs="Times New Roman"/>
          <w:sz w:val="21"/>
          <w:szCs w:val="21"/>
        </w:rPr>
        <w:t xml:space="preserve"> 与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i</w:t>
      </w:r>
      <w:r>
        <w:rPr>
          <w:rFonts w:ascii="Times New Roman" w:hAnsi="Times New Roman" w:eastAsia="宋体" w:cs="Times New Roman"/>
          <w:sz w:val="21"/>
          <w:szCs w:val="21"/>
        </w:rPr>
        <w:t xml:space="preserve"> 分别为当前时间与成果完成时间。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式(5)是一阶指数加权移动平均，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α</w:t>
      </w:r>
      <w:r>
        <w:rPr>
          <w:rFonts w:ascii="Times New Roman" w:hAnsi="Times New Roman" w:eastAsia="宋体" w:cs="Times New Roman"/>
          <w:sz w:val="21"/>
          <w:szCs w:val="21"/>
        </w:rPr>
        <w:t xml:space="preserve"> 取 0.7 对应记忆长度约 1/(1 −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α</w:t>
      </w:r>
      <w:r>
        <w:rPr>
          <w:rFonts w:ascii="Times New Roman" w:hAnsi="Times New Roman" w:eastAsia="宋体" w:cs="Times New Roman"/>
          <w:sz w:val="21"/>
          <w:szCs w:val="21"/>
        </w:rPr>
        <w:t xml:space="preserve">) ≈ 3.3 个周期，即最新一年贡献约占 70%、历史累积约占 30%，既突出近期活跃度也保留资深人员的积累。时间衰减系数取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λ</w:t>
      </w:r>
      <w:r>
        <w:rPr>
          <w:rFonts w:ascii="Times New Roman" w:hAnsi="Times New Roman" w:eastAsia="宋体" w:cs="Times New Roman"/>
          <w:sz w:val="21"/>
          <w:szCs w:val="21"/>
        </w:rPr>
        <w:t xml:space="preserve"> = 0.14，对应半衰期 ln2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/λ</w:t>
      </w:r>
      <w:r>
        <w:rPr>
          <w:rFonts w:ascii="Times New Roman" w:hAnsi="Times New Roman" w:eastAsia="宋体" w:cs="Times New Roman"/>
          <w:sz w:val="21"/>
          <w:szCs w:val="21"/>
        </w:rPr>
        <w:t xml:space="preserve"> ≈ 4.95 年，成果权重每年降至上年的 86.9%（年衰减约 13.1%），既避免成果永久有效导致评价僵化，也防止衰减过快挫伤长期积累型科研人员的积极性。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标签更新采用双策略：基于 Spring Event 的准实时更新在积分流水生成后 1 s 内触发，异步微调相关权重；每日 2:00 的全量更新批量重算活跃用户近一年的标签权重，并清理权重低于 0.1 的标签。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4.4  多维能力得分与画像渲染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定义标签—能力维度映射矩阵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M</w:t>
      </w:r>
      <w:r>
        <w:rPr>
          <w:rFonts w:ascii="Times New Roman" w:hAnsi="Times New Roman" w:eastAsia="宋体" w:cs="Times New Roman"/>
          <w:sz w:val="21"/>
          <w:szCs w:val="21"/>
        </w:rPr>
        <w:t xml:space="preserve"> ∈ ℝ</w:t>
      </w:r>
      <w:r>
        <w:rPr>
          <w:rFonts w:ascii="Times New Roman" w:hAnsi="Times New Roman" w:eastAsia="宋体" w:cs="Times New Roman"/>
          <w:sz w:val="21"/>
          <w:szCs w:val="21"/>
          <w:vertAlign w:val="superscript"/>
        </w:rPr>
        <w:t xml:space="preserve">T×D</w:t>
      </w:r>
      <w:r>
        <w:rPr>
          <w:rFonts w:ascii="Times New Roman" w:hAnsi="Times New Roman" w:eastAsia="宋体" w:cs="Times New Roman"/>
          <w:sz w:val="21"/>
          <w:szCs w:val="21"/>
        </w:rPr>
        <w:t xml:space="preserve">，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为标签总数，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为能力维度数（本系统取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= 16，即专利发明、成果奖励、成果转换、出版著作、工作文章、技能资质、技术标准、继续教育、荣誉表彰、科普作品、学科团队、学术比赛、学术地位、学术交流、项目课题与发表论文，如图 3 所示）。矩阵元素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m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t,d</w:t>
      </w:r>
      <w:r>
        <w:rPr>
          <w:rFonts w:ascii="Times New Roman" w:hAnsi="Times New Roman" w:eastAsia="宋体" w:cs="Times New Roman"/>
          <w:sz w:val="21"/>
          <w:szCs w:val="21"/>
        </w:rPr>
        <w:t xml:space="preserve"> ∈ [0, 1] 表示标签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t</w:t>
      </w:r>
      <w:r>
        <w:rPr>
          <w:rFonts w:ascii="Times New Roman" w:hAnsi="Times New Roman" w:eastAsia="宋体" w:cs="Times New Roman"/>
          <w:sz w:val="21"/>
          <w:szCs w:val="21"/>
        </w:rPr>
        <w:t xml:space="preserve"> 对维度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的贡献度，满足 Σ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m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t,d</w:t>
      </w:r>
      <w:r>
        <w:rPr>
          <w:rFonts w:ascii="Times New Roman" w:hAnsi="Times New Roman" w:eastAsia="宋体" w:cs="Times New Roman"/>
          <w:sz w:val="21"/>
          <w:szCs w:val="21"/>
        </w:rPr>
        <w:t xml:space="preserve"> = 1，由 3 名科研管理专家按德尔菲法两轮打分确定。用户在各维度上的原始得分为所有标签权重的加权和（式(6)）。由于式(5)已在行为积分层面完成时间衰减修正，式(6)无需再次引入衰减因子，标签权重、能力得分与画像渲染由此构成一条量纲一致的计算链路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>
          <m:e>
            <m:r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d,u</m:t>
            </m:r>
          </m:sub>
        </m:sSub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nary>
          <m:naryPr>
            <m:chr m:val="∑"/>
            <m:limLoc m:val="subSup"/>
            <m:grow m:val="1"/>
            <m:subHide m:val="0"/>
            <m:supHide m:val="0"/>
            <m:ctrlPr/>
          </m:naryPr>
          <m:sub>
            <m:r>
              <w:rPr>
                <w:rFonts w:ascii="Cambria Math" w:hAnsi="Cambria Math"/>
                <w:sz w:val="21"/>
                <w:szCs w:val="21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= 1</m:t>
            </m:r>
          </m:sub>
          <m:sup>
            <m:r>
              <w:rPr>
                <w:rFonts w:ascii="Cambria Math" w:hAnsi="Cambria Math"/>
                <w:sz w:val="21"/>
                <w:szCs w:val="21"/>
              </w:rPr>
              <m:t>T</m:t>
            </m:r>
          </m:sup>
          <m:e>
            <m:d>
              <m:dPr>
                <m:begChr m:val="("/>
                <m:endChr m:val=")"/>
                <m:ctrlPr/>
              </m:dPr>
              <m:e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t,u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 · </m:t>
                </m:r>
                <m:sSub>
                  <m:e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21"/>
                        <w:szCs w:val="21"/>
                      </w:rPr>
                      <m:t>t,d</m:t>
                    </m:r>
                  </m:sub>
                </m:sSub>
              </m:e>
            </m:d>
          </m:e>
        </m:nary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(6)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为消除维度间的量纲差异，对原始得分作归一化处理（式(7)）。</w:t>
      </w:r>
    </w:p>
    <w:p>
      <w:pPr>
        <w:keepNext/>
        <w:keepLines/>
        <w:tabs>
          <w:tab w:val="center" w:pos="4153"/>
          <w:tab w:val="right" w:pos="8306"/>
        </w:tabs>
        <w:spacing w:beforeLines="15" w:before="45" w:afterLines="15" w:after="45"/>
      </w:pPr>
      <w:r>
        <w:tab/>
      </w:r>
      <m:oMath>
        <m:sSubSup>
          <m:e>
            <m:r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hAnsi="Cambria Math"/>
                <w:sz w:val="21"/>
                <w:szCs w:val="21"/>
              </w:rPr>
              <m:t>d,u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′</m:t>
            </m:r>
          </m:sup>
        </m:sSubSup>
        <m:r>
          <m:rPr>
            <m:sty m:val="p"/>
          </m:rPr>
          <w:rPr>
            <w:rFonts w:ascii="Cambria Math" w:hAnsi="Cambria Math"/>
            <w:sz w:val="21"/>
            <w:szCs w:val="21"/>
          </w:rPr>
          <m:t> = </m:t>
        </m:r>
        <m:f>
          <m:fPr>
            <m:ctrlPr/>
          </m:fPr>
          <m:num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d,u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− 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min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1"/>
                <w:szCs w:val="21"/>
              </w:rPr>
              <m:t> − </m:t>
            </m:r>
            <m:sSub>
              <m:e>
                <m:r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d,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1"/>
                    <w:szCs w:val="21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 w:val="21"/>
            <w:szCs w:val="21"/>
          </w:rPr>
          <m:t> × 80 + 20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(7)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式中：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d,min</w:t>
      </w:r>
      <w:r>
        <w:rPr>
          <w:rFonts w:ascii="Times New Roman" w:hAnsi="Times New Roman" w:eastAsia="宋体" w:cs="Times New Roman"/>
          <w:sz w:val="21"/>
          <w:szCs w:val="21"/>
        </w:rPr>
        <w:t xml:space="preserve"> 与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d,max</w:t>
      </w:r>
      <w:r>
        <w:rPr>
          <w:rFonts w:ascii="Times New Roman" w:hAnsi="Times New Roman" w:eastAsia="宋体" w:cs="Times New Roman"/>
          <w:sz w:val="21"/>
          <w:szCs w:val="21"/>
        </w:rPr>
        <w:t xml:space="preserve"> 分别为全中心用户在维度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d</w:t>
      </w:r>
      <w:r>
        <w:rPr>
          <w:rFonts w:ascii="Times New Roman" w:hAnsi="Times New Roman" w:eastAsia="宋体" w:cs="Times New Roman"/>
          <w:sz w:val="21"/>
          <w:szCs w:val="21"/>
        </w:rPr>
        <w:t xml:space="preserve"> 上的最低与最高原始得分。结果映射至 [20, 100] 而非 [0, 100]，以避免最低分用户恒为 0、雷达图退化为尖刺；当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d,max</w:t>
      </w:r>
      <w:r>
        <w:rPr>
          <w:rFonts w:ascii="Times New Roman" w:hAnsi="Times New Roman" w:eastAsia="宋体" w:cs="Times New Roman"/>
          <w:sz w:val="21"/>
          <w:szCs w:val="21"/>
        </w:rPr>
        <w:t xml:space="preserve"> =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d,min</w:t>
      </w:r>
      <w:r>
        <w:rPr>
          <w:rFonts w:ascii="Times New Roman" w:hAnsi="Times New Roman" w:eastAsia="宋体" w:cs="Times New Roman"/>
          <w:sz w:val="21"/>
          <w:szCs w:val="21"/>
        </w:rPr>
        <w:t xml:space="preserve"> 时直接取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 xml:space="preserve">′</w:t>
      </w:r>
      <w:r>
        <w:rPr>
          <w:rFonts w:ascii="Times New Roman" w:hAnsi="Times New Roman" w:eastAsia="宋体" w:cs="Times New Roman"/>
          <w:sz w:val="21"/>
          <w:szCs w:val="21"/>
          <w:vertAlign w:val="subscript"/>
        </w:rPr>
        <w:t xml:space="preserve">d,u</w:t>
      </w:r>
      <w:r>
        <w:rPr>
          <w:rFonts w:ascii="Times New Roman" w:hAnsi="Times New Roman" w:eastAsia="宋体" w:cs="Times New Roman"/>
          <w:sz w:val="21"/>
          <w:szCs w:val="21"/>
        </w:rPr>
        <w:t xml:space="preserve"> = 60，避免分母为零。因二者随人员流动与年度产出变化，式(7)适用于同一周期内的横向比较，跨年度比较时以上线首年的分布为固定基准。归一化得分直接对应雷达图半径，前端另配积分趋势折线图、团队贡献矩阵与标签云图[10]。</w:t>
      </w:r>
    </w:p>
    <w:p>
      <w:pPr>
        <w:keepNext/>
        <w:keepLines/>
        <w:spacing w:beforeLines="15" w:before="45" w:afterLines="5" w:after="15"/>
        <w:jc w:val="center"/>
      </w:pPr>
      <w:r>
        <w:rPr>
          <w:rFonts w:ascii="Times New Roman" w:hAnsi="Times New Roman" w:eastAsia="宋体" w:cs="Times New Roman"/>
          <w:sz w:val="21"/>
          <w:szCs w:val="21"/>
        </w:rPr>
        <w:drawing>
          <wp:inline distT="0" distB="0" distL="0" distR="0">
            <wp:extent cx="2834640" cy="2834640"/>
            <wp:effectExtent l="0" t="0" r="0" b="0"/>
            <wp:docPr id="103" name="fig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beforeLines="10" w:before="30" w:afterLines="30" w:after="90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图 3  人才画像能力雷达图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4.5  轻量级状态机工作流引擎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针对疾控中心审核流程相对固定但存在微调需求的特点，本文实现了无第三方框架依赖的状态机工作流引擎。引擎定义草稿、待初审、初审驳回、待复核、复核驳回、待终审与终审通过 7 种状态，以及提交、初审通过/驳回、复核通过/驳回、终审通过/驳回 7 种转换事件：草稿经提交进入待初审，初审与复核通过后依次进入待复核、待终审；任一环节驳回则回退至对应驳回态，修改后重新提交回到待初审。系统通过 workflow_config 表配置每个状态的处理人、处理时限与下一状态；事件触发时引擎依次校验操作权限、更新状态、记录操作日志、通知下一处理人，并在终审通过时触发积分计算。管理员可通过修改配置调整审核环节或处理人，无需重启系统[5]。</w:t>
      </w:r>
    </w:p>
    <w:p>
      <w:pPr>
        <w:keepNext/>
        <w:keepLines/>
        <w:spacing w:beforeLines="30" w:before="90" w:afterLines="20" w:after="60"/>
        <w:outlineLvl w:val="1"/>
      </w:pPr>
      <w:r>
        <w:rPr>
          <w:rFonts w:ascii="Times New Roman" w:hAnsi="Times New Roman" w:eastAsia="黑体" w:cs="Times New Roman"/>
          <w:sz w:val="21"/>
          <w:szCs w:val="21"/>
        </w:rPr>
        <w:t xml:space="preserve">4.6  性能优化与安全设计</w:t>
      </w:r>
    </w:p>
    <w:p>
      <w:pPr>
        <w:spacing w:beforeLines="6" w:before="18"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系统引入 Redis 缓存应对高频积分查询，采用 Cache-Aside 模式（写入时先更新数据库再删除缓存），并以空值缓存与分布式锁分别防止缓存穿透与击穿[15]；数据库层面针对核心查询路径建立联合索引，启用慢查询日志并优化 InnoDB 配置[16]。安全方面整合 Spring Security 与 JWT 实现无状态认证，通过令牌过期与刷新防止会话劫持[14]；系统涉及 270 名科研人员的学历、职称与成果数据，均按《中华人民共和国个人信息保护法》实施最小必要采集与分级授权访问，敏感字段脱敏并留存审计日志。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5  系统测试与应用效果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测试环境为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 核 CPU / ×× GB 内存</w:t>
      </w:r>
      <w:r>
        <w:rPr>
          <w:rFonts w:ascii="Times New Roman" w:hAnsi="Times New Roman" w:eastAsia="宋体" w:cs="Times New Roman"/>
          <w:sz w:val="21"/>
          <w:szCs w:val="21"/>
        </w:rPr>
        <w:t xml:space="preserve">、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CentOS 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、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OpenJDK 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、MySQL 8.0 与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Redis 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，压力测试工具为 Apache JMeter。按五大模块设计的功能测试用例覆盖正常流程、边界条件与异常输入，结果如表 2 所示；核心接口在不同并发下的性能（含关闭 Redis 缓存的对照）如表 3 所示。</w:t>
      </w:r>
    </w:p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2  功能测试结果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1406"/>
        <w:gridCol w:w="1150"/>
        <w:gridCol w:w="1150"/>
        <w:gridCol w:w="1150"/>
        <w:gridCol w:w="1150"/>
        <w:gridCol w:w="1150"/>
        <w:gridCol w:w="1150"/>
      </w:tblGrid>
      <w:tr>
        <w:trPr>
          <w:cantSplit/>
          <w:tblHeader/>
        </w:trPr>
        <w:tc>
          <w:tcPr>
            <w:tcW w:w="1406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功能模块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积分管理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人才画像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统计分析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申报审核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系统管理</w:t>
            </w:r>
          </w:p>
        </w:tc>
        <w:tc>
          <w:tcPr>
            <w:tcW w:w="115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合计</w:t>
            </w:r>
          </w:p>
        </w:tc>
      </w:tr>
      <w:tr>
        <w:trPr>
          <w:cantSplit/>
        </w:trPr>
        <w:tc>
          <w:tcPr>
            <w:tcW w:w="14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用例数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4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通过数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406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通过率 / %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5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</w:tbl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3  核心接口性能测试结果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1300"/>
        <w:gridCol w:w="1500"/>
        <w:gridCol w:w="1400"/>
        <w:gridCol w:w="1500"/>
        <w:gridCol w:w="1100"/>
        <w:gridCol w:w="1506"/>
      </w:tblGrid>
      <w:tr>
        <w:trPr>
          <w:cantSplit/>
          <w:tblHeader/>
        </w:trPr>
        <w:tc>
          <w:tcPr>
            <w:tcW w:w="13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并发用户数</w:t>
            </w:r>
          </w:p>
        </w:tc>
        <w:tc>
          <w:tcPr>
            <w:tcW w:w="15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平均响应 / ms</w:t>
            </w:r>
          </w:p>
        </w:tc>
        <w:tc>
          <w:tcPr>
            <w:tcW w:w="14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95% 响应 / ms</w:t>
            </w:r>
          </w:p>
        </w:tc>
        <w:tc>
          <w:tcPr>
            <w:tcW w:w="15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吞吐量 / (次·s⁻¹)</w:t>
            </w:r>
          </w:p>
        </w:tc>
        <w:tc>
          <w:tcPr>
            <w:tcW w:w="11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错误率 / %</w:t>
            </w:r>
          </w:p>
        </w:tc>
        <w:tc>
          <w:tcPr>
            <w:tcW w:w="1506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关闭缓存平均响应 / ms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50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100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200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3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500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4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1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6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</w:tbl>
    <w:p>
      <w:pPr>
        <w:spacing w:beforeLines="6" w:before="18"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为评价标签准确性，从 270 名科研人员中随机抽取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 名，由 3 名科研管理专家依据其近三年科研档案独立标注能力标签，以三人一致的结果为金标准与系统输出比对。系统共生成 32 个动态能力标签，准确率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%、召回率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%、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F</w:t>
      </w:r>
      <w:r>
        <w:rPr>
          <w:rFonts w:ascii="Times New Roman" w:hAnsi="Times New Roman" w:eastAsia="宋体" w:cs="Times New Roman"/>
          <w:sz w:val="21"/>
          <w:szCs w:val="21"/>
        </w:rPr>
        <w:t xml:space="preserve">1 值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，专家标注 Kappa 系数 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21"/>
          <w:szCs w:val="21"/>
        </w:rPr>
        <w:t xml:space="preserve">。以上线前后各 3 个月的科研管理台账与系统日志为数据源的应用效果对比如表 4 所示。</w:t>
      </w:r>
    </w:p>
    <w:p>
      <w:pPr>
        <w:keepNext/>
        <w:keepLines/>
        <w:spacing w:beforeLines="12" w:before="36" w:afterLines="6" w:after="18"/>
        <w:jc w:val="center"/>
      </w:pPr>
      <w:r>
        <w:rPr>
          <w:rFonts w:ascii="Times New Roman" w:hAnsi="Times New Roman" w:eastAsia="黑体" w:cs="Times New Roman"/>
          <w:sz w:val="18"/>
          <w:szCs w:val="18"/>
        </w:rPr>
        <w:t xml:space="preserve">表 4  系统上线前后应用效果对比</w:t>
      </w:r>
    </w:p>
    <w:tbl>
      <w:tblPr>
        <w:tblW w:w="83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28" w:type="dxa"/>
          <w:left w:w="64" w:type="dxa"/>
          <w:bottom w:w="28" w:type="dxa"/>
          <w:right w:w="64" w:type="dxa"/>
        </w:tblCellMar>
      </w:tblPr>
      <w:tblGrid>
        <w:gridCol w:w="1806"/>
        <w:gridCol w:w="1300"/>
        <w:gridCol w:w="1500"/>
        <w:gridCol w:w="1300"/>
        <w:gridCol w:w="1200"/>
        <w:gridCol w:w="1200"/>
      </w:tblGrid>
      <w:tr>
        <w:trPr>
          <w:cantSplit/>
          <w:tblHeader/>
        </w:trPr>
        <w:tc>
          <w:tcPr>
            <w:tcW w:w="1806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指标</w:t>
            </w:r>
          </w:p>
        </w:tc>
        <w:tc>
          <w:tcPr>
            <w:tcW w:w="13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申报单量 / 件</w:t>
            </w:r>
          </w:p>
        </w:tc>
        <w:tc>
          <w:tcPr>
            <w:tcW w:w="15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平均审核周期 / d</w:t>
            </w:r>
          </w:p>
        </w:tc>
        <w:tc>
          <w:tcPr>
            <w:tcW w:w="13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超时未办结 / 件</w:t>
            </w:r>
          </w:p>
        </w:tc>
        <w:tc>
          <w:tcPr>
            <w:tcW w:w="12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核算差错 / 件</w:t>
            </w:r>
          </w:p>
        </w:tc>
        <w:tc>
          <w:tcPr>
            <w:tcW w:w="120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  <w:szCs w:val="18"/>
              </w:rPr>
              <w:t xml:space="preserve">人均月查询 / 次</w:t>
            </w:r>
          </w:p>
        </w:tc>
      </w:tr>
      <w:tr>
        <w:trPr>
          <w:cantSplit/>
        </w:trPr>
        <w:tc>
          <w:tcPr>
            <w:tcW w:w="1806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上线前（线下）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nil" w:sz="0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  <w:tr>
        <w:trPr>
          <w:cantSplit/>
        </w:trPr>
        <w:tc>
          <w:tcPr>
            <w:tcW w:w="1806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上线后（系统）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5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3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 xml:space="preserve">0</w:t>
            </w:r>
          </w:p>
        </w:tc>
        <w:tc>
          <w:tcPr>
            <w:tcW w:w="1200" w:type="dxa"/>
            <w:tcBorders>
              <w:top w:val="nil" w:sz="0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sz w:val="18"/>
                <w:szCs w:val="18"/>
                <w:highlight w:val="yellow"/>
              </w:rPr>
              <w:t xml:space="preserve">××</w:t>
            </w:r>
          </w:p>
        </w:tc>
      </w:tr>
    </w:tbl>
    <w:p>
      <w:pPr>
        <w:spacing w:beforeLines="6" w:before="18"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由表 4 可见，系统上线后申报与审核实现全流程线上化，审核周期与核算差错显著下降，排行与画像信息的实时可视化也提升了科研人员的参与度。</w:t>
      </w:r>
    </w:p>
    <w:p>
      <w:pPr>
        <w:keepNext/>
        <w:keepLines/>
        <w:spacing w:beforeLines="50" w:before="150" w:afterLines="30" w:after="90"/>
        <w:outlineLvl w:val="0"/>
      </w:pPr>
      <w:r>
        <w:rPr>
          <w:rFonts w:ascii="Times New Roman" w:hAnsi="Times New Roman" w:eastAsia="黑体" w:cs="Times New Roman"/>
          <w:sz w:val="24"/>
          <w:szCs w:val="24"/>
        </w:rPr>
        <w:t xml:space="preserve">6  结论与展望</w:t>
      </w:r>
    </w:p>
    <w:p>
      <w:pPr>
        <w:spacing w:line="300" w:lineRule="auto"/>
        <w:ind w:firstLineChars="200" w:firstLine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本文设计并实现了基于 Spring Boot 与 MyBatis 的疾控科研积分管理系统：针对多作者成果提出分段权重分配模型并与守恒型方法作了对比；将指数时间衰减前置于行为积分归一化环节，使标签权重、能力维度得分与人才画像形成量纲一致的统一计算链路；基于有限状态机实现了无第三方依赖的审批工作流引擎。系统运行期间审核周期与积分核算差错显著下降，有效支撑了科研人才的精细化评价与激励。后续将开展 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α</w:t>
      </w:r>
      <w:r>
        <w:rPr>
          <w:rFonts w:ascii="Times New Roman" w:hAnsi="Times New Roman" w:eastAsia="宋体" w:cs="Times New Roman"/>
          <w:sz w:val="21"/>
          <w:szCs w:val="21"/>
        </w:rPr>
        <w:t xml:space="preserve">、</w:t>
      </w:r>
      <w:r>
        <w:rPr>
          <w:rFonts w:ascii="Times New Roman" w:hAnsi="Times New Roman" w:eastAsia="宋体" w:cs="Times New Roman"/>
          <w:i/>
          <w:iCs/>
          <w:sz w:val="21"/>
          <w:szCs w:val="21"/>
        </w:rPr>
        <w:t xml:space="preserve">λ</w:t>
      </w:r>
      <w:r>
        <w:rPr>
          <w:rFonts w:ascii="Times New Roman" w:hAnsi="Times New Roman" w:eastAsia="宋体" w:cs="Times New Roman"/>
          <w:sz w:val="21"/>
          <w:szCs w:val="21"/>
        </w:rPr>
        <w:t xml:space="preserve"> 的敏感性分析以提升模型稳健性，并与人事、财务等系统实现数据互通。</w:t>
      </w:r>
    </w:p>
    <w:p>
      <w:pPr>
        <w:spacing w:beforeLines="35" w:before="105" w:afterLines="18" w:after="54"/>
        <w:jc w:val="center"/>
      </w:pPr>
      <w:r>
        <w:rPr>
          <w:rFonts w:ascii="Times New Roman" w:hAnsi="Times New Roman" w:eastAsia="黑体" w:cs="Times New Roman"/>
          <w:sz w:val="24"/>
          <w:szCs w:val="24"/>
        </w:rPr>
        <w:t xml:space="preserve">参考文献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[1] </w:t>
      </w:r>
      <w:r>
        <w:rPr>
          <w:rFonts w:ascii="Times New Roman" w:hAnsi="Times New Roman" w:eastAsia="宋体" w:cs="Times New Roman"/>
          <w:sz w:val="18"/>
          <w:szCs w:val="18"/>
        </w:rPr>
        <w:t xml:space="preserve">李涛, 关健, 吴沛新. 卫生政策与管理研究领域科技评价体系的思考和建议[J]. 中华医学科研管理杂志, 2023, 36(4): 259-265.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[2] </w:t>
      </w:r>
      <w:r>
        <w:rPr>
          <w:rFonts w:ascii="Times New Roman" w:hAnsi="Times New Roman" w:eastAsia="宋体" w:cs="Times New Roman"/>
          <w:sz w:val="18"/>
          <w:szCs w:val="18"/>
        </w:rPr>
        <w:t xml:space="preserve">沈杨阳. 国家科研管理机构组织颠覆性技术创新的实践路径[J]. 中国科技论坛, 2026(5): 1-11.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[3] </w:t>
      </w:r>
      <w:r>
        <w:rPr>
          <w:rFonts w:ascii="Times New Roman" w:hAnsi="Times New Roman" w:eastAsia="宋体" w:cs="Times New Roman"/>
          <w:sz w:val="18"/>
          <w:szCs w:val="18"/>
        </w:rPr>
        <w:t xml:space="preserve">AMARAL P, MAGALHÃES P. Performance-based funding and research productivity: a longitudinal analysis of European universities[J]. Scientometrics, 2024, 129(3): 1587-1612.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[4] </w:t>
      </w:r>
      <w:r>
        <w:rPr>
          <w:rFonts w:ascii="Times New Roman" w:hAnsi="Times New Roman" w:eastAsia="宋体" w:cs="Times New Roman"/>
          <w:sz w:val="18"/>
          <w:szCs w:val="18"/>
        </w:rPr>
        <w:t xml:space="preserve">LEI F. Design and implementation assurance of a dynamic indicator system for classified faculty performance evaluation in the post-"breaking the five onlys" era[J]. World Journal of Educational Studies, 2025, 3(9): 16-31.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[5] </w:t>
      </w:r>
      <w:r>
        <w:rPr>
          <w:rFonts w:ascii="Times New Roman" w:hAnsi="Times New Roman" w:eastAsia="宋体" w:cs="Times New Roman"/>
          <w:sz w:val="18"/>
          <w:szCs w:val="18"/>
        </w:rPr>
        <w:t xml:space="preserve">ZHANG Y, LI H, WANG J. A lightweight microservice orchestration framework based on Spring Boot for edge-cloud collaborative computing in industrial IoT[J]. IEEE Internet of Things Journal, 2025, 12(4): 5821-5834.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[6] </w:t>
      </w:r>
      <w:r>
        <w:rPr>
          <w:rFonts w:ascii="Times New Roman" w:hAnsi="Times New Roman" w:eastAsia="宋体" w:cs="Times New Roman"/>
          <w:sz w:val="18"/>
          <w:szCs w:val="18"/>
        </w:rPr>
        <w:t xml:space="preserve">刘盛, 王占云. 基于SpringBoot+Vue微服务架构的科研样本库管理系统的设计与实现[J]. 信息系统工程, 2025(4): 4-7.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[7] </w:t>
      </w:r>
      <w:r>
        <w:rPr>
          <w:rFonts w:ascii="Times New Roman" w:hAnsi="Times New Roman" w:eastAsia="宋体" w:cs="Times New Roman"/>
          <w:sz w:val="18"/>
          <w:szCs w:val="18"/>
        </w:rPr>
        <w:t xml:space="preserve">季甜甜, 刘冬冬. 基于Vue前端性能的研究与分析[J]. 阜阳师范大学学报(自然科学版), 2024, 41(1): 15-22.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[8] </w:t>
      </w:r>
      <w:r>
        <w:rPr>
          <w:rFonts w:ascii="Times New Roman" w:hAnsi="Times New Roman" w:eastAsia="宋体" w:cs="Times New Roman"/>
          <w:sz w:val="18"/>
          <w:szCs w:val="18"/>
        </w:rPr>
        <w:t xml:space="preserve">张岩. 基于Spring Boot的公共卫生服务平台设计[J]. 现代信息技术, 2026, 10(1): 105-110, 116.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[9] </w:t>
      </w:r>
      <w:r>
        <w:rPr>
          <w:rFonts w:ascii="Times New Roman" w:hAnsi="Times New Roman" w:eastAsia="宋体" w:cs="Times New Roman"/>
          <w:sz w:val="18"/>
          <w:szCs w:val="18"/>
        </w:rPr>
        <w:t xml:space="preserve">罗仕鉴, 郭和睿, 钟素萍, 等. 智能体驱动的产品设计用户画像生成方法[J]. 计算机集成制造系统, 2025, 31(11): 3919-3931.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[10] </w:t>
      </w:r>
      <w:r>
        <w:rPr>
          <w:rFonts w:ascii="Times New Roman" w:hAnsi="Times New Roman" w:eastAsia="宋体" w:cs="Times New Roman"/>
          <w:sz w:val="18"/>
          <w:szCs w:val="18"/>
        </w:rPr>
        <w:t xml:space="preserve">白菁昊, 庄俊玺. 面向学习者画像的时序动态标签构建及预测方法[J]. 计算机科学, 2026, 53(5): 79-89.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[11] </w:t>
      </w:r>
      <w:r>
        <w:rPr>
          <w:rFonts w:ascii="Times New Roman" w:hAnsi="Times New Roman" w:eastAsia="宋体" w:cs="Times New Roman"/>
          <w:sz w:val="18"/>
          <w:szCs w:val="18"/>
        </w:rPr>
        <w:t xml:space="preserve">来天平, 王永超, 罗盘, 等. 基于角色资源级别的权限控制模型的设计与应用研究[J]. 通信学报, 2024, 45(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): 153-159.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[12] </w:t>
      </w:r>
      <w:r>
        <w:rPr>
          <w:rFonts w:ascii="Times New Roman" w:hAnsi="Times New Roman" w:eastAsia="宋体" w:cs="Times New Roman"/>
          <w:sz w:val="18"/>
          <w:szCs w:val="18"/>
        </w:rPr>
        <w:t xml:space="preserve">DURDAG O, COŞKUNÇAY A. Reconfiguring role-based access control via role clustering[J]. IEEE Access, 2025, 13: 72984-72993.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[13] </w:t>
      </w:r>
      <w:r>
        <w:rPr>
          <w:rFonts w:ascii="Times New Roman" w:hAnsi="Times New Roman" w:eastAsia="宋体" w:cs="Times New Roman"/>
          <w:sz w:val="18"/>
          <w:szCs w:val="18"/>
        </w:rPr>
        <w:t xml:space="preserve">魏巍. 基于RBAC模型云资源管理系统访问控制权限的设计与实施[J]. 科学技术创新, 2025(2): 122-125.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[14] </w:t>
      </w:r>
      <w:r>
        <w:rPr>
          <w:rFonts w:ascii="Times New Roman" w:hAnsi="Times New Roman" w:eastAsia="宋体" w:cs="Times New Roman"/>
          <w:sz w:val="18"/>
          <w:szCs w:val="18"/>
        </w:rPr>
        <w:t xml:space="preserve">何立富. 前后端分离环境下Spring Security权限系统构建与实现[J]. 电脑编程技巧与维护, 2025(10): 3-7.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[15] </w:t>
      </w:r>
      <w:r>
        <w:rPr>
          <w:rFonts w:ascii="Times New Roman" w:hAnsi="Times New Roman" w:eastAsia="宋体" w:cs="Times New Roman"/>
          <w:sz w:val="18"/>
          <w:szCs w:val="18"/>
        </w:rPr>
        <w:t xml:space="preserve">WANG Y C, YANG J Y, WANG Z L. kRedis: multi-tenant in-memory key-value cache partitioning using efficient random sampling-based LRU model[J]. IEEE Transactions on Cloud Computing, 2023, 11(4): 1-18.</w:t>
      </w:r>
    </w:p>
    <w:p>
      <w:pPr>
        <w:spacing w:afterLines="1" w:after="3" w:line="250" w:lineRule="auto"/>
      </w:pPr>
      <w:r>
        <w:rPr>
          <w:rFonts w:ascii="Times New Roman" w:hAnsi="Times New Roman" w:eastAsia="宋体" w:cs="Times New Roman"/>
          <w:sz w:val="18"/>
          <w:szCs w:val="18"/>
        </w:rPr>
        <w:t xml:space="preserve">[16] </w:t>
      </w:r>
      <w:r>
        <w:rPr>
          <w:rFonts w:ascii="Times New Roman" w:hAnsi="Times New Roman" w:eastAsia="宋体" w:cs="Times New Roman"/>
          <w:sz w:val="18"/>
          <w:szCs w:val="18"/>
        </w:rPr>
        <w:t xml:space="preserve">卢超, 杨朝树, 姚政竹, 等. 基于持久内存的B+树索引优化综述[J]. 计算机科学, 2026, 53(1): 77-88.</w:t>
      </w:r>
    </w:p>
    <w:p>
      <w:pPr>
        <w:pBdr>
          <w:bottom w:val="single" w:sz="6" w:space="1" w:color="auto"/>
        </w:pBdr>
        <w:spacing w:beforeLines="18" w:before="54"/>
      </w:pPr>
      <w:r>
        <w:rPr>
          <w:rFonts w:ascii="Times New Roman" w:hAnsi="Times New Roman" w:eastAsia="宋体" w:cs="Times New Roman"/>
          <w:sz w:val="18"/>
          <w:szCs w:val="18"/>
        </w:rPr>
        <w:t xml:space="preserve"/>
      </w:r>
    </w:p>
    <w:p>
      <w:pPr>
        <w:spacing w:afterLines="2" w:after="6" w:line="250" w:lineRule="auto"/>
      </w:pPr>
      <w:r>
        <w:rPr>
          <w:rFonts w:ascii="Times New Roman" w:hAnsi="Times New Roman" w:eastAsia="黑体" w:cs="Times New Roman"/>
          <w:sz w:val="18"/>
          <w:szCs w:val="18"/>
        </w:rPr>
        <w:t xml:space="preserve">基金项目：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××××（项目编号：××××）</w:t>
      </w:r>
      <w:r>
        <w:rPr>
          <w:rFonts w:ascii="Times New Roman" w:hAnsi="Times New Roman" w:eastAsia="宋体" w:cs="Times New Roman"/>
          <w:color w:val="808080"/>
          <w:sz w:val="18"/>
          <w:szCs w:val="18"/>
        </w:rPr>
        <w:t xml:space="preserve">（无基金资助请整段删除）</w:t>
      </w:r>
    </w:p>
    <w:p>
      <w:pPr>
        <w:spacing w:line="250" w:lineRule="auto"/>
      </w:pPr>
      <w:r>
        <w:rPr>
          <w:rFonts w:ascii="Times New Roman" w:hAnsi="Times New Roman" w:eastAsia="黑体" w:cs="Times New Roman"/>
          <w:sz w:val="18"/>
          <w:szCs w:val="18"/>
        </w:rPr>
        <w:t xml:space="preserve">作者简介：</w:t>
      </w:r>
      <w:r>
        <w:rPr>
          <w:rFonts w:ascii="Times New Roman" w:hAnsi="Times New Roman" w:eastAsia="宋体" w:cs="Times New Roman"/>
          <w:sz w:val="18"/>
          <w:szCs w:val="18"/>
        </w:rPr>
        <w:t xml:space="preserve">杨文超（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19××</w:t>
      </w:r>
      <w:r>
        <w:rPr>
          <w:rFonts w:ascii="Times New Roman" w:hAnsi="Times New Roman" w:eastAsia="宋体" w:cs="Times New Roman"/>
          <w:sz w:val="18"/>
          <w:szCs w:val="18"/>
        </w:rPr>
        <w:t xml:space="preserve">—），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性别</w:t>
      </w:r>
      <w:r>
        <w:rPr>
          <w:rFonts w:ascii="Times New Roman" w:hAnsi="Times New Roman" w:eastAsia="宋体" w:cs="Times New Roman"/>
          <w:sz w:val="18"/>
          <w:szCs w:val="18"/>
        </w:rPr>
        <w:t xml:space="preserve">，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籍贯</w:t>
      </w:r>
      <w:r>
        <w:rPr>
          <w:rFonts w:ascii="Times New Roman" w:hAnsi="Times New Roman" w:eastAsia="宋体" w:cs="Times New Roman"/>
          <w:sz w:val="18"/>
          <w:szCs w:val="18"/>
        </w:rPr>
        <w:t xml:space="preserve">人，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职称/学历</w:t>
      </w:r>
      <w:r>
        <w:rPr>
          <w:rFonts w:ascii="Times New Roman" w:hAnsi="Times New Roman" w:eastAsia="宋体" w:cs="Times New Roman"/>
          <w:sz w:val="18"/>
          <w:szCs w:val="18"/>
        </w:rPr>
        <w:t xml:space="preserve">，主要研究方向为科研管理信息化、公共卫生数据分析。E-mail：</w:t>
      </w:r>
      <w:r>
        <w:rPr>
          <w:rFonts w:ascii="Times New Roman" w:hAnsi="Times New Roman" w:eastAsia="宋体" w:cs="Times New Roman"/>
          <w:sz w:val="21"/>
          <w:szCs w:val="21"/>
          <w:highlight w:val="yellow"/>
        </w:rPr>
        <w:t xml:space="preserve">××@××</w:t>
      </w:r>
    </w:p>
    <w:sectPr w:rsidR="005B51E2" w:rsidRPr="000B2B9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6BC65" w14:textId="77777777" w:rsidR="005D75C4" w:rsidRDefault="005D75C4" w:rsidP="005B51E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2EE1DD0" w14:textId="77777777" w:rsidR="005D75C4" w:rsidRDefault="005D75C4" w:rsidP="005B51E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charset w:val="86"/>
    <w:family w:val="roman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AAC15" w14:textId="77777777" w:rsidR="005D75C4" w:rsidRDefault="005D75C4" w:rsidP="005B51E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969622" w14:textId="77777777" w:rsidR="005D75C4" w:rsidRDefault="005D75C4" w:rsidP="005B51E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C8B"/>
    <w:multiLevelType w:val="hybridMultilevel"/>
    <w:tmpl w:val="C9BCEF2C"/>
    <w:lvl w:ilvl="0" w:tplc="77A0A88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94149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D08"/>
    <w:rsid w:val="00001389"/>
    <w:rsid w:val="00021476"/>
    <w:rsid w:val="00030E9E"/>
    <w:rsid w:val="0003457F"/>
    <w:rsid w:val="00047837"/>
    <w:rsid w:val="00086AF0"/>
    <w:rsid w:val="0009541E"/>
    <w:rsid w:val="000B2A1D"/>
    <w:rsid w:val="000B2B95"/>
    <w:rsid w:val="000B528F"/>
    <w:rsid w:val="000D662A"/>
    <w:rsid w:val="000E77BA"/>
    <w:rsid w:val="00102829"/>
    <w:rsid w:val="00105192"/>
    <w:rsid w:val="00105E66"/>
    <w:rsid w:val="00113A0C"/>
    <w:rsid w:val="00121E97"/>
    <w:rsid w:val="00137F41"/>
    <w:rsid w:val="00141A88"/>
    <w:rsid w:val="0015225F"/>
    <w:rsid w:val="001650C7"/>
    <w:rsid w:val="0016734A"/>
    <w:rsid w:val="00185434"/>
    <w:rsid w:val="00195740"/>
    <w:rsid w:val="001A14C5"/>
    <w:rsid w:val="001A70A1"/>
    <w:rsid w:val="00210DD2"/>
    <w:rsid w:val="00225CDE"/>
    <w:rsid w:val="0026328B"/>
    <w:rsid w:val="00274CDD"/>
    <w:rsid w:val="0029409F"/>
    <w:rsid w:val="002B1675"/>
    <w:rsid w:val="002C1EE2"/>
    <w:rsid w:val="002C433D"/>
    <w:rsid w:val="002E6926"/>
    <w:rsid w:val="0032250C"/>
    <w:rsid w:val="00345497"/>
    <w:rsid w:val="0036506E"/>
    <w:rsid w:val="00395316"/>
    <w:rsid w:val="003B3A98"/>
    <w:rsid w:val="003E415E"/>
    <w:rsid w:val="003F7C45"/>
    <w:rsid w:val="0041664F"/>
    <w:rsid w:val="00461777"/>
    <w:rsid w:val="004618BD"/>
    <w:rsid w:val="00462952"/>
    <w:rsid w:val="00467B1E"/>
    <w:rsid w:val="004768A6"/>
    <w:rsid w:val="004868A9"/>
    <w:rsid w:val="004C3455"/>
    <w:rsid w:val="004D2C3A"/>
    <w:rsid w:val="004D47DF"/>
    <w:rsid w:val="004E7822"/>
    <w:rsid w:val="004F0C29"/>
    <w:rsid w:val="004F3A2B"/>
    <w:rsid w:val="00517EE6"/>
    <w:rsid w:val="005204A7"/>
    <w:rsid w:val="00536BF2"/>
    <w:rsid w:val="005839D6"/>
    <w:rsid w:val="005A7A10"/>
    <w:rsid w:val="005B2EE8"/>
    <w:rsid w:val="005B51E2"/>
    <w:rsid w:val="005C0270"/>
    <w:rsid w:val="005C08A7"/>
    <w:rsid w:val="005D183C"/>
    <w:rsid w:val="005D75C4"/>
    <w:rsid w:val="005E7DD3"/>
    <w:rsid w:val="00667BAE"/>
    <w:rsid w:val="0068567B"/>
    <w:rsid w:val="006B33D1"/>
    <w:rsid w:val="006B39CC"/>
    <w:rsid w:val="006D3F39"/>
    <w:rsid w:val="006D5CCC"/>
    <w:rsid w:val="006E2399"/>
    <w:rsid w:val="006F38AF"/>
    <w:rsid w:val="00714292"/>
    <w:rsid w:val="00720321"/>
    <w:rsid w:val="007337FF"/>
    <w:rsid w:val="00746169"/>
    <w:rsid w:val="00761940"/>
    <w:rsid w:val="00785AAE"/>
    <w:rsid w:val="007C7F15"/>
    <w:rsid w:val="007E4292"/>
    <w:rsid w:val="008557F7"/>
    <w:rsid w:val="00856FED"/>
    <w:rsid w:val="0087417B"/>
    <w:rsid w:val="00875153"/>
    <w:rsid w:val="008963A2"/>
    <w:rsid w:val="008A1791"/>
    <w:rsid w:val="008B2229"/>
    <w:rsid w:val="008B58C6"/>
    <w:rsid w:val="008C143B"/>
    <w:rsid w:val="008D51EC"/>
    <w:rsid w:val="008D62E4"/>
    <w:rsid w:val="008E3D08"/>
    <w:rsid w:val="008E606E"/>
    <w:rsid w:val="008E74E4"/>
    <w:rsid w:val="009312CD"/>
    <w:rsid w:val="009731EC"/>
    <w:rsid w:val="009859A3"/>
    <w:rsid w:val="009A549B"/>
    <w:rsid w:val="009B7C32"/>
    <w:rsid w:val="00A25E48"/>
    <w:rsid w:val="00A334E5"/>
    <w:rsid w:val="00A55135"/>
    <w:rsid w:val="00A55145"/>
    <w:rsid w:val="00AA2A57"/>
    <w:rsid w:val="00AC3431"/>
    <w:rsid w:val="00AE3374"/>
    <w:rsid w:val="00AF4551"/>
    <w:rsid w:val="00AF766E"/>
    <w:rsid w:val="00B02F4E"/>
    <w:rsid w:val="00B05E48"/>
    <w:rsid w:val="00B071D1"/>
    <w:rsid w:val="00B3598A"/>
    <w:rsid w:val="00B47C72"/>
    <w:rsid w:val="00B62835"/>
    <w:rsid w:val="00B649D3"/>
    <w:rsid w:val="00B73E7B"/>
    <w:rsid w:val="00B87BD5"/>
    <w:rsid w:val="00BB17A8"/>
    <w:rsid w:val="00BB1B84"/>
    <w:rsid w:val="00BD2C4D"/>
    <w:rsid w:val="00BD6237"/>
    <w:rsid w:val="00BE41C0"/>
    <w:rsid w:val="00BF1437"/>
    <w:rsid w:val="00C14545"/>
    <w:rsid w:val="00C15A6D"/>
    <w:rsid w:val="00C30F17"/>
    <w:rsid w:val="00C95DD2"/>
    <w:rsid w:val="00C97E23"/>
    <w:rsid w:val="00CA3F85"/>
    <w:rsid w:val="00CB2F26"/>
    <w:rsid w:val="00CB74F4"/>
    <w:rsid w:val="00CF7776"/>
    <w:rsid w:val="00D124CA"/>
    <w:rsid w:val="00D45627"/>
    <w:rsid w:val="00D60DAC"/>
    <w:rsid w:val="00D66A22"/>
    <w:rsid w:val="00D76D93"/>
    <w:rsid w:val="00DA69E2"/>
    <w:rsid w:val="00E06855"/>
    <w:rsid w:val="00E26782"/>
    <w:rsid w:val="00E26FEC"/>
    <w:rsid w:val="00E319C2"/>
    <w:rsid w:val="00E624EF"/>
    <w:rsid w:val="00E92986"/>
    <w:rsid w:val="00E97719"/>
    <w:rsid w:val="00EB170D"/>
    <w:rsid w:val="00EC08BE"/>
    <w:rsid w:val="00EF4CC1"/>
    <w:rsid w:val="00F255F4"/>
    <w:rsid w:val="00F4510A"/>
    <w:rsid w:val="00F735A6"/>
    <w:rsid w:val="00F80986"/>
    <w:rsid w:val="00F85605"/>
    <w:rsid w:val="00F96C39"/>
    <w:rsid w:val="00FB3D83"/>
    <w:rsid w:val="00FD348F"/>
    <w:rsid w:val="00FF0B2E"/>
    <w:rsid w:val="00FF5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C2449"/>
  <w15:chartTrackingRefBased/>
  <w15:docId w15:val="{C1C1DF1A-F42C-4C0C-91D1-141157A7A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431"/>
    <w:pPr>
      <w:spacing w:after="200" w:line="276" w:lineRule="auto"/>
    </w:pPr>
    <w:rPr>
      <w:kern w:val="0"/>
      <w:sz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E3D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3D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3D0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3D0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3D0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3D0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3D0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3D0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3D0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E3D0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E3D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E3D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E3D0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E3D0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E3D0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E3D0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E3D0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E3D0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E3D0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E3D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3D0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E3D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E3D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E3D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E3D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E3D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E3D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E3D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E3D0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51E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B51E2"/>
    <w:rPr>
      <w:kern w:val="0"/>
      <w:sz w:val="18"/>
      <w:szCs w:val="18"/>
      <w:lang w:eastAsia="en-US"/>
    </w:rPr>
  </w:style>
  <w:style w:type="paragraph" w:styleId="af0">
    <w:name w:val="footer"/>
    <w:basedOn w:val="a"/>
    <w:link w:val="af1"/>
    <w:uiPriority w:val="99"/>
    <w:unhideWhenUsed/>
    <w:rsid w:val="005B51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B51E2"/>
    <w:rPr>
      <w:kern w:val="0"/>
      <w:sz w:val="18"/>
      <w:szCs w:val="18"/>
      <w:lang w:eastAsia="en-US"/>
    </w:rPr>
  </w:style>
  <w:style w:type="character" w:styleId="af2">
    <w:name w:val="Hyperlink"/>
    <w:basedOn w:val="a0"/>
    <w:uiPriority w:val="99"/>
    <w:unhideWhenUsed/>
    <w:rsid w:val="00E92986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E92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1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7" Type="http://schemas.openxmlformats.org/officeDocument/2006/relationships/fontTable" Target="fontTable.xml" /><Relationship Id="rId2" Type="http://schemas.openxmlformats.org/officeDocument/2006/relationships/styles" Target="styles.xml" /><Relationship Id="rId16" Type="http://schemas.openxmlformats.org/officeDocument/2006/relationships/hyperlink" Target="https://client.ntdss.ntu.edu.cn/https/webvpnf76667b2f293e54e17391bd867b618de/knavi/detail?p=4amtIGgsGOBe6B6hofrKCNVpT2_gXJSITyPUCZ332YFwDx6WwMMNTXKANFR5SO0tY7gg10KWEsEALERRyErpS0ZezJHEJbGJbDGPoGfJSIatQPz55GcyPoXI9Ud3Osek&amp;uniplatform=NZKPT" TargetMode="Externa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svg" /><Relationship Id="rId5" Type="http://schemas.openxmlformats.org/officeDocument/2006/relationships/footnotes" Target="footnotes.xml" /><Relationship Id="rId10" Type="http://schemas.openxmlformats.org/officeDocument/2006/relationships/image" Target="media/image4.png" /><Relationship Id="rId4" Type="http://schemas.openxmlformats.org/officeDocument/2006/relationships/webSettings" Target="webSettings.xml" /><Relationship Id="rId100" Type="http://schemas.openxmlformats.org/officeDocument/2006/relationships/image" Target="media/fig3.png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9</Pages>
  <Words>1312</Words>
  <Characters>7485</Characters>
  <Application>Microsoft Office Word</Application>
  <DocSecurity>0</DocSecurity>
  <Lines>62</Lines>
  <Paragraphs>17</Paragraphs>
  <ScaleCrop>false</ScaleCrop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252</cp:revision>
  <cp:lastPrinted>2026-07-22T04:53:00Z</cp:lastPrinted>
  <dcterms:created xsi:type="dcterms:W3CDTF">2026-07-21T03:04:00Z</dcterms:created>
  <dcterms:modified xsi:type="dcterms:W3CDTF">2026-08-18T09:20:00Z</dcterms:modified>
</cp:coreProperties>
</file>