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w:t>
      </w:r>
      <w:r>
        <w:rPr>
          <w:rFonts w:ascii="Times New Roman" w:hAnsi="Times New Roman" w:eastAsia="宋体" w:cs="Times New Roman"/>
          <w:bCs/>
          <w:i/>
          <w:sz w:val="18"/>
          <w:szCs w:val="18"/>
        </w:rPr>
        <w:t xml:space="preserve">α</w:t>
      </w:r>
      <w:r>
        <w:rPr>
          <w:rFonts w:ascii="Times New Roman" w:hAnsi="Times New Roman" w:eastAsia="宋体" w:cs="Times New Roman"/>
          <w:bCs/>
          <w:sz w:val="18"/>
          <w:szCs w:val="18"/>
        </w:rPr>
        <w:t xml:space="preserve"> = 0.7), with an exponential time decay (</w:t>
      </w:r>
      <w:r>
        <w:rPr>
          <w:rFonts w:ascii="Times New Roman" w:hAnsi="Times New Roman" w:eastAsia="宋体" w:cs="Times New Roman"/>
          <w:bCs/>
          <w:i/>
          <w:sz w:val="18"/>
          <w:szCs w:val="18"/>
        </w:rPr>
        <w:t xml:space="preserve">λ</w:t>
      </w:r>
      <w:r>
        <w:rPr>
          <w:rFonts w:ascii="Times New Roman" w:hAnsi="Times New Roman" w:eastAsia="宋体" w:cs="Times New Roman"/>
          <w:bCs/>
          <w:sz w:val="18"/>
          <w:szCs w:val="18"/>
        </w:rPr>
        <w:t xml:space="preserve">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的主要工作为：其一，提出基于 Kronecker δ 函数的分段权重积分分配模型，以名义分值制替代总量守恒制，并给出与三种守恒型方法的系数对比；其二，将指数时间衰减前置嵌入行为积分归一化环节，与一阶指数加权移动平均共同构成成果的时效权重，使标签权重、能力维度得分与人才画像共用一条量纲一致的计算通路；其三，以有限状态机实现无第三方框架依赖的轻量级审批引擎，审核环节由配置表驱动，修改配置即可调整而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的作用是在此基础上按成果完成时间做连续修正——既区分同一周期内成果的完成先后，避免年末集中申报与年初申报等权，也使跨周期的衰减不局限于周期粒度的阶跃。需要明确的是，上述取值使模型度量的是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以上（表3）。数据库层面按查询模式为核心访问路径建立联合索引，并调整了 InnoDB 的缓冲池与刷盘参数。安全方面整合 Spring Security 与 JWT 实现无状态认证[27,28]；涉及的学历、职称与成果数据按《中华人民共和国个人信息保护法》实施最小必要采集与分级授权访问，敏感字段脱敏并留存审计日志。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项目性能测试的实践设置[29]，核心接口性能与缓存命中率如表3所示。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受式(4)(5) 合成的年度保持率（约 0.26）所限，模型刻画的是近三年的科研活跃度而非长期学术积累，亦不评价成果质量，宜与同行评议互补使用；两参数取值对排名的影响程度仍有待更大样本的敏感性分析验证。其二，标签—能力维度映射矩阵由本中心专家标定，跨机构推广时需重新标定。其三，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吕玉桂. Spring Security+JWT实现微服务架构中的身份验证和授权[J]. 电脑知识与技术, 2024(22): 60-63.</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何立富. 前后端分离环境下Spring Security权限系统构建与实现[J]. 电脑编程技巧与维护, 2025(10): 3-7.</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