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仿宋" w:cs="Times New Roman"/>
          <w:sz w:val="28"/>
          <w:szCs w:val="28"/>
          <w:lang w:eastAsia="zh-CN"/>
        </w:rPr>
        <w:t>杨文超</w:t>
      </w:r>
      <w:r>
        <w:rPr>
          <w:rFonts w:hint="eastAsia" w:ascii="Times New Roman" w:hAnsi="Times New Roman" w:eastAsia="仿宋" w:cs="Times New Roman"/>
          <w:sz w:val="28"/>
          <w:szCs w:val="28"/>
          <w:vertAlign w:val="superscript"/>
          <w:lang w:val="en-US" w:eastAsia="zh-CN"/>
        </w:rPr>
        <w:t>1</w:t>
      </w:r>
      <w:r>
        <w:rPr>
          <w:rFonts w:hint="eastAsia" w:ascii="Times New Roman" w:hAnsi="Times New Roman" w:eastAsia="仿宋" w:cs="Times New Roman"/>
          <w:sz w:val="28"/>
          <w:szCs w:val="28"/>
          <w:lang w:eastAsia="zh-CN"/>
        </w:rPr>
        <w:t>，张卫兵</w:t>
      </w:r>
      <w:r>
        <w:rPr>
          <w:rFonts w:hint="eastAsia" w:ascii="Times New Roman" w:hAnsi="Times New Roman" w:eastAsia="仿宋" w:cs="Times New Roman"/>
          <w:sz w:val="28"/>
          <w:szCs w:val="28"/>
          <w:vertAlign w:val="superscript"/>
          <w:lang w:val="en-US" w:eastAsia="zh-CN"/>
        </w:rPr>
        <w:t>2*</w:t>
      </w:r>
      <w:r>
        <w:rPr>
          <w:rFonts w:hint="eastAsia" w:ascii="Times New Roman" w:hAnsi="Times New Roman" w:eastAsia="仿宋" w:cs="Times New Roman"/>
          <w:sz w:val="28"/>
          <w:szCs w:val="28"/>
          <w:lang w:eastAsia="zh-CN"/>
        </w:rPr>
        <w:t>，练维</w:t>
      </w:r>
      <w:r>
        <w:rPr>
          <w:rFonts w:hint="eastAsia" w:ascii="Times New Roman" w:hAnsi="Times New Roman" w:eastAsia="仿宋" w:cs="Times New Roman"/>
          <w:sz w:val="28"/>
          <w:szCs w:val="28"/>
          <w:vertAlign w:val="superscript"/>
          <w:lang w:val="en-US" w:eastAsia="zh-CN"/>
        </w:rPr>
        <w:t>1</w:t>
      </w:r>
      <w:r>
        <w:rPr>
          <w:rFonts w:hint="eastAsia" w:ascii="Times New Roman" w:hAnsi="Times New Roman" w:eastAsia="仿宋" w:cs="Times New Roman"/>
          <w:sz w:val="28"/>
          <w:szCs w:val="28"/>
          <w:lang w:eastAsia="zh-CN"/>
        </w:rPr>
        <w:t>，徐小卫</w:t>
      </w:r>
      <w:r>
        <w:rPr>
          <w:rFonts w:hint="eastAsia" w:ascii="Times New Roman" w:hAnsi="Times New Roman" w:eastAsia="仿宋" w:cs="Times New Roman"/>
          <w:sz w:val="28"/>
          <w:szCs w:val="28"/>
          <w:vertAlign w:val="superscript"/>
          <w:lang w:val="en-US" w:eastAsia="zh-CN"/>
        </w:rPr>
        <w:t>3</w:t>
      </w:r>
      <w:r>
        <w:rPr>
          <w:rFonts w:hint="eastAsia" w:ascii="Times New Roman" w:hAnsi="Times New Roman" w:eastAsia="仿宋" w:cs="Times New Roman"/>
          <w:sz w:val="28"/>
          <w:szCs w:val="28"/>
          <w:lang w:eastAsia="zh-CN"/>
        </w:rPr>
        <w:t>，王秦</w:t>
      </w:r>
      <w:r>
        <w:rPr>
          <w:rFonts w:hint="eastAsia" w:ascii="Times New Roman" w:hAnsi="Times New Roman" w:eastAsia="仿宋"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 xml:space="preserve">（1. 南通市疾病预防控制中心 科研与质量管理科，江苏 南通 226001；2. 南通市疾病预防控制中心 主任室，江苏 南通 226001；3. 南通市疾病预防控制中心 信息管理科，江苏 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Boot、Vue.js 与 MySQL 8.0 实现，在南通市疾病预防控制中心运行 3 个月，覆盖 270 名科研人员：平均审核周期由 7 d 缩短至 2 d，积分核算差错率由 3.54% 降至 0.08%，动态能力标签相对专家标注的 F1 值为 0.86。以本中心 2024—2025 年公开发表的 183 篇论文为样本的对比实验表明，本文分配方法与均分法的人才排名 Spearman 秩相关为 0.864，合作规模高于中位数的人员名次系统性上升，与名义分值制鼓励协作的设计意图一致。结果表明，该系统可提升疾控机构科研人才评价的精细度与审核效率，为同类公共卫生机构提供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8"/>
          <w:szCs w:val="28"/>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4"/>
          <w:szCs w:val="24"/>
        </w:rPr>
        <w:t xml:space="preserve">YANG Wen-chao</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 ZHANG Wei-bing</w:t>
      </w:r>
      <w:r>
        <w:rPr>
          <w:rFonts w:ascii="Times New Roman" w:hAnsi="Times New Roman" w:eastAsia="宋体" w:cs="Times New Roman"/>
          <w:sz w:val="24"/>
          <w:szCs w:val="24"/>
          <w:vertAlign w:val="superscript"/>
        </w:rPr>
        <w:t xml:space="preserve">2</w:t>
      </w:r>
      <w:r>
        <w:rPr>
          <w:rFonts w:ascii="Times New Roman" w:hAnsi="Times New Roman" w:eastAsia="宋体" w:cs="Times New Roman"/>
          <w:sz w:val="24"/>
          <w:szCs w:val="24"/>
        </w:rPr>
        <w:t xml:space="preserve">, LIAN Wei</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 XU Xiao-wei</w:t>
      </w:r>
      <w:r>
        <w:rPr>
          <w:rFonts w:ascii="Times New Roman" w:hAnsi="Times New Roman" w:eastAsia="宋体" w:cs="Times New Roman"/>
          <w:sz w:val="24"/>
          <w:szCs w:val="24"/>
          <w:vertAlign w:val="superscript"/>
        </w:rPr>
        <w:t xml:space="preserve">3</w:t>
      </w:r>
      <w:r>
        <w:rPr>
          <w:rFonts w:ascii="Times New Roman" w:hAnsi="Times New Roman" w:eastAsia="宋体" w:cs="Times New Roman"/>
          <w:sz w:val="24"/>
          <w:szCs w:val="24"/>
        </w:rPr>
        <w:t xml:space="preserve">, WANG Qin</w:t>
      </w:r>
      <w:r>
        <w:rPr>
          <w:rFonts w:ascii="Times New Roman" w:hAnsi="Times New Roman" w:eastAsia="宋体" w:cs="Times New Roman"/>
          <w:sz w:val="24"/>
          <w:szCs w:val="24"/>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(1. Division of Research and Quality Management, Nantong Center for Disease Control and Prevention, Nantong 226001, Jiangsu, China; 2. Director’s Office, Nantong Center for Disease Control and Prevention, Nantong 226001, Jiangsu, China; 3. Division of Information Management, Nantong Center for Disease Control and Prevention, Nantong 226001, Jiangsu,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(α = 0.7), with an exponential time decay (λ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Implemented with Spring Boot, Vue.js and MySQL 8.0, the system has run for three months at Nantong CDC covering 270 researchers: the approval cycle is shortened from 7 d to 2 d, the points-accounting error rate drops from 3.54% to 0.08%, and the dynamic capability tagging reaches an F1 of 0.86 against expert annotation. A comparative experiment on 183 papers published by the centre in 2024-2025, retrieved from CNKI, shows a Spearman rank correlation of 0.864 between the proposed allocation method and equal sharing, with researchers of above-median team size rising systematically in rank, which matches the collaboration-oriented intent of the nominal-credit scheme.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sz w:val="28"/>
          <w:szCs w:val="24"/>
          <w:lang w:eastAsia="zh-CN"/>
        </w:rPr>
        <w:t xml:space="preserve">0  引言</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前者止于机构层面，后者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问题，本文对应做了三方面工作。一是提出基于 Kronecker δ 函数的分段权重积分分配模型，以名义分值制替代总量守恒制，并与三种守恒型方法作了系数对比。二是把指数时间衰减前置嵌入行为积分归一化环节，与一阶指数加权移动平均共同构成成果的时效权重，使上述通路在量纲上保持一致。三是以有限状态机实现无第三方框架依赖的审批引擎，审核环节由配置表驱动，改配置即可调整，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轻量级服务的组织方式一致[13]。可视化层集成 Apache ECharts[14]，数据库选用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3960000" cy="3180720"/>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3960000" cy="3180720"/>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ascii="黑体" w:hAnsi="黑体" w:eastAsia="黑体"/>
          <w:sz w:val="18"/>
          <w:szCs w:val="18"/>
          <w:lang w:eastAsia="zh-CN"/>
        </w:rPr>
        <w:t>图1  系统分层架构</w:t>
      </w:r>
    </w:p>
    <w:p w14:paraId="50E11459">
      <w:pPr>
        <w:keepNext/>
        <w:keepLines/>
        <w:spacing w:before="31" w:beforeLines="10" w:after="93" w:afterLines="30"/>
        <w:jc w:val="center"/>
        <w:rPr>
          <w:rFonts w:hint="eastAsia"/>
          <w:lang w:eastAsia="zh-CN"/>
        </w:rPr>
      </w:pPr>
      <w:r>
        <w:rPr>
          <w:rFonts w:ascii="Times New Roman" w:hAnsi="Times New Roman" w:eastAsia="Times New Roman"/>
          <w:b/>
          <w:sz w:val="18"/>
          <w:szCs w:val="18"/>
          <w:lang w:eastAsia="zh-CN"/>
        </w:rPr>
        <w:t xml:space="preserve">Fig. 1  Layered architecture of the system</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个维度）构成的动态标签体系[8-9]；统计分析模块的“人才晴雨表”仪表盘支持多维交叉统计与下钻；申报审核模块内置轻量级工作流引擎驱动三级审批；系统管理模块采用 RBAC 模型构建用户—角色—权限三层架构[15-16]，并承担基础数据维护与操作日志审计。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[17]，而分数分配法、调和计数法等既有方案[18]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作者及以后积分不计入职称评审口径两项制度约束控制，与常见守恒型方法的对比如表1所示，其中调和计数法与算术递减法取自文献[17-18]的归类。表1 为 4 位作者时的情形，推广至任意作者数 n 时，三种守恒型方法的分配系数之和恒为 1.00，而本文方法在 n = 2、3、4、6 时分别为 1.80、2.30、2.50、2.90，随合作规模单调增长。该增长正是上述管理导向的量化形式，也是本文方法区别于守恒型方法之处。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表1  多作者积分分配方法对比</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1  Comparison of credit allocation methods for multi-author outputs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5"/>
                <w:szCs w:val="15"/>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5"/>
                <w:szCs w:val="15"/>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5"/>
                <w:szCs w:val="15"/>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5"/>
                <w:szCs w:val="15"/>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5"/>
                <w:szCs w:val="15"/>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5"/>
                <w:szCs w:val="15"/>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5"/>
                <w:szCs w:val="15"/>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5"/>
                <w:szCs w:val="15"/>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5"/>
                <w:szCs w:val="15"/>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5"/>
                <w:szCs w:val="15"/>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5"/>
                <w:szCs w:val="15"/>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5"/>
                <w:szCs w:val="15"/>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5"/>
                <w:szCs w:val="15"/>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5"/>
                <w:szCs w:val="15"/>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5"/>
                <w:szCs w:val="15"/>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5"/>
                <w:szCs w:val="15"/>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5"/>
                <w:szCs w:val="15"/>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5"/>
                <w:szCs w:val="15"/>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5"/>
                <w:szCs w:val="15"/>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5"/>
                <w:szCs w:val="15"/>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5"/>
                <w:szCs w:val="15"/>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5"/>
                <w:szCs w:val="15"/>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5"/>
                <w:szCs w:val="15"/>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5"/>
                <w:szCs w:val="15"/>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5"/>
                <w:szCs w:val="15"/>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5"/>
                <w:szCs w:val="15"/>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i/>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k</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w:t>
      </w:r>
      <w:r>
        <w:rPr>
          <w:rFonts w:hint="eastAsia" w:ascii="Times New Roman" w:hAnsi="Times New Roman" w:eastAsia="宋体" w:cs="Times New Roman"/>
          <w:b/>
          <w:i/>
          <w:sz w:val="21"/>
          <w:szCs w:val="21"/>
          <w:lang w:eastAsia="zh-CN"/>
        </w:rPr>
        <w:t xml:space="preserve">M</w:t>
      </w:r>
      <w:r>
        <w:rPr>
          <w:rFonts w:hint="eastAsia" w:ascii="Times New Roman" w:hAnsi="Times New Roman" w:eastAsia="宋体" w:cs="Times New Roman"/>
          <w:sz w:val="21"/>
          <w:szCs w:val="21"/>
          <w:lang w:eastAsia="zh-CN"/>
        </w:rPr>
        <w:t xml:space="preserve"> ∈ </w:t>
      </w:r>
      <w:r>
        <w:rPr>
          <w:rFonts w:hint="eastAsia" w:ascii="Times New Roman" w:hAnsi="Times New Roman" w:eastAsia="宋体" w:cs="Times New Roman"/>
          <w:i/>
          <w:sz w:val="21"/>
          <w:szCs w:val="21"/>
          <w:lang w:eastAsia="zh-CN"/>
        </w:rPr>
        <w:t xml:space="preserve">R</w:t>
      </w:r>
      <w:r>
        <w:rPr>
          <w:rFonts w:hint="eastAsia" w:ascii="Times New Roman" w:hAnsi="Times New Roman" w:eastAsia="宋体" w:cs="Times New Roman"/>
          <w:i/>
          <w:sz w:val="21"/>
          <w:szCs w:val="21"/>
          <w:vertAlign w:val="superscript"/>
          <w:lang w:eastAsia="zh-CN"/>
        </w:rPr>
        <w:t xml:space="preserve">T</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D</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为标签总数，</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为能力维度数（本系统取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 16，各维度名称如图2所示）。元素 </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sz w:val="21"/>
          <w:szCs w:val="21"/>
          <w:lang w:eastAsia="zh-CN"/>
        </w:rPr>
        <w:t xml:space="preserve"> ∈ [0, 1] 表示标签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对维度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的贡献度，满足 Σ</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sz w:val="21"/>
          <w:szCs w:val="21"/>
          <w:lang w:eastAsia="zh-CN"/>
        </w:rPr>
        <w:t xml:space="preserve">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 中的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k</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ascii="黑体" w:hAnsi="黑体" w:eastAsia="黑体"/>
          <w:sz w:val="18"/>
          <w:szCs w:val="18"/>
          <w:lang w:eastAsia="zh-CN"/>
        </w:rPr>
        <w:t>图2  人才画像能力雷达图</w:t>
      </w:r>
    </w:p>
    <w:p w14:paraId="416093E6">
      <w:pPr>
        <w:keepNext/>
        <w:keepLines/>
        <w:spacing w:before="31" w:beforeLines="10" w:after="93" w:afterLines="30"/>
        <w:jc w:val="center"/>
        <w:rPr>
          <w:rFonts w:hint="eastAsia"/>
          <w:lang w:eastAsia="zh-CN"/>
        </w:rPr>
      </w:pPr>
      <w:r>
        <w:rPr>
          <w:rFonts w:ascii="Times New Roman" w:hAnsi="Times New Roman" w:eastAsia="Times New Roman"/>
          <w:b/>
          <w:sz w:val="18"/>
          <w:szCs w:val="18"/>
          <w:lang w:eastAsia="zh-CN"/>
        </w:rPr>
        <w:t xml:space="preserve">Fig. 2  Capability radar chart of a talent profile</w:t>
      </w:r>
    </w:p>
    <w:p w14:paraId="3116A643">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[19-20]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种转换事件：草稿经提交进入待初审，初审、复核通过后依次进入待复核与待终审，任一环节驳回则回退至对应驳回态。各状态的处理人、处理时限与下一状态由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模式并以空值缓存与分布式锁分别防止缓存穿透与击穿，热点键的识别与热度合并参考了缓存热点研究的通用做法[21]，实测缓存命中率在 50–500 并发下保持在 92.5% 以上（表2）。数据库层面按查询模式为核心访问路径建立联合索引，并调整了 InnoDB 的缓冲池与刷盘参数。安全方面整合 Spring Security 与 JWT 实现无状态认证[22]；涉及的学历、职称与成果数据按《中华人民共和国个人信息保护法》实施最小必要采集与分级授权访问，敏感字段脱敏并留存审计日志。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JMeter。按五大模块设计的功能测试用例覆盖正常流程、边界条件与异常输入，积分管理、人才画像、统计分析、申报审核与系统管理五个模块的用例数分别为 68、56、47、52 与 37，缺陷修复后的回归测试中 260 个用例全部通过；并发梯度参考开源 Web 项目性能测试的实践设置[23]，核心接口性能与缓存命中率如表2所示。</w:t>
      </w:r>
    </w:p>
    <w:p w14:paraId="5F2B74F2">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表2  核心接口性能测试结果</w:t>
      </w:r>
    </w:p>
    <w:p w14:paraId="5F2B74F2">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2  Performance test results of core interfaces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5"/>
                <w:szCs w:val="15"/>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5"/>
                <w:szCs w:val="15"/>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5"/>
                <w:szCs w:val="15"/>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5"/>
                <w:szCs w:val="15"/>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5"/>
                <w:szCs w:val="15"/>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5"/>
                <w:szCs w:val="15"/>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5"/>
                <w:szCs w:val="15"/>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5"/>
                <w:szCs w:val="15"/>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5"/>
                <w:szCs w:val="15"/>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本中心 270 名科研人员中，有 80 人在 2024—2025 年提交了成果佐证材料，共 900 份，涉及论文、课题、专利、奖励等 11 类成果。统计显示，人均涉及 3.15 类，涉及 3 类以上者占 50.0%，仅 22.5% 集中于单一类别。发表论文与项目课题的人员覆盖率分别为 78.8% 与 75.0%，其余各类均低于 40%。可见科研产出结构在人员间差异显著，单一维度的排序难以刻画，这是采用多维画像的现实依据。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个月的应用效果对比如表3所示。</w:t>
      </w:r>
    </w:p>
    <w:bookmarkEnd w:id="2"/>
    <w:p w14:paraId="0C4537F9">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表3  系统上线前后应用效果对比</w:t>
      </w:r>
    </w:p>
    <w:p w14:paraId="0C4537F9">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3  Application effects before and after system deployment</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5"/>
                <w:szCs w:val="15"/>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5"/>
                <w:szCs w:val="15"/>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5"/>
                <w:szCs w:val="15"/>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5"/>
                <w:szCs w:val="15"/>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5"/>
                <w:szCs w:val="15"/>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5"/>
                <w:szCs w:val="15"/>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5"/>
                <w:szCs w:val="15"/>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由表3可见，系统上线后申报与审核全流程线上化，申报单量增至上线前的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为进一步说明本文工作与同类研究的差异，表4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表4  本文系统与同类工作的对比</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4  Comparison between the proposed system and related work</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5  分配方法对比实验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 与三种守恒型方法的系数差异见表1，但系数不同是否真会改变人才排名，需以实际成果数据检验。为此以本中心公开发表的论文为样本开展对比实验。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数据取自中国知网机构题录：按作者单位检索本中心 2024—2025 年发表的期刊论文，得 183 篇，署名 939 人次，篇均作者 5.13 人，其中 3 人及以上合著 163 篇。以单位署名仅含本中心的 130 篇论文所涉作者为种子，并与本中心积分评比名册取并集，确定 257 名本中心作者；外单位合作者计入作者总数 </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，但不进入本中心排名。知网题录不含通讯作者信息，故全部按署名顺序计算，实验未覆盖“通讯作者按第 1 作者计”这一规则；各成果取等权（</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 1），以隔离分配规则本身的影响。</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按式(1) 与均分法、调和计数法、算术递减法分别累计各作者积分并排序，四种方法两两之间的 Spearman 秩相关如表5所示。</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表5  四种分配方法下人才排名的 Spearman 秩相关</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5  Spearman rank correlations of talent rankings under four allocation methods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900"/>
        <w:gridCol w:w="1700"/>
        <w:gridCol w:w="1500"/>
        <w:gridCol w:w="1600"/>
        <w:gridCol w:w="16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本文分段权重法</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均分法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调和计数法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算术递减法</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本文分段权重法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0.864</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0.956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0.952</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0.864</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0.926</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0.956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0.981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0.952</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0.926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0.981</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1.000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秩相关反映整体一致性，头部名次的差异则更直接影响职称评审与激励分配，前 10 名与前 30 名的人员重合情况如表6所示。</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表6  以本文方法为基准的 Top-N 人员重合度</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6  Top-N overlap of researchers with the proposed method as the baseline</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600"/>
        <w:gridCol w:w="20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对比方法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Top-10 重合</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Top-30 重合</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21/30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26/30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26/30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排名变化落在谁身上，是判断该方法是否符合设计意图的关键。按人均合作规模（个人成果的平均作者数，中位数 5.50 人）将人员分为两组，其相对均分法的名次变动如表7所示。此处不以“多作者成果占比”分组：本中心 183 篇论文中 163 篇为 3 人以上合著，该指标全员饱和，无法区分。</w:t>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表7  不同合作规模科研人员的排名变动（本文方法相对均分法）</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7  Rank changes of researchers with different collaboration scales (proposed method vs. equal sharing)</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400"/>
        <w:gridCol w:w="1200"/>
        <w:gridCol w:w="18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人员分组</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人数</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平均排名变动</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名次上升人数占比</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合作规模高于中位数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126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+9.8</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58%</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合作规模不高于中位数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131</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−9.5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39%</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注：排名变动为正表示在本文方法下名次上升。</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与均分法的秩相关为 0.864，为四种方法两两比较中的最低值，而与调和计数法、算术递减法分别为 0.956 与 0.952，说明本文方法在整体排序上更接近按序位递减的守恒型方法，与均分法差异最大。Top-30 重合度上，均分法为 21/30，即前 30 名中有 9 人不同，而调和计数法与算术递减法均为 26/30，差异集中在均分法一侧。合作规模高于中位数与不高于中位数的两组，平均名次变动分别为上升 9.8 位与下降 9.5 位，方向与名义分值制“鼓励多科室协作”的设计意图一致。</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为检验结论对成果分值方案的敏感性，另以对数正态分布随机赋予各成果标准积分重复 5 次：与均分法的秩相关稳定在 0.864—0.883，Top-30 重合度为 21—24，高合作规模组始终上升、低合作规模组始终下降。可见上述结论不随成果分值方案改变。</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本实验的样本仅含公开发表论文，不含课题、专利等其他成果类型，故所得排名不等同于系统内的完整积分排名，其作用是在真实合作结构下检验分配规则本身的行为差异。</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6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0.86。把时间衰减放在行为积分层而不是能力得分层，是让标签权重、能力维度得分与画像共用一条量纲一致通路的关键；以本中心 183 篇公开发表论文为样本的对比实验表明，该方法与均分法的排名秩相关为 0.864，合作规模高于中位数的人员名次系统性上升，方向与设计意图一致。多作者分配采用名义分值制则是管理导向下的取舍，其“挂名”代价由年度上限与职称评审口径两项制度约束承担，而非由算法本身消化。本文工作也有局限：式(4)(5) 合成的年度保持率约为 0.26，模型刻画的是近三年的科研活跃度而非长期学术积累，也不评价成果质量，宜与同行评议互补使用；标签—能力维度映射矩阵由本中心专家标定，跨机构推广需重新标定；式(4) 采用极值归一化，对异常高分较敏感。后续将在积累更长周期的积分流水后，就两个时效参数的取值开展敏感性分析与跨机构验证，并与人事、财务等系统打通数据。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张岩. 基于Spring Boot的公共卫生服务平台设计[J]. 现代信息科技, 2026, 10(1): 105-110, 116.</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[14]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来天平, 王永超, 罗盘, 等. 基于角色资源级别的权限控制模型的设计与应用研究[J]. 通信学报, 2024, 45(S2): 153-159.</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[16]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[21]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[22] 吕玉桂. Spring Security+JWT实现微服务架构中的身份验证和授权[J]. 电脑知识与技术, 2024(22): 60-63.</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