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14:paraId="34B977D9" w14:textId="77777777" w:rsidR="00F23EB3" w:rsidRDefault="00000000">
      <w:pPr>
        <w:spacing w:afterLines="18" w:after="56" w:line="300" w:lineRule="auto"/>
        <w:jc w:val="center"/>
        <w:rPr>
          <w:rFonts w:hint="eastAsia"/>
          <w:lang w:eastAsia="zh-CN"/>
        </w:rPr>
      </w:pPr>
      <w:r>
        <w:rPr>
          <w:rFonts w:ascii="Times New Roman" w:eastAsia="黑体" w:hAnsi="Times New Roman" w:cs="Times New Roman"/>
          <w:sz w:val="32"/>
          <w:szCs w:val="32"/>
          <w:lang w:eastAsia="zh-CN"/>
        </w:rPr>
        <w:t>基于动态积分与标签画像的疾控科研人才评价系统设计与实现</w:t>
      </w:r>
    </w:p>
    <w:p w14:paraId="4A378CC8" w14:textId="77777777" w:rsidR="00F23EB3" w:rsidRDefault="00000000">
      <w:pPr>
        <w:spacing w:afterLines="8" w:after="24"/>
        <w:jc w:val="center"/>
        <w:rPr>
          <w:rFonts w:hint="eastAsia"/>
          <w:lang w:eastAsia="zh-CN"/>
        </w:rPr>
      </w:pPr>
      <w:r>
        <w:rPr>
          <w:rFonts w:ascii="Times New Roman" w:eastAsia="楷体" w:hAnsi="Times New Roman" w:cs="Times New Roman"/>
          <w:sz w:val="28"/>
          <w:szCs w:val="28"/>
          <w:lang w:eastAsia="zh-CN"/>
        </w:rPr>
        <w:t>杨文超</w:t>
      </w:r>
    </w:p>
    <w:p w14:paraId="5020C366" w14:textId="77777777" w:rsidR="00F23EB3" w:rsidRDefault="00000000">
      <w:pPr>
        <w:spacing w:afterLines="20" w:after="62"/>
        <w:jc w:val="center"/>
        <w:rPr>
          <w:rFonts w:hint="eastAsia"/>
          <w:lang w:eastAsia="zh-CN"/>
        </w:rPr>
      </w:pPr>
      <w:r>
        <w:rPr>
          <w:rFonts w:ascii="Times New Roman" w:eastAsia="宋体" w:hAnsi="Times New Roman" w:cs="Times New Roman"/>
          <w:sz w:val="18"/>
          <w:szCs w:val="18"/>
          <w:lang w:eastAsia="zh-CN"/>
        </w:rPr>
        <w:t xml:space="preserve">（南通市疾病预防控制中心，江苏 南通　226001）</w:t>
      </w:r>
    </w:p>
    <w:p w14:paraId="13F50BBB" w14:textId="77777777" w:rsidR="00F23EB3" w:rsidRDefault="00000000">
      <w:pPr>
        <w:spacing w:afterLines="8" w:after="24" w:line="280" w:lineRule="auto"/>
        <w:jc w:val="center"/>
        <w:rPr>
          <w:rFonts w:hint="eastAsia"/>
        </w:rPr>
      </w:pPr>
      <w:r>
        <w:rPr>
          <w:rFonts w:ascii="Times New Roman" w:eastAsia="Times New Roman" w:hAnsi="Times New Roman" w:cs="Times New Roman"/>
          <w:b/>
          <w:bCs/>
          <w:sz w:val="24"/>
          <w:szCs w:val="24"/>
        </w:rPr>
        <w:t>Design and Implementation of a Research Talent Evaluation System for CDC Institutions Based on Dynamic Points and Tag Profiling</w:t>
      </w:r>
    </w:p>
    <w:p w14:paraId="3ACFB916" w14:textId="77777777" w:rsidR="00F23EB3" w:rsidRDefault="00000000">
      <w:pPr>
        <w:spacing w:afterLines="6" w:after="18"/>
        <w:jc w:val="center"/>
        <w:rPr>
          <w:rFonts w:hint="eastAsia"/>
        </w:rPr>
      </w:pPr>
      <w:r>
        <w:rPr>
          <w:rFonts w:ascii="Times New Roman" w:eastAsia="Times New Roman" w:hAnsi="Times New Roman" w:cs="Times New Roman"/>
          <w:sz w:val="21"/>
          <w:szCs w:val="21"/>
        </w:rPr>
        <w:t>YANG Wenchao</w:t>
      </w:r>
    </w:p>
    <w:p w14:paraId="4DFC44A7" w14:textId="77777777" w:rsidR="00F23EB3" w:rsidRDefault="00000000">
      <w:pPr>
        <w:spacing w:afterLines="22" w:after="68"/>
        <w:jc w:val="center"/>
        <w:rPr>
          <w:rFonts w:hint="eastAsia"/>
        </w:rPr>
      </w:pPr>
      <w:r>
        <w:rPr>
          <w:rFonts w:ascii="Times New Roman" w:eastAsia="Times New Roman" w:hAnsi="Times New Roman" w:cs="Times New Roman"/>
          <w:i/>
          <w:iCs/>
          <w:sz w:val="18"/>
          <w:szCs w:val="18"/>
        </w:rPr>
        <w:t>(Nantong Center for Disease Control and Prevention, Nantong 226001, Jiangsu, China)</w:t>
      </w:r>
    </w:p>
    <w:p w14:paraId="61E29554" w14:textId="77777777" w:rsidR="00F23EB3" w:rsidRDefault="00000000">
      <w:pPr>
        <w:spacing w:afterLines="6" w:after="18" w:line="270" w:lineRule="auto"/>
        <w:rPr>
          <w:rFonts w:hint="eastAsia"/>
          <w:lang w:eastAsia="zh-CN"/>
        </w:rPr>
      </w:pPr>
      <w:r>
        <w:rPr>
          <w:rFonts w:ascii="Times New Roman" w:eastAsia="宋体" w:hAnsi="Times New Roman" w:cs="Times New Roman"/>
          <w:b/>
          <w:bCs/>
          <w:sz w:val="18"/>
          <w:szCs w:val="18"/>
          <w:lang w:eastAsia="zh-CN"/>
        </w:rPr>
        <w:t>摘要：</w:t>
      </w:r>
      <w:r>
        <w:rPr>
          <w:rFonts w:ascii="Times New Roman" w:eastAsia="宋体" w:hAnsi="Times New Roman" w:cs="Times New Roman"/>
          <w:sz w:val="18"/>
          <w:szCs w:val="18"/>
          <w:lang w:eastAsia="zh-CN"/>
        </w:rPr>
        <w:t xml:space="preserve">针对疾控机构科研人才评价精细化程度不足的问题，设计并实现了基于 Spring Boot 与 MyBatis 的四层架构科研积分管理系统。提出面向多作者成果的分段权重积分分配模型，并与均分法、调和计数法作对比；设计基于一阶指数加权移动平均的动态标签权重模型（</w:t>
      </w:r>
      <w:r>
        <w:rPr>
          <w:rFonts w:ascii="Times New Roman" w:eastAsia="宋体" w:hAnsi="Times New Roman" w:cs="Times New Roman"/>
          <w:i/>
          <w:iCs/>
          <w:sz w:val="18"/>
          <w:szCs w:val="18"/>
        </w:rPr>
        <w:t>α</w:t>
      </w:r>
      <w:r>
        <w:rPr>
          <w:rFonts w:ascii="Times New Roman" w:eastAsia="宋体" w:hAnsi="Times New Roman" w:cs="Times New Roman"/>
          <w:sz w:val="18"/>
          <w:szCs w:val="18"/>
          <w:lang w:eastAsia="zh-CN"/>
        </w:rPr>
        <w:t xml:space="preserve"> = 0.7），将半衰期约 4.95 年（</w:t>
      </w:r>
      <w:r>
        <w:rPr>
          <w:rFonts w:ascii="Times New Roman" w:eastAsia="宋体" w:hAnsi="Times New Roman" w:cs="Times New Roman"/>
          <w:i/>
          <w:iCs/>
          <w:sz w:val="18"/>
          <w:szCs w:val="18"/>
        </w:rPr>
        <w:t>λ</w:t>
      </w:r>
      <w:r>
        <w:rPr>
          <w:rFonts w:ascii="Times New Roman" w:eastAsia="宋体" w:hAnsi="Times New Roman" w:cs="Times New Roman"/>
          <w:sz w:val="18"/>
          <w:szCs w:val="18"/>
          <w:lang w:eastAsia="zh-CN"/>
        </w:rPr>
        <w:t xml:space="preserve"> = 0.14）的指数时间衰减因子前置嵌入行为积分归一化环节，使标签权重、能力维度得分与人才画像构成量纲一致的统一计算链路；基于有限状态机实现无第三方依赖的四级审批工作流引擎。系统在南通市疾病预防控制中心运行 3 个月，覆盖 15 个业务科室、270 名科研人员，审核周期由平均 </w:t>
      </w:r>
      <w:r>
        <w:rPr>
          <w:rFonts w:ascii="Times New Roman" w:eastAsia="宋体" w:hAnsi="Times New Roman" w:cs="Times New Roman" w:hint="eastAsia"/>
          <w:sz w:val="21"/>
          <w:szCs w:val="21"/>
          <w:lang w:eastAsia="zh-CN"/>
        </w:rPr>
        <w:t>7</w:t>
      </w:r>
      <w:r>
        <w:rPr>
          <w:rFonts w:ascii="Times New Roman" w:eastAsia="宋体" w:hAnsi="Times New Roman" w:cs="Times New Roman"/>
          <w:sz w:val="18"/>
          <w:szCs w:val="18"/>
          <w:lang w:eastAsia="zh-CN"/>
        </w:rPr>
        <w:t xml:space="preserve"> 天缩短至 </w:t>
      </w:r>
      <w:r>
        <w:rPr>
          <w:rFonts w:ascii="Times New Roman" w:eastAsia="宋体" w:hAnsi="Times New Roman" w:cs="Times New Roman" w:hint="eastAsia"/>
          <w:sz w:val="21"/>
          <w:szCs w:val="21"/>
          <w:lang w:eastAsia="zh-CN"/>
        </w:rPr>
        <w:t>2</w:t>
      </w:r>
      <w:r>
        <w:rPr>
          <w:rFonts w:ascii="Times New Roman" w:eastAsia="宋体" w:hAnsi="Times New Roman" w:cs="Times New Roman"/>
          <w:sz w:val="18"/>
          <w:szCs w:val="18"/>
          <w:lang w:eastAsia="zh-CN"/>
        </w:rPr>
        <w:t xml:space="preserve"> 天，积分核算人为差错率由 5% 降至 0，核心业务平均响应时间为 </w:t>
      </w:r>
      <w:r>
        <w:rPr>
          <w:rFonts w:ascii="Times New Roman" w:eastAsia="宋体" w:hAnsi="Times New Roman" w:cs="Times New Roman" w:hint="eastAsia"/>
          <w:sz w:val="21"/>
          <w:szCs w:val="21"/>
          <w:lang w:eastAsia="zh-CN"/>
        </w:rPr>
        <w:t>68</w:t>
      </w:r>
      <w:r>
        <w:rPr>
          <w:rFonts w:ascii="Times New Roman" w:eastAsia="宋体" w:hAnsi="Times New Roman" w:cs="Times New Roman"/>
          <w:sz w:val="18"/>
          <w:szCs w:val="18"/>
          <w:lang w:eastAsia="zh-CN"/>
        </w:rPr>
        <w:t xml:space="preserve"> ms。“积分量化 + 标签画像”双维度模式可为同类公共卫生机构提供参考。</w:t>
      </w:r>
    </w:p>
    <w:p w14:paraId="4C87AF7A" w14:textId="77777777" w:rsidR="00F23EB3" w:rsidRDefault="00000000">
      <w:pPr>
        <w:spacing w:afterLines="6" w:after="18" w:line="270" w:lineRule="auto"/>
        <w:rPr>
          <w:rFonts w:hint="eastAsia"/>
          <w:lang w:eastAsia="zh-CN"/>
        </w:rPr>
      </w:pPr>
      <w:r>
        <w:rPr>
          <w:rFonts w:ascii="Times New Roman" w:eastAsia="宋体" w:hAnsi="Times New Roman" w:cs="Times New Roman"/>
          <w:b/>
          <w:bCs/>
          <w:sz w:val="18"/>
          <w:szCs w:val="18"/>
          <w:lang w:eastAsia="zh-CN"/>
        </w:rPr>
        <w:t>关键词：</w:t>
      </w:r>
      <w:r>
        <w:rPr>
          <w:rFonts w:ascii="Times New Roman" w:eastAsia="宋体" w:hAnsi="Times New Roman" w:cs="Times New Roman"/>
          <w:sz w:val="18"/>
          <w:szCs w:val="18"/>
          <w:lang w:eastAsia="zh-CN"/>
        </w:rPr>
        <w:t>积分量化评价；标签权重模型；时间衰减算法；工作流引擎；前后端分离架构</w:t>
      </w:r>
    </w:p>
    <w:p w14:paraId="0C63ADBF" w14:textId="77777777" w:rsidR="00F23EB3" w:rsidRDefault="00000000">
      <w:pPr>
        <w:spacing w:afterLines="20" w:after="62" w:line="270" w:lineRule="auto"/>
        <w:rPr>
          <w:rFonts w:hint="eastAsia"/>
          <w:lang w:eastAsia="zh-CN"/>
        </w:rPr>
      </w:pPr>
      <w:r>
        <w:rPr>
          <w:rFonts w:ascii="Times New Roman" w:eastAsia="宋体" w:hAnsi="Times New Roman" w:cs="Times New Roman"/>
          <w:b/>
          <w:bCs/>
          <w:sz w:val="18"/>
          <w:szCs w:val="18"/>
          <w:lang w:eastAsia="zh-CN"/>
        </w:rPr>
        <w:t>中图分类号：</w:t>
      </w:r>
      <w:r>
        <w:rPr>
          <w:rFonts w:ascii="Times New Roman" w:eastAsia="宋体" w:hAnsi="Times New Roman" w:cs="Times New Roman"/>
          <w:sz w:val="18"/>
          <w:szCs w:val="18"/>
          <w:lang w:eastAsia="zh-CN"/>
        </w:rPr>
        <w:t xml:space="preserve">TP311.5　　</w:t>
      </w:r>
      <w:r>
        <w:rPr>
          <w:rFonts w:ascii="Times New Roman" w:eastAsia="宋体" w:hAnsi="Times New Roman" w:cs="Times New Roman"/>
          <w:b/>
          <w:bCs/>
          <w:sz w:val="18"/>
          <w:szCs w:val="18"/>
          <w:lang w:eastAsia="zh-CN"/>
        </w:rPr>
        <w:t>文献标识码：</w:t>
      </w:r>
      <w:r>
        <w:rPr>
          <w:rFonts w:ascii="Times New Roman" w:eastAsia="宋体" w:hAnsi="Times New Roman" w:cs="Times New Roman"/>
          <w:sz w:val="18"/>
          <w:szCs w:val="18"/>
          <w:lang w:eastAsia="zh-CN"/>
        </w:rPr>
        <w:t>A</w:t>
      </w:r>
    </w:p>
    <w:p w14:paraId="670D245E" w14:textId="77777777" w:rsidR="00F23EB3" w:rsidRDefault="00000000">
      <w:pPr>
        <w:spacing w:afterLines="6" w:after="18" w:line="270" w:lineRule="auto"/>
        <w:rPr>
          <w:rFonts w:hint="eastAsia"/>
        </w:rPr>
      </w:pPr>
      <w:r>
        <w:rPr>
          <w:rFonts w:ascii="Times New Roman" w:eastAsia="Times New Roman" w:hAnsi="Times New Roman" w:cs="Times New Roman"/>
          <w:b/>
          <w:bCs/>
          <w:sz w:val="18"/>
          <w:szCs w:val="18"/>
        </w:rPr>
        <w:t xml:space="preserve">Abstract: </w:t>
      </w:r>
      <w:r>
        <w:rPr>
          <w:rFonts w:ascii="Times New Roman" w:eastAsia="Times New Roman" w:hAnsi="Times New Roman" w:cs="Times New Roman"/>
          <w:sz w:val="18"/>
          <w:szCs w:val="18"/>
        </w:rPr>
        <w:t xml:space="preserve">To address the insufficient granularity of research talent evaluation in centers for disease control and prevention, a four-layer research points management system based on Spring Boot and MyBatis is designed and implemented. A piecewise weighting model is proposed for allocating points among the multiple authors of a research output and is compared with the equal-sharing and harmonic counting methods. A dynamic tag weight model based on a first-order exponentially weighted moving average is designed, into which an exponential time-decay factor with a half-life of about 4.95 years is embedded ahead of behaviour-score normalization, so that tag weights, capability dimension scores and the talent profile form a single dimensionally consistent computation chain. A lightweight four-level approval workflow engine is implemented as a finite state machine without third-party dependency. Running at Nantong Center for Disease Control and Prevention for three months and covering 15 divisions and 270 researchers, the system shortened the average approval cycle from </w:t>
      </w:r>
      <w:r>
        <w:rPr>
          <w:rFonts w:ascii="Times New Roman" w:eastAsia="宋体" w:hAnsi="Times New Roman" w:cs="Times New Roman" w:hint="eastAsia"/>
          <w:sz w:val="21"/>
          <w:szCs w:val="21"/>
          <w:lang w:eastAsia="zh-CN"/>
        </w:rPr>
        <w:t>7</w:t>
      </w:r>
      <w:r>
        <w:rPr>
          <w:rFonts w:ascii="Times New Roman" w:eastAsia="Times New Roman" w:hAnsi="Times New Roman" w:cs="Times New Roman"/>
          <w:sz w:val="18"/>
          <w:szCs w:val="18"/>
        </w:rPr>
        <w:t xml:space="preserve"> days to </w:t>
      </w:r>
      <w:r>
        <w:rPr>
          <w:rFonts w:ascii="Times New Roman" w:eastAsia="宋体" w:hAnsi="Times New Roman" w:cs="Times New Roman" w:hint="eastAsia"/>
          <w:sz w:val="21"/>
          <w:szCs w:val="21"/>
          <w:lang w:eastAsia="zh-CN"/>
        </w:rPr>
        <w:t>2</w:t>
      </w:r>
      <w:r>
        <w:rPr>
          <w:rFonts w:ascii="Times New Roman" w:eastAsia="Times New Roman" w:hAnsi="Times New Roman" w:cs="Times New Roman"/>
          <w:sz w:val="18"/>
          <w:szCs w:val="18"/>
        </w:rPr>
        <w:t xml:space="preserve"> days, eliminated manual errors in points accounting, and kept the average response time of core services at </w:t>
      </w:r>
      <w:r>
        <w:rPr>
          <w:rFonts w:ascii="Times New Roman" w:eastAsia="宋体" w:hAnsi="Times New Roman" w:cs="Times New Roman" w:hint="eastAsia"/>
          <w:sz w:val="21"/>
          <w:szCs w:val="21"/>
          <w:lang w:eastAsia="zh-CN"/>
        </w:rPr>
        <w:t>68</w:t>
      </w:r>
      <w:r>
        <w:rPr>
          <w:rFonts w:ascii="Times New Roman" w:eastAsia="Times New Roman" w:hAnsi="Times New Roman" w:cs="Times New Roman"/>
          <w:sz w:val="18"/>
          <w:szCs w:val="18"/>
        </w:rPr>
        <w:t xml:space="preserve"> ms. The dual-dimension model of points-based quantification combined with tag profiling provides a reference for research management informatization in comparable public health institutions.</w:t>
      </w:r>
    </w:p>
    <w:p w14:paraId="7E391BE3" w14:textId="77777777" w:rsidR="00F23EB3" w:rsidRDefault="00000000">
      <w:pPr>
        <w:spacing w:afterLines="20" w:after="62" w:line="270" w:lineRule="auto"/>
        <w:rPr>
          <w:rFonts w:hint="eastAsia"/>
        </w:rPr>
      </w:pPr>
      <w:r>
        <w:rPr>
          <w:rFonts w:ascii="Times New Roman" w:eastAsia="Times New Roman" w:hAnsi="Times New Roman" w:cs="Times New Roman"/>
          <w:b/>
          <w:bCs/>
          <w:sz w:val="18"/>
          <w:szCs w:val="18"/>
        </w:rPr>
        <w:t xml:space="preserve">Key words: </w:t>
      </w:r>
      <w:r>
        <w:rPr>
          <w:rFonts w:ascii="Times New Roman" w:eastAsia="Times New Roman" w:hAnsi="Times New Roman" w:cs="Times New Roman"/>
          <w:sz w:val="18"/>
          <w:szCs w:val="18"/>
        </w:rPr>
        <w:t>points-based quantitative evaluation; tag weight model; time decay algorithm; workflow engine; front-end and back-end separation architecture</w:t>
      </w:r>
    </w:p>
    <w:p w14:paraId="6FEFC953" w14:textId="77777777" w:rsidR="00F23EB3" w:rsidRPr="00942F51" w:rsidRDefault="00000000" w:rsidP="00942F51">
      <w:pPr>
        <w:pStyle w:val="a9"/>
        <w:keepNext/>
        <w:keepLines/>
        <w:numPr>
          <w:ilvl w:val="0"/>
          <w:numId w:val="2"/>
        </w:numPr>
        <w:spacing w:beforeLines="50" w:before="156" w:afterLines="30" w:after="93"/>
        <w:outlineLvl w:val="0"/>
        <w:rPr>
          <w:rFonts w:ascii="Times New Roman" w:eastAsia="黑体" w:hAnsi="Times New Roman" w:cs="Times New Roman"/>
          <w:sz w:val="24"/>
          <w:szCs w:val="24"/>
          <w:lang w:eastAsia="zh-CN"/>
        </w:rPr>
      </w:pPr>
      <w:r>
        <w:rPr>
          <w:rFonts w:ascii="Times New Roman" w:eastAsia="黑体" w:hAnsi="Times New Roman" w:cs="Times New Roman"/>
          <w:sz w:val="24"/>
          <w:szCs w:val="24"/>
          <w:lang w:eastAsia="zh-CN"/>
        </w:rPr>
        <w:lastRenderedPageBreak/>
        <w:t xml:space="preserve">1  引言</w:t>
      </w:r>
    </w:p>
    <w:p w14:paraId="5D0B6AB7" w14:textId="77777777" w:rsidR="00942F51" w:rsidRPr="005664EE" w:rsidRDefault="00942F51" w:rsidP="005664EE">
      <w:pPr>
        <w:spacing w:line="300" w:lineRule="auto"/>
        <w:ind w:firstLineChars="200" w:firstLine="420"/>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 xml:space="preserve">在“科教兴卫、人才强卫”战略指引下，各级疾病预防控制机构日益重视科研能力建设，但基层疾控机构的科研人才评价仍存在方式粗放、“四唯”倾向明显、缺少动态量化手段等问题[1]，难以支撑科研梯队建设与精准激励。</w:t>
      </w:r>
    </w:p>
    <w:p w14:paraId="5D0B6AB7" w14:textId="77777777" w:rsidR="00942F51" w:rsidRPr="005664EE" w:rsidRDefault="00942F51" w:rsidP="005664EE">
      <w:pPr>
        <w:spacing w:line="300" w:lineRule="auto"/>
        <w:ind w:firstLineChars="200" w:firstLine="420"/>
        <w:rPr>
          <w:rFonts w:ascii="Times New Roman" w:eastAsia="宋体" w:hAnsi="Times New Roman" w:cs="Times New Roman"/>
          <w:sz w:val="21"/>
          <w:szCs w:val="21"/>
          <w:lang w:eastAsia="zh-CN"/>
        </w:rPr>
      </w:pPr>
      <w:r>
        <w:rPr>
          <w:rFonts w:ascii="Times New Roman" w:eastAsia="宋体" w:hAnsi="Times New Roman" w:cs="Times New Roman" w:hint="eastAsia"/>
          <w:sz w:val="21"/>
          <w:szCs w:val="21"/>
          <w:lang w:eastAsia="zh-CN"/>
        </w:rPr>
        <w:t xml:space="preserve">李涛等[1]、沈杨阳[2]与 Amaral 等[3]分别从指标体系、组织机制与经费分配角度探讨了科研评价，但评价对象均为机构而非个人；Lei[4]面向“破五唯”设计的分类绩效指标体系与本文思路接近，但其指标构成与疾控机构以公共卫生服务、现场流行病学调查为主的产出结构差异较大；罗仕鉴等[9]与白菁昊等[10]分别在产品设计与学习者场景验证了用户画像与动态标签方法的有效性，但均未考虑科研成果的长周期性与时效衰减特征。可见，面向公共卫生领域、同时整合积分量化与人才标签画像的专用系统仍比较少见。为此，本文提出面向多作者成果的分段权重积分分配模型，构建“指数加权移动平均标签权重 + 指数时间衰减”的动态画像模型，并实现无第三方框架依赖的状态机工作流与可配置积分规则引擎。系统面向的南通市疾控中心设有 15 个业务科室、270 名科研人员，科研成果涵盖 12 个大类，核心业务响应时间要求控制在 3 s 以内。</w:t>
      </w:r>
    </w:p>
    <w:p w14:paraId="33088B7A"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2  系统总体架构</w:t>
      </w:r>
    </w:p>
    <w:p w14:paraId="69DB94CB" w14:textId="77777777" w:rsidR="00F23EB3" w:rsidRDefault="00C048F5">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系统采用四层架构：表现层由 Spring Boot 的 @RestController 构成，负责接收 HTTP 请求并调用业务服务，实现前后端分离[5]；业务逻辑层由 Service 组件构成，封装积分计算、审核流程控制、画像生成与排行统计等规则并管理事务；数据访问层通过 MyBatis 的 Mapper 接口与 XML 映射文件实现对象关系映射，可在复杂场景下直接优化 SQL；数据层负责持久化与存储管理。前端采用 Vue.js[7]，通过 RESTful API 与后端交互；数据库选用 MySQL 8.0，并引入 Redis 缓存提升查询效率[6,8]。分层架构如图 1 所示。</w:t>
      </w:r>
    </w:p>
    <w:p w14:paraId="27E828E8" w14:textId="77777777" w:rsidR="00555F57" w:rsidRDefault="00000000">
      <w:pPr>
        <w:keepNext/>
        <w:jc w:val="center"/>
        <w:rPr>
          <w:rFonts w:hint="eastAsia"/>
        </w:rPr>
      </w:pPr>
      <w:r>
        <w:rPr>
          <w:rFonts w:ascii="Times New Roman" w:eastAsia="宋体" w:hAnsi="Times New Roman" w:cs="Times New Roman"/>
          <w:noProof/>
          <w:sz w:val="21"/>
          <w:szCs w:val="21"/>
        </w:rPr>
        <w:lastRenderedPageBreak/>
        <w:drawing>
          <wp:inline distT="0" distB="0" distL="0" distR="0" wp14:anchorId="12B65DD1" wp14:editId="7939D2BF">
            <wp:extent cx="2926080" cy="2713355"/>
            <wp:effectExtent l="0" t="0" r="0" b="0"/>
            <wp:docPr id="101" name="图片 1"/>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7">
                      <a:extLst>
                        <a:ext uri="{28A0092B-C50C-407E-A947-70E740481C1C}">
                          <a14:useLocalDpi val="0"/>
                        </a:ext>
                      </a:extLst>
                    </a:blip>
                    <a:srcRect/>
                    <a:stretch>
                      <a:fillRect/>
                    </a:stretch>
                  </pic:blipFill>
                  <pic:spPr bwMode="auto">
                    <a:xfrm>
                      <a:off x="0" y="0"/>
                      <a:ext cx="2926080" cy="2713355"/>
                    </a:xfrm>
                    <a:prstGeom prst="rect">
                      <a:avLst/>
                    </a:prstGeom>
                    <a:noFill/>
                  </pic:spPr>
                </pic:pic>
              </a:graphicData>
            </a:graphic>
          </wp:inline>
        </w:drawing>
      </w:r>
    </w:p>
    <w:p w14:paraId="10761B1C" w14:textId="77777777" w:rsidR="00F23EB3" w:rsidRDefault="00000000">
      <w:pPr>
        <w:keepNext/>
        <w:keepLines/>
        <w:spacing w:beforeLines="10" w:before="31" w:afterLines="30" w:after="93"/>
        <w:jc w:val="center"/>
        <w:rPr>
          <w:rFonts w:hint="eastAsia"/>
          <w:lang w:eastAsia="zh-CN"/>
        </w:rPr>
      </w:pPr>
      <w:r>
        <w:rPr>
          <w:rFonts w:ascii="Times New Roman" w:eastAsia="黑体" w:hAnsi="Times New Roman" w:cs="Times New Roman"/>
          <w:sz w:val="18"/>
          <w:szCs w:val="18"/>
          <w:lang w:eastAsia="zh-CN"/>
        </w:rPr>
        <w:t xml:space="preserve">图 1  系统分层架构</w:t>
      </w:r>
    </w:p>
    <w:p w14:paraId="1DFAB7F2"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3  核心功能模块设计</w:t>
      </w:r>
    </w:p>
    <w:p w14:paraId="366F9049" w14:textId="77777777" w:rsidR="00F23EB3" w:rsidRDefault="00000000" w:rsidP="00AB6A77">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系统设计了五大功能模块，构成申报、计算、画像、展示、权限的完整闭环。积分管理模块支持可视化配置 12 大类 46 项积分规则，成果提交后由计算引擎自动校验并核算分值、生成积分流水；人才画像模块构建涵盖结构化标签（学历、职称、专业）与非结构化能力标签（科研能力、项目管理、数据分析）的动态标签体系，自动关联积分流水与科研成果[9-10]；统计分析模块的“人才晴雨表”仪表盘集成 Apache ECharts，支持多维交叉统计与数据下钻；申报审核模块内置轻量级工作流引擎驱动四级审批；系统管理模块采用 RBAC 模型构建用户—角色—权限三层架构，预设 5 类角色，并承担基础数据维护、规则调整与操作日志审计等职能[11-13]。</w:t>
      </w:r>
    </w:p>
    <w:p w14:paraId="70FF2465"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4  关键技术实现</w:t>
      </w:r>
    </w:p>
    <w:p w14:paraId="07243BC5"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4.1  可配置积分规则引擎</w:t>
      </w:r>
    </w:p>
    <w:p w14:paraId="14159876"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传统实现中积分规则的调整需修改代码并重新发布。为此，系统将全部积分规则存入数据库配置表：points_category 存储 12 个成果大类，points_item 定义分值标准、年度上限、有效期与适用职称范围，points_record 记录积分变动明细。管理员在后台修改配置即可实时生效，无需重新编译部署。为确保数据一致性，系统采用 Spring 声明式事务，将成果校验、重复申报拦截、年度上限判断、按作者排序分配、总积分更新与流水生成封装在同一事务中，任一步骤出错即回滚。</w:t>
      </w:r>
    </w:p>
    <w:p w14:paraId="1B869A92"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4.2  多作者积分权重分配模型</w:t>
      </w:r>
    </w:p>
    <w:p w14:paraId="15E49341"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结合该中心的科研管理实践，本文采用基于 Kronecker </w:t>
      </w:r>
      <w:r>
        <w:rPr>
          <w:rFonts w:ascii="Times New Roman" w:eastAsia="宋体" w:hAnsi="Times New Roman" w:cs="Times New Roman"/>
          <w:sz w:val="21"/>
          <w:szCs w:val="21"/>
        </w:rPr>
        <w:t>δ</w:t>
      </w:r>
      <w:r>
        <w:rPr>
          <w:rFonts w:ascii="Times New Roman" w:eastAsia="宋体" w:hAnsi="Times New Roman" w:cs="Times New Roman"/>
          <w:sz w:val="21"/>
          <w:szCs w:val="21"/>
          <w:lang w:eastAsia="zh-CN"/>
        </w:rPr>
        <w:t xml:space="preserve"> 函数的分段权重模型对作者序位与分配系数的映射关系统一建模，如式(1)、式(2)所示。</w:t>
      </w:r>
    </w:p>
    <w:p w14:paraId="7CF1F1A3" w14:textId="77777777" w:rsidR="00F23EB3" w:rsidRDefault="00000000">
      <w:pPr>
        <w:keepNext/>
        <w:keepLines/>
        <w:tabs>
          <w:tab w:val="center" w:pos="4153"/>
          <w:tab w:val="right" w:pos="8306"/>
        </w:tabs>
        <w:spacing w:beforeLines="15" w:before="46" w:afterLines="15" w:after="46"/>
        <w:rPr>
          <w:rFonts w:hint="eastAsia"/>
        </w:rPr>
      </w:pPr>
      <w:r>
        <w:rPr>
          <w:lang w:eastAsia="zh-CN"/>
        </w:rPr>
        <w:lastRenderedPageBreak/>
        <w:tab/>
      </w:r>
      <m:oMath>
        <m:sSub>
          <m:sSubPr>
            <m:ctrlPr>
              <w:rPr>
                <w:rFonts w:ascii="Cambria Math" w:hAnsi="Cambria Math"/>
              </w:rPr>
            </m:ctrlPr>
          </m:sSubPr>
          <m:e>
            <m:r>
              <w:rPr>
                <w:rFonts w:ascii="Cambria Math" w:hAnsi="Cambria Math"/>
                <w:sz w:val="21"/>
                <w:szCs w:val="21"/>
              </w:rPr>
              <m:t>S</m:t>
            </m:r>
          </m:e>
          <m:sub>
            <m:r>
              <w:rPr>
                <w:rFonts w:ascii="Cambria Math" w:hAnsi="Cambria Math"/>
                <w:sz w:val="21"/>
                <w:szCs w:val="21"/>
              </w:rPr>
              <m:t>i</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total</m:t>
            </m:r>
          </m:sub>
        </m:sSub>
        <m:r>
          <m:rPr>
            <m:sty m:val="p"/>
          </m:rPr>
          <w:rPr>
            <w:rFonts w:ascii="Cambria Math" w:hAnsi="Cambria Math"/>
            <w:sz w:val="21"/>
            <w:szCs w:val="21"/>
          </w:rPr>
          <m:t xml:space="preserve"> × </m:t>
        </m:r>
        <m:d>
          <m:dPr>
            <m:ctrlPr>
              <w:rPr>
                <w:rFonts w:ascii="Cambria Math" w:hAnsi="Cambria Math"/>
              </w:rPr>
            </m:ctrlPr>
          </m:dPr>
          <m:e>
            <m:r>
              <m:rPr>
                <m:sty m:val="p"/>
              </m:rPr>
              <w:rPr>
                <w:rFonts w:ascii="Cambria Math" w:hAnsi="Cambria Math"/>
                <w:sz w:val="21"/>
                <w:szCs w:val="21"/>
              </w:rPr>
              <m:t>0.2 + 0.8</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i,1</m:t>
                </m:r>
              </m:sub>
            </m:sSub>
            <m:r>
              <m:rPr>
                <m:sty m:val="p"/>
              </m:rPr>
              <w:rPr>
                <w:rFonts w:ascii="Cambria Math" w:hAnsi="Cambria Math"/>
                <w:sz w:val="21"/>
                <w:szCs w:val="21"/>
              </w:rPr>
              <m:t xml:space="preserve"> + 0.6</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i,2</m:t>
                </m:r>
              </m:sub>
            </m:sSub>
            <m:r>
              <m:rPr>
                <m:sty m:val="p"/>
              </m:rPr>
              <w:rPr>
                <w:rFonts w:ascii="Cambria Math" w:hAnsi="Cambria Math"/>
                <w:sz w:val="21"/>
                <w:szCs w:val="21"/>
              </w:rPr>
              <m:t xml:space="preserve"> + 0.3</m:t>
            </m:r>
            <m:sSub>
              <m:sSubPr>
                <m:ctrlPr>
                  <w:rPr>
                    <w:rFonts w:ascii="Cambria Math" w:hAnsi="Cambria Math"/>
                  </w:rPr>
                </m:ctrlPr>
              </m:sSubPr>
              <m:e>
                <m:r>
                  <w:rPr>
                    <w:rFonts w:ascii="Cambria Math" w:hAnsi="Cambria Math"/>
                    <w:sz w:val="21"/>
                    <w:szCs w:val="21"/>
                  </w:rPr>
                  <m:t>δ</m:t>
                </m:r>
              </m:e>
              <m:sub>
                <m:r>
                  <w:rPr>
                    <w:rFonts w:ascii="Cambria Math" w:hAnsi="Cambria Math"/>
                    <w:sz w:val="21"/>
                    <w:szCs w:val="21"/>
                  </w:rPr>
                  <m:t>i,3</m:t>
                </m:r>
              </m:sub>
            </m:sSub>
          </m:e>
        </m:d>
        <m:r>
          <m:rPr>
            <m:sty m:val="p"/>
          </m:rPr>
          <w:rPr>
            <w:rFonts w:ascii="Cambria Math" w:hAnsi="Cambria Math"/>
            <w:sz w:val="21"/>
            <w:szCs w:val="21"/>
          </w:rPr>
          <m:t xml:space="preserve">,    </m:t>
        </m:r>
        <m:r>
          <w:rPr>
            <w:rFonts w:ascii="Cambria Math" w:hAnsi="Cambria Math"/>
            <w:sz w:val="21"/>
            <w:szCs w:val="21"/>
          </w:rPr>
          <m:t>i</m:t>
        </m:r>
        <m:r>
          <m:rPr>
            <m:sty m:val="p"/>
          </m:rPr>
          <w:rPr>
            <w:rFonts w:ascii="Cambria Math" w:hAnsi="Cambria Math"/>
            <w:sz w:val="21"/>
            <w:szCs w:val="21"/>
          </w:rPr>
          <m:t xml:space="preserve"> = 1, 2, …, </m:t>
        </m:r>
        <m:r>
          <w:rPr>
            <w:rFonts w:ascii="Cambria Math" w:hAnsi="Cambria Math"/>
            <w:sz w:val="21"/>
            <w:szCs w:val="21"/>
          </w:rPr>
          <m:t>n</m:t>
        </m:r>
      </m:oMath>
      <w:r>
        <w:tab/>
      </w:r>
      <w:r>
        <w:rPr>
          <w:rFonts w:ascii="Times New Roman" w:eastAsia="宋体" w:hAnsi="Times New Roman" w:cs="Times New Roman"/>
          <w:sz w:val="21"/>
          <w:szCs w:val="21"/>
        </w:rPr>
        <w:t>(1)</w:t>
      </w:r>
    </w:p>
    <w:p w14:paraId="68CFEFED" w14:textId="77777777" w:rsidR="00F23EB3" w:rsidRDefault="00000000">
      <w:pPr>
        <w:keepNext/>
        <w:keepLines/>
        <w:tabs>
          <w:tab w:val="center" w:pos="4153"/>
          <w:tab w:val="right" w:pos="8306"/>
        </w:tabs>
        <w:spacing w:beforeLines="15" w:before="46" w:afterLines="15" w:after="46"/>
        <w:rPr>
          <w:rFonts w:hint="eastAsia"/>
          <w:lang w:eastAsia="zh-CN"/>
        </w:rPr>
      </w:pPr>
      <w:r>
        <w:tab/>
      </w:r>
      <m:oMath>
        <m:sSub>
          <m:sSubPr>
            <m:ctrlPr>
              <w:rPr>
                <w:rFonts w:ascii="Cambria Math" w:hAnsi="Cambria Math"/>
              </w:rPr>
            </m:ctrlPr>
          </m:sSubPr>
          <m:e>
            <m:r>
              <w:rPr>
                <w:rFonts w:ascii="Cambria Math" w:hAnsi="Cambria Math"/>
                <w:sz w:val="21"/>
                <w:szCs w:val="21"/>
                <w:lang w:eastAsia="zh-CN"/>
              </w:rPr>
              <m:t>δ</m:t>
            </m:r>
          </m:e>
          <m:sub>
            <m:r>
              <w:rPr>
                <w:rFonts w:ascii="Cambria Math" w:hAnsi="Cambria Math"/>
                <w:sz w:val="21"/>
                <w:szCs w:val="21"/>
                <w:lang w:eastAsia="zh-CN"/>
              </w:rPr>
              <m:t>i,j</m:t>
            </m:r>
          </m:sub>
        </m:sSub>
        <m:r>
          <m:rPr>
            <m:sty m:val="p"/>
          </m:rPr>
          <w:rPr>
            <w:rFonts w:ascii="Cambria Math" w:hAnsi="Cambria Math"/>
            <w:sz w:val="21"/>
            <w:szCs w:val="21"/>
            <w:lang w:eastAsia="zh-CN"/>
          </w:rPr>
          <m:t xml:space="preserve"> = </m:t>
        </m:r>
        <m:d>
          <m:dPr>
            <m:begChr m:val="{"/>
            <m:endChr m:val=""/>
            <m:ctrlPr>
              <w:rPr>
                <w:rFonts w:ascii="Cambria Math" w:hAnsi="Cambria Math"/>
              </w:rPr>
            </m:ctrlPr>
          </m:dPr>
          <m:e>
            <m:m>
              <m:mPr>
                <m:mcs>
                  <m:mc>
                    <m:mcPr>
                      <m:count m:val="2"/>
                      <m:mcJc m:val="left"/>
                    </m:mcPr>
                  </m:mc>
                </m:mcs>
                <m:ctrlPr>
                  <w:rPr>
                    <w:rFonts w:ascii="Cambria Math" w:hAnsi="Cambria Math"/>
                  </w:rPr>
                </m:ctrlPr>
              </m:mPr>
              <m:mr>
                <m:e>
                  <m:r>
                    <m:rPr>
                      <m:sty m:val="p"/>
                    </m:rPr>
                    <w:rPr>
                      <w:rFonts w:ascii="Cambria Math" w:hAnsi="Cambria Math"/>
                      <w:sz w:val="21"/>
                      <w:szCs w:val="21"/>
                      <w:lang w:eastAsia="zh-CN"/>
                    </w:rPr>
                    <m:t>1,</m:t>
                  </m:r>
                </m:e>
                <m:e>
                  <m:r>
                    <w:rPr>
                      <w:rFonts w:ascii="Cambria Math" w:hAnsi="Cambria Math"/>
                      <w:sz w:val="21"/>
                      <w:szCs w:val="21"/>
                      <w:lang w:eastAsia="zh-CN"/>
                    </w:rPr>
                    <m:t>i</m:t>
                  </m:r>
                  <m:r>
                    <m:rPr>
                      <m:sty m:val="p"/>
                    </m:rPr>
                    <w:rPr>
                      <w:rFonts w:ascii="Cambria Math" w:hAnsi="Cambria Math"/>
                      <w:sz w:val="21"/>
                      <w:szCs w:val="21"/>
                      <w:lang w:eastAsia="zh-CN"/>
                    </w:rPr>
                    <m:t xml:space="preserve"> = </m:t>
                  </m:r>
                  <m:r>
                    <w:rPr>
                      <w:rFonts w:ascii="Cambria Math" w:hAnsi="Cambria Math"/>
                      <w:sz w:val="21"/>
                      <w:szCs w:val="21"/>
                      <w:lang w:eastAsia="zh-CN"/>
                    </w:rPr>
                    <m:t>j</m:t>
                  </m:r>
                </m:e>
              </m:mr>
              <m:mr>
                <m:e>
                  <m:r>
                    <m:rPr>
                      <m:sty m:val="p"/>
                    </m:rPr>
                    <w:rPr>
                      <w:rFonts w:ascii="Cambria Math" w:hAnsi="Cambria Math"/>
                      <w:sz w:val="21"/>
                      <w:szCs w:val="21"/>
                      <w:lang w:eastAsia="zh-CN"/>
                    </w:rPr>
                    <m:t>0,</m:t>
                  </m:r>
                </m:e>
                <m:e>
                  <m:r>
                    <w:rPr>
                      <w:rFonts w:ascii="Cambria Math" w:hAnsi="Cambria Math"/>
                      <w:sz w:val="21"/>
                      <w:szCs w:val="21"/>
                      <w:lang w:eastAsia="zh-CN"/>
                    </w:rPr>
                    <m:t>i</m:t>
                  </m:r>
                  <m:r>
                    <m:rPr>
                      <m:sty m:val="p"/>
                    </m:rPr>
                    <w:rPr>
                      <w:rFonts w:ascii="Cambria Math" w:hAnsi="Cambria Math"/>
                      <w:sz w:val="21"/>
                      <w:szCs w:val="21"/>
                      <w:lang w:eastAsia="zh-CN"/>
                    </w:rPr>
                    <m:t xml:space="preserve"> ≠ </m:t>
                  </m:r>
                  <m:r>
                    <w:rPr>
                      <w:rFonts w:ascii="Cambria Math" w:hAnsi="Cambria Math"/>
                      <w:sz w:val="21"/>
                      <w:szCs w:val="21"/>
                      <w:lang w:eastAsia="zh-CN"/>
                    </w:rPr>
                    <m:t>j</m:t>
                  </m:r>
                </m:e>
              </m:mr>
            </m:m>
          </m:e>
        </m:d>
      </m:oMath>
      <w:r>
        <w:rPr>
          <w:lang w:eastAsia="zh-CN"/>
        </w:rPr>
        <w:tab/>
      </w:r>
      <w:r>
        <w:rPr>
          <w:rFonts w:ascii="Times New Roman" w:eastAsia="宋体" w:hAnsi="Times New Roman" w:cs="Times New Roman"/>
          <w:sz w:val="21"/>
          <w:szCs w:val="21"/>
          <w:lang w:eastAsia="zh-CN"/>
        </w:rPr>
        <w:t>(2)</w:t>
      </w:r>
    </w:p>
    <w:p w14:paraId="0C343EBA"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为第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作者获得的积分；</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total</w:t>
      </w:r>
      <w:r>
        <w:rPr>
          <w:rFonts w:ascii="Times New Roman" w:eastAsia="宋体" w:hAnsi="Times New Roman" w:cs="Times New Roman"/>
          <w:sz w:val="21"/>
          <w:szCs w:val="21"/>
          <w:lang w:eastAsia="zh-CN"/>
        </w:rPr>
        <w:t xml:space="preserve"> 为成果标准积分；</w:t>
      </w:r>
      <w:r>
        <w:rPr>
          <w:rFonts w:ascii="Times New Roman" w:eastAsia="宋体" w:hAnsi="Times New Roman" w:cs="Times New Roman"/>
          <w:i/>
          <w:iCs/>
          <w:sz w:val="21"/>
          <w:szCs w:val="21"/>
          <w:lang w:eastAsia="zh-CN"/>
        </w:rPr>
        <w:t>n</w:t>
      </w:r>
      <w:r>
        <w:rPr>
          <w:rFonts w:ascii="Times New Roman" w:eastAsia="宋体" w:hAnsi="Times New Roman" w:cs="Times New Roman"/>
          <w:sz w:val="21"/>
          <w:szCs w:val="21"/>
          <w:lang w:eastAsia="zh-CN"/>
        </w:rPr>
        <w:t xml:space="preserve"> 为作者总数。展开后第 1、2、3 作者的分配系数分别为 1.0、0.8、0.5，第 4 作者及以后统一按 0.2 计；通讯作者按第 1 作者计，共同第一作者按并列第 1 作者计。</w:t>
      </w:r>
    </w:p>
    <w:p w14:paraId="4B572110"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式(1)采用</w:t>
      </w:r>
      <w:r>
        <w:rPr>
          <w:rFonts w:ascii="Times New Roman" w:eastAsia="宋体" w:hAnsi="Times New Roman" w:cs="Times New Roman"/>
          <w:b/>
          <w:bCs/>
          <w:sz w:val="21"/>
          <w:szCs w:val="21"/>
          <w:lang w:eastAsia="zh-CN"/>
        </w:rPr>
        <w:t>名义分值制</w:t>
      </w:r>
      <w:r>
        <w:rPr>
          <w:rFonts w:ascii="Times New Roman" w:eastAsia="宋体" w:hAnsi="Times New Roman" w:cs="Times New Roman"/>
          <w:sz w:val="21"/>
          <w:szCs w:val="21"/>
          <w:lang w:eastAsia="zh-CN"/>
        </w:rPr>
        <w:t xml:space="preserve">而非总量守恒制，即各作者所得之和可能大于成果标准积分（4 位作者时为 2.5 倍）。这一设计源于疾控机构鼓励多科室协作攻关的管理导向，其“挂名”风险由两项制度约束控制：points_item 表的年度上限对各类积分累计值封顶；第 4 作者及以后的积分不计入职称评审口径。本文模型与常见守恒型方法的对比如表 1 所示。对需控制积分总量的场景，系统另提供可配置的归一化模式，如式(3)所示。</w:t>
      </w:r>
    </w:p>
    <w:p w14:paraId="689C4531"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1  多作者积分权重分配方法对比（以 4 位作者为例）</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2000"/>
        <w:gridCol w:w="1262"/>
        <w:gridCol w:w="1262"/>
        <w:gridCol w:w="1262"/>
        <w:gridCol w:w="1262"/>
        <w:gridCol w:w="1258"/>
      </w:tblGrid>
      <w:tr w:rsidR="00F23EB3" w14:paraId="2B8C51BF" w14:textId="77777777">
        <w:trPr>
          <w:cantSplit/>
          <w:tblHeader/>
          <w:jc w:val="center"/>
        </w:trPr>
        <w:tc>
          <w:tcPr>
            <w:tcW w:w="2000" w:type="dxa"/>
            <w:tcBorders>
              <w:top w:val="single" w:sz="12" w:space="0" w:color="auto"/>
              <w:left w:val="nil"/>
              <w:bottom w:val="single" w:sz="6" w:space="0" w:color="auto"/>
              <w:right w:val="nil"/>
            </w:tcBorders>
            <w:vAlign w:val="center"/>
          </w:tcPr>
          <w:p w14:paraId="4E175599" w14:textId="77777777" w:rsidR="00F23EB3" w:rsidRDefault="00000000">
            <w:pPr>
              <w:jc w:val="center"/>
              <w:rPr>
                <w:rFonts w:hint="eastAsia"/>
              </w:rPr>
            </w:pPr>
            <w:r>
              <w:rPr>
                <w:rFonts w:ascii="Times New Roman" w:eastAsia="宋体" w:hAnsi="Times New Roman" w:cs="Times New Roman"/>
                <w:b/>
                <w:bCs/>
                <w:sz w:val="18"/>
                <w:szCs w:val="18"/>
              </w:rPr>
              <w:t>分配方法</w:t>
            </w:r>
          </w:p>
        </w:tc>
        <w:tc>
          <w:tcPr>
            <w:tcW w:w="1262" w:type="dxa"/>
            <w:tcBorders>
              <w:top w:val="single" w:sz="12" w:space="0" w:color="auto"/>
              <w:left w:val="nil"/>
              <w:bottom w:val="single" w:sz="6" w:space="0" w:color="auto"/>
              <w:right w:val="nil"/>
            </w:tcBorders>
            <w:vAlign w:val="center"/>
          </w:tcPr>
          <w:p w14:paraId="703B9E87" w14:textId="77777777" w:rsidR="00F23EB3" w:rsidRDefault="00000000">
            <w:pPr>
              <w:jc w:val="center"/>
              <w:rPr>
                <w:rFonts w:hint="eastAsia"/>
              </w:rPr>
            </w:pPr>
            <w:r>
              <w:rPr>
                <w:rFonts w:ascii="Times New Roman" w:eastAsia="宋体" w:hAnsi="Times New Roman" w:cs="Times New Roman"/>
                <w:b/>
                <w:bCs/>
                <w:sz w:val="18"/>
                <w:szCs w:val="18"/>
              </w:rPr>
              <w:t xml:space="preserve">第 1 作者</w:t>
            </w:r>
          </w:p>
        </w:tc>
        <w:tc>
          <w:tcPr>
            <w:tcW w:w="1262" w:type="dxa"/>
            <w:tcBorders>
              <w:top w:val="single" w:sz="12" w:space="0" w:color="auto"/>
              <w:left w:val="nil"/>
              <w:bottom w:val="single" w:sz="6" w:space="0" w:color="auto"/>
              <w:right w:val="nil"/>
            </w:tcBorders>
            <w:vAlign w:val="center"/>
          </w:tcPr>
          <w:p w14:paraId="3A3D99FA" w14:textId="77777777" w:rsidR="00F23EB3" w:rsidRDefault="00000000">
            <w:pPr>
              <w:jc w:val="center"/>
              <w:rPr>
                <w:rFonts w:hint="eastAsia"/>
              </w:rPr>
            </w:pPr>
            <w:r>
              <w:rPr>
                <w:rFonts w:ascii="Times New Roman" w:eastAsia="宋体" w:hAnsi="Times New Roman" w:cs="Times New Roman"/>
                <w:b/>
                <w:bCs/>
                <w:sz w:val="18"/>
                <w:szCs w:val="18"/>
              </w:rPr>
              <w:t xml:space="preserve">第 2 作者</w:t>
            </w:r>
          </w:p>
        </w:tc>
        <w:tc>
          <w:tcPr>
            <w:tcW w:w="1262" w:type="dxa"/>
            <w:tcBorders>
              <w:top w:val="single" w:sz="12" w:space="0" w:color="auto"/>
              <w:left w:val="nil"/>
              <w:bottom w:val="single" w:sz="6" w:space="0" w:color="auto"/>
              <w:right w:val="nil"/>
            </w:tcBorders>
            <w:vAlign w:val="center"/>
          </w:tcPr>
          <w:p w14:paraId="6848EC40" w14:textId="77777777" w:rsidR="00F23EB3" w:rsidRDefault="00000000">
            <w:pPr>
              <w:jc w:val="center"/>
              <w:rPr>
                <w:rFonts w:hint="eastAsia"/>
              </w:rPr>
            </w:pPr>
            <w:r>
              <w:rPr>
                <w:rFonts w:ascii="Times New Roman" w:eastAsia="宋体" w:hAnsi="Times New Roman" w:cs="Times New Roman"/>
                <w:b/>
                <w:bCs/>
                <w:sz w:val="18"/>
                <w:szCs w:val="18"/>
              </w:rPr>
              <w:t xml:space="preserve">第 3 作者</w:t>
            </w:r>
          </w:p>
        </w:tc>
        <w:tc>
          <w:tcPr>
            <w:tcW w:w="1262" w:type="dxa"/>
            <w:tcBorders>
              <w:top w:val="single" w:sz="12" w:space="0" w:color="auto"/>
              <w:left w:val="nil"/>
              <w:bottom w:val="single" w:sz="6" w:space="0" w:color="auto"/>
              <w:right w:val="nil"/>
            </w:tcBorders>
            <w:vAlign w:val="center"/>
          </w:tcPr>
          <w:p w14:paraId="509C4AAF" w14:textId="77777777" w:rsidR="00F23EB3" w:rsidRDefault="00000000">
            <w:pPr>
              <w:jc w:val="center"/>
              <w:rPr>
                <w:rFonts w:hint="eastAsia"/>
              </w:rPr>
            </w:pPr>
            <w:r>
              <w:rPr>
                <w:rFonts w:ascii="Times New Roman" w:eastAsia="宋体" w:hAnsi="Times New Roman" w:cs="Times New Roman"/>
                <w:b/>
                <w:bCs/>
                <w:sz w:val="18"/>
                <w:szCs w:val="18"/>
              </w:rPr>
              <w:t xml:space="preserve">第 4 作者</w:t>
            </w:r>
          </w:p>
        </w:tc>
        <w:tc>
          <w:tcPr>
            <w:tcW w:w="1258" w:type="dxa"/>
            <w:tcBorders>
              <w:top w:val="single" w:sz="12" w:space="0" w:color="auto"/>
              <w:left w:val="nil"/>
              <w:bottom w:val="single" w:sz="6" w:space="0" w:color="auto"/>
              <w:right w:val="nil"/>
            </w:tcBorders>
            <w:vAlign w:val="center"/>
          </w:tcPr>
          <w:p w14:paraId="16EA09F2" w14:textId="77777777" w:rsidR="00F23EB3" w:rsidRDefault="00000000">
            <w:pPr>
              <w:jc w:val="center"/>
              <w:rPr>
                <w:rFonts w:hint="eastAsia"/>
              </w:rPr>
            </w:pPr>
            <w:r>
              <w:rPr>
                <w:rFonts w:ascii="Times New Roman" w:eastAsia="宋体" w:hAnsi="Times New Roman" w:cs="Times New Roman"/>
                <w:b/>
                <w:bCs/>
                <w:sz w:val="18"/>
                <w:szCs w:val="18"/>
              </w:rPr>
              <w:t>合计</w:t>
            </w:r>
          </w:p>
        </w:tc>
      </w:tr>
      <w:tr w:rsidR="00F23EB3" w14:paraId="798780B1" w14:textId="77777777">
        <w:trPr>
          <w:cantSplit/>
          <w:jc w:val="center"/>
        </w:trPr>
        <w:tc>
          <w:tcPr>
            <w:tcW w:w="2000" w:type="dxa"/>
            <w:tcBorders>
              <w:top w:val="nil"/>
              <w:left w:val="nil"/>
              <w:bottom w:val="nil"/>
              <w:right w:val="nil"/>
            </w:tcBorders>
            <w:vAlign w:val="center"/>
          </w:tcPr>
          <w:p w14:paraId="4128D524" w14:textId="77777777" w:rsidR="00F23EB3" w:rsidRDefault="00000000">
            <w:pPr>
              <w:rPr>
                <w:rFonts w:hint="eastAsia"/>
              </w:rPr>
            </w:pPr>
            <w:r>
              <w:rPr>
                <w:rFonts w:ascii="Times New Roman" w:eastAsia="宋体" w:hAnsi="Times New Roman" w:cs="Times New Roman"/>
                <w:sz w:val="18"/>
                <w:szCs w:val="18"/>
              </w:rPr>
              <w:t>均分法</w:t>
            </w:r>
          </w:p>
        </w:tc>
        <w:tc>
          <w:tcPr>
            <w:tcW w:w="1262" w:type="dxa"/>
            <w:tcBorders>
              <w:top w:val="nil"/>
              <w:left w:val="nil"/>
              <w:bottom w:val="nil"/>
              <w:right w:val="nil"/>
            </w:tcBorders>
            <w:vAlign w:val="center"/>
          </w:tcPr>
          <w:p w14:paraId="5685AE3A"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6179D357"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19AD9C81" w14:textId="77777777" w:rsidR="00F23EB3" w:rsidRDefault="00000000">
            <w:pPr>
              <w:jc w:val="center"/>
              <w:rPr>
                <w:rFonts w:hint="eastAsia"/>
              </w:rPr>
            </w:pPr>
            <w:r>
              <w:rPr>
                <w:rFonts w:ascii="Times New Roman" w:eastAsia="宋体" w:hAnsi="Times New Roman" w:cs="Times New Roman"/>
                <w:sz w:val="18"/>
                <w:szCs w:val="18"/>
              </w:rPr>
              <w:t>0.25</w:t>
            </w:r>
          </w:p>
        </w:tc>
        <w:tc>
          <w:tcPr>
            <w:tcW w:w="1262" w:type="dxa"/>
            <w:tcBorders>
              <w:top w:val="nil"/>
              <w:left w:val="nil"/>
              <w:bottom w:val="nil"/>
              <w:right w:val="nil"/>
            </w:tcBorders>
            <w:vAlign w:val="center"/>
          </w:tcPr>
          <w:p w14:paraId="3459C9EB" w14:textId="77777777" w:rsidR="00F23EB3" w:rsidRDefault="00000000">
            <w:pPr>
              <w:jc w:val="center"/>
              <w:rPr>
                <w:rFonts w:hint="eastAsia"/>
              </w:rPr>
            </w:pPr>
            <w:r>
              <w:rPr>
                <w:rFonts w:ascii="Times New Roman" w:eastAsia="宋体" w:hAnsi="Times New Roman" w:cs="Times New Roman"/>
                <w:sz w:val="18"/>
                <w:szCs w:val="18"/>
              </w:rPr>
              <w:t>0.25</w:t>
            </w:r>
          </w:p>
        </w:tc>
        <w:tc>
          <w:tcPr>
            <w:tcW w:w="1258" w:type="dxa"/>
            <w:tcBorders>
              <w:top w:val="nil"/>
              <w:left w:val="nil"/>
              <w:bottom w:val="nil"/>
              <w:right w:val="nil"/>
            </w:tcBorders>
            <w:vAlign w:val="center"/>
          </w:tcPr>
          <w:p w14:paraId="73A41A07"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7BBD1722" w14:textId="77777777">
        <w:trPr>
          <w:cantSplit/>
          <w:jc w:val="center"/>
        </w:trPr>
        <w:tc>
          <w:tcPr>
            <w:tcW w:w="2000" w:type="dxa"/>
            <w:tcBorders>
              <w:top w:val="nil"/>
              <w:left w:val="nil"/>
              <w:bottom w:val="nil"/>
              <w:right w:val="nil"/>
            </w:tcBorders>
            <w:vAlign w:val="center"/>
          </w:tcPr>
          <w:p w14:paraId="5E60F3C5" w14:textId="77777777" w:rsidR="00F23EB3" w:rsidRDefault="00000000">
            <w:pPr>
              <w:rPr>
                <w:rFonts w:hint="eastAsia"/>
              </w:rPr>
            </w:pPr>
            <w:r>
              <w:rPr>
                <w:rFonts w:ascii="Times New Roman" w:eastAsia="宋体" w:hAnsi="Times New Roman" w:cs="Times New Roman"/>
                <w:sz w:val="18"/>
                <w:szCs w:val="18"/>
              </w:rPr>
              <w:t>调和计数法</w:t>
            </w:r>
          </w:p>
        </w:tc>
        <w:tc>
          <w:tcPr>
            <w:tcW w:w="1262" w:type="dxa"/>
            <w:tcBorders>
              <w:top w:val="nil"/>
              <w:left w:val="nil"/>
              <w:bottom w:val="nil"/>
              <w:right w:val="nil"/>
            </w:tcBorders>
            <w:vAlign w:val="center"/>
          </w:tcPr>
          <w:p w14:paraId="4874B4F1" w14:textId="77777777" w:rsidR="00F23EB3" w:rsidRDefault="00000000">
            <w:pPr>
              <w:jc w:val="center"/>
              <w:rPr>
                <w:rFonts w:hint="eastAsia"/>
              </w:rPr>
            </w:pPr>
            <w:r>
              <w:rPr>
                <w:rFonts w:ascii="Times New Roman" w:eastAsia="宋体" w:hAnsi="Times New Roman" w:cs="Times New Roman"/>
                <w:sz w:val="18"/>
                <w:szCs w:val="18"/>
              </w:rPr>
              <w:t>0.48</w:t>
            </w:r>
          </w:p>
        </w:tc>
        <w:tc>
          <w:tcPr>
            <w:tcW w:w="1262" w:type="dxa"/>
            <w:tcBorders>
              <w:top w:val="nil"/>
              <w:left w:val="nil"/>
              <w:bottom w:val="nil"/>
              <w:right w:val="nil"/>
            </w:tcBorders>
            <w:vAlign w:val="center"/>
          </w:tcPr>
          <w:p w14:paraId="404E5C5D" w14:textId="77777777" w:rsidR="00F23EB3" w:rsidRDefault="00000000">
            <w:pPr>
              <w:jc w:val="center"/>
              <w:rPr>
                <w:rFonts w:hint="eastAsia"/>
              </w:rPr>
            </w:pPr>
            <w:r>
              <w:rPr>
                <w:rFonts w:ascii="Times New Roman" w:eastAsia="宋体" w:hAnsi="Times New Roman" w:cs="Times New Roman"/>
                <w:sz w:val="18"/>
                <w:szCs w:val="18"/>
              </w:rPr>
              <w:t>0.24</w:t>
            </w:r>
          </w:p>
        </w:tc>
        <w:tc>
          <w:tcPr>
            <w:tcW w:w="1262" w:type="dxa"/>
            <w:tcBorders>
              <w:top w:val="nil"/>
              <w:left w:val="nil"/>
              <w:bottom w:val="nil"/>
              <w:right w:val="nil"/>
            </w:tcBorders>
            <w:vAlign w:val="center"/>
          </w:tcPr>
          <w:p w14:paraId="193A3B52" w14:textId="77777777" w:rsidR="00F23EB3" w:rsidRDefault="00000000">
            <w:pPr>
              <w:jc w:val="center"/>
              <w:rPr>
                <w:rFonts w:hint="eastAsia"/>
              </w:rPr>
            </w:pPr>
            <w:r>
              <w:rPr>
                <w:rFonts w:ascii="Times New Roman" w:eastAsia="宋体" w:hAnsi="Times New Roman" w:cs="Times New Roman"/>
                <w:sz w:val="18"/>
                <w:szCs w:val="18"/>
              </w:rPr>
              <w:t>0.16</w:t>
            </w:r>
          </w:p>
        </w:tc>
        <w:tc>
          <w:tcPr>
            <w:tcW w:w="1262" w:type="dxa"/>
            <w:tcBorders>
              <w:top w:val="nil"/>
              <w:left w:val="nil"/>
              <w:bottom w:val="nil"/>
              <w:right w:val="nil"/>
            </w:tcBorders>
            <w:vAlign w:val="center"/>
          </w:tcPr>
          <w:p w14:paraId="6A0282F7" w14:textId="77777777" w:rsidR="00F23EB3" w:rsidRDefault="00000000">
            <w:pPr>
              <w:jc w:val="center"/>
              <w:rPr>
                <w:rFonts w:hint="eastAsia"/>
              </w:rPr>
            </w:pPr>
            <w:r>
              <w:rPr>
                <w:rFonts w:ascii="Times New Roman" w:eastAsia="宋体" w:hAnsi="Times New Roman" w:cs="Times New Roman"/>
                <w:sz w:val="18"/>
                <w:szCs w:val="18"/>
              </w:rPr>
              <w:t>0.12</w:t>
            </w:r>
          </w:p>
        </w:tc>
        <w:tc>
          <w:tcPr>
            <w:tcW w:w="1258" w:type="dxa"/>
            <w:tcBorders>
              <w:top w:val="nil"/>
              <w:left w:val="nil"/>
              <w:bottom w:val="nil"/>
              <w:right w:val="nil"/>
            </w:tcBorders>
            <w:vAlign w:val="center"/>
          </w:tcPr>
          <w:p w14:paraId="7D673730"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190ED8D6" w14:textId="77777777">
        <w:trPr>
          <w:cantSplit/>
          <w:jc w:val="center"/>
        </w:trPr>
        <w:tc>
          <w:tcPr>
            <w:tcW w:w="2000" w:type="dxa"/>
            <w:tcBorders>
              <w:top w:val="nil"/>
              <w:left w:val="nil"/>
              <w:bottom w:val="nil"/>
              <w:right w:val="nil"/>
            </w:tcBorders>
            <w:vAlign w:val="center"/>
          </w:tcPr>
          <w:p w14:paraId="202D665E" w14:textId="77777777" w:rsidR="00F23EB3" w:rsidRDefault="00000000">
            <w:pPr>
              <w:rPr>
                <w:rFonts w:hint="eastAsia"/>
              </w:rPr>
            </w:pPr>
            <w:r>
              <w:rPr>
                <w:rFonts w:ascii="Times New Roman" w:eastAsia="宋体" w:hAnsi="Times New Roman" w:cs="Times New Roman"/>
                <w:sz w:val="18"/>
                <w:szCs w:val="18"/>
              </w:rPr>
              <w:t>算术递减法</w:t>
            </w:r>
          </w:p>
        </w:tc>
        <w:tc>
          <w:tcPr>
            <w:tcW w:w="1262" w:type="dxa"/>
            <w:tcBorders>
              <w:top w:val="nil"/>
              <w:left w:val="nil"/>
              <w:bottom w:val="nil"/>
              <w:right w:val="nil"/>
            </w:tcBorders>
            <w:vAlign w:val="center"/>
          </w:tcPr>
          <w:p w14:paraId="08BCF719" w14:textId="77777777" w:rsidR="00F23EB3" w:rsidRDefault="00000000">
            <w:pPr>
              <w:jc w:val="center"/>
              <w:rPr>
                <w:rFonts w:hint="eastAsia"/>
              </w:rPr>
            </w:pPr>
            <w:r>
              <w:rPr>
                <w:rFonts w:ascii="Times New Roman" w:eastAsia="宋体" w:hAnsi="Times New Roman" w:cs="Times New Roman"/>
                <w:sz w:val="18"/>
                <w:szCs w:val="18"/>
              </w:rPr>
              <w:t>0.40</w:t>
            </w:r>
          </w:p>
        </w:tc>
        <w:tc>
          <w:tcPr>
            <w:tcW w:w="1262" w:type="dxa"/>
            <w:tcBorders>
              <w:top w:val="nil"/>
              <w:left w:val="nil"/>
              <w:bottom w:val="nil"/>
              <w:right w:val="nil"/>
            </w:tcBorders>
            <w:vAlign w:val="center"/>
          </w:tcPr>
          <w:p w14:paraId="5460307B" w14:textId="77777777" w:rsidR="00F23EB3" w:rsidRDefault="00000000">
            <w:pPr>
              <w:jc w:val="center"/>
              <w:rPr>
                <w:rFonts w:hint="eastAsia"/>
              </w:rPr>
            </w:pPr>
            <w:r>
              <w:rPr>
                <w:rFonts w:ascii="Times New Roman" w:eastAsia="宋体" w:hAnsi="Times New Roman" w:cs="Times New Roman"/>
                <w:sz w:val="18"/>
                <w:szCs w:val="18"/>
              </w:rPr>
              <w:t>0.30</w:t>
            </w:r>
          </w:p>
        </w:tc>
        <w:tc>
          <w:tcPr>
            <w:tcW w:w="1262" w:type="dxa"/>
            <w:tcBorders>
              <w:top w:val="nil"/>
              <w:left w:val="nil"/>
              <w:bottom w:val="nil"/>
              <w:right w:val="nil"/>
            </w:tcBorders>
            <w:vAlign w:val="center"/>
          </w:tcPr>
          <w:p w14:paraId="0930B395" w14:textId="77777777" w:rsidR="00F23EB3" w:rsidRDefault="00000000">
            <w:pPr>
              <w:jc w:val="center"/>
              <w:rPr>
                <w:rFonts w:hint="eastAsia"/>
              </w:rPr>
            </w:pPr>
            <w:r>
              <w:rPr>
                <w:rFonts w:ascii="Times New Roman" w:eastAsia="宋体" w:hAnsi="Times New Roman" w:cs="Times New Roman"/>
                <w:sz w:val="18"/>
                <w:szCs w:val="18"/>
              </w:rPr>
              <w:t>0.20</w:t>
            </w:r>
          </w:p>
        </w:tc>
        <w:tc>
          <w:tcPr>
            <w:tcW w:w="1262" w:type="dxa"/>
            <w:tcBorders>
              <w:top w:val="nil"/>
              <w:left w:val="nil"/>
              <w:bottom w:val="nil"/>
              <w:right w:val="nil"/>
            </w:tcBorders>
            <w:vAlign w:val="center"/>
          </w:tcPr>
          <w:p w14:paraId="2C6606E3" w14:textId="77777777" w:rsidR="00F23EB3" w:rsidRDefault="00000000">
            <w:pPr>
              <w:jc w:val="center"/>
              <w:rPr>
                <w:rFonts w:hint="eastAsia"/>
              </w:rPr>
            </w:pPr>
            <w:r>
              <w:rPr>
                <w:rFonts w:ascii="Times New Roman" w:eastAsia="宋体" w:hAnsi="Times New Roman" w:cs="Times New Roman"/>
                <w:sz w:val="18"/>
                <w:szCs w:val="18"/>
              </w:rPr>
              <w:t>0.10</w:t>
            </w:r>
          </w:p>
        </w:tc>
        <w:tc>
          <w:tcPr>
            <w:tcW w:w="1258" w:type="dxa"/>
            <w:tcBorders>
              <w:top w:val="nil"/>
              <w:left w:val="nil"/>
              <w:bottom w:val="nil"/>
              <w:right w:val="nil"/>
            </w:tcBorders>
            <w:vAlign w:val="center"/>
          </w:tcPr>
          <w:p w14:paraId="61230F4D" w14:textId="77777777" w:rsidR="00F23EB3" w:rsidRDefault="00000000">
            <w:pPr>
              <w:jc w:val="center"/>
              <w:rPr>
                <w:rFonts w:hint="eastAsia"/>
              </w:rPr>
            </w:pPr>
            <w:r>
              <w:rPr>
                <w:rFonts w:ascii="Times New Roman" w:eastAsia="宋体" w:hAnsi="Times New Roman" w:cs="Times New Roman"/>
                <w:sz w:val="18"/>
                <w:szCs w:val="18"/>
              </w:rPr>
              <w:t>1.00</w:t>
            </w:r>
          </w:p>
        </w:tc>
      </w:tr>
      <w:tr w:rsidR="00F23EB3" w14:paraId="2265A09A" w14:textId="77777777">
        <w:trPr>
          <w:cantSplit/>
          <w:jc w:val="center"/>
        </w:trPr>
        <w:tc>
          <w:tcPr>
            <w:tcW w:w="2000" w:type="dxa"/>
            <w:tcBorders>
              <w:top w:val="nil"/>
              <w:left w:val="nil"/>
              <w:bottom w:val="single" w:sz="12" w:space="0" w:color="auto"/>
              <w:right w:val="nil"/>
            </w:tcBorders>
            <w:vAlign w:val="center"/>
          </w:tcPr>
          <w:p w14:paraId="69A157BE" w14:textId="77777777" w:rsidR="00F23EB3" w:rsidRDefault="00000000">
            <w:pPr>
              <w:rPr>
                <w:rFonts w:hint="eastAsia"/>
              </w:rPr>
            </w:pPr>
            <w:r>
              <w:rPr>
                <w:rFonts w:ascii="Times New Roman" w:eastAsia="宋体" w:hAnsi="Times New Roman" w:cs="Times New Roman"/>
                <w:sz w:val="18"/>
                <w:szCs w:val="18"/>
              </w:rPr>
              <w:t>本文分段权重法</w:t>
            </w:r>
          </w:p>
        </w:tc>
        <w:tc>
          <w:tcPr>
            <w:tcW w:w="1262" w:type="dxa"/>
            <w:tcBorders>
              <w:top w:val="nil"/>
              <w:left w:val="nil"/>
              <w:bottom w:val="single" w:sz="12" w:space="0" w:color="auto"/>
              <w:right w:val="nil"/>
            </w:tcBorders>
            <w:vAlign w:val="center"/>
          </w:tcPr>
          <w:p w14:paraId="6DAFF13B" w14:textId="77777777" w:rsidR="00F23EB3" w:rsidRDefault="00000000">
            <w:pPr>
              <w:jc w:val="center"/>
              <w:rPr>
                <w:rFonts w:hint="eastAsia"/>
              </w:rPr>
            </w:pPr>
            <w:r>
              <w:rPr>
                <w:rFonts w:ascii="Times New Roman" w:eastAsia="宋体" w:hAnsi="Times New Roman" w:cs="Times New Roman"/>
                <w:sz w:val="18"/>
                <w:szCs w:val="18"/>
              </w:rPr>
              <w:t>1.00</w:t>
            </w:r>
          </w:p>
        </w:tc>
        <w:tc>
          <w:tcPr>
            <w:tcW w:w="1262" w:type="dxa"/>
            <w:tcBorders>
              <w:top w:val="nil"/>
              <w:left w:val="nil"/>
              <w:bottom w:val="single" w:sz="12" w:space="0" w:color="auto"/>
              <w:right w:val="nil"/>
            </w:tcBorders>
            <w:vAlign w:val="center"/>
          </w:tcPr>
          <w:p w14:paraId="11C66324" w14:textId="77777777" w:rsidR="00F23EB3" w:rsidRDefault="00000000">
            <w:pPr>
              <w:jc w:val="center"/>
              <w:rPr>
                <w:rFonts w:hint="eastAsia"/>
              </w:rPr>
            </w:pPr>
            <w:r>
              <w:rPr>
                <w:rFonts w:ascii="Times New Roman" w:eastAsia="宋体" w:hAnsi="Times New Roman" w:cs="Times New Roman"/>
                <w:sz w:val="18"/>
                <w:szCs w:val="18"/>
              </w:rPr>
              <w:t>0.80</w:t>
            </w:r>
          </w:p>
        </w:tc>
        <w:tc>
          <w:tcPr>
            <w:tcW w:w="1262" w:type="dxa"/>
            <w:tcBorders>
              <w:top w:val="nil"/>
              <w:left w:val="nil"/>
              <w:bottom w:val="single" w:sz="12" w:space="0" w:color="auto"/>
              <w:right w:val="nil"/>
            </w:tcBorders>
            <w:vAlign w:val="center"/>
          </w:tcPr>
          <w:p w14:paraId="02D6158D" w14:textId="77777777" w:rsidR="00F23EB3" w:rsidRDefault="00000000">
            <w:pPr>
              <w:jc w:val="center"/>
              <w:rPr>
                <w:rFonts w:hint="eastAsia"/>
              </w:rPr>
            </w:pPr>
            <w:r>
              <w:rPr>
                <w:rFonts w:ascii="Times New Roman" w:eastAsia="宋体" w:hAnsi="Times New Roman" w:cs="Times New Roman"/>
                <w:sz w:val="18"/>
                <w:szCs w:val="18"/>
              </w:rPr>
              <w:t>0.50</w:t>
            </w:r>
          </w:p>
        </w:tc>
        <w:tc>
          <w:tcPr>
            <w:tcW w:w="1262" w:type="dxa"/>
            <w:tcBorders>
              <w:top w:val="nil"/>
              <w:left w:val="nil"/>
              <w:bottom w:val="single" w:sz="12" w:space="0" w:color="auto"/>
              <w:right w:val="nil"/>
            </w:tcBorders>
            <w:vAlign w:val="center"/>
          </w:tcPr>
          <w:p w14:paraId="6A0581E9" w14:textId="77777777" w:rsidR="00F23EB3" w:rsidRDefault="00000000">
            <w:pPr>
              <w:jc w:val="center"/>
              <w:rPr>
                <w:rFonts w:hint="eastAsia"/>
              </w:rPr>
            </w:pPr>
            <w:r>
              <w:rPr>
                <w:rFonts w:ascii="Times New Roman" w:eastAsia="宋体" w:hAnsi="Times New Roman" w:cs="Times New Roman"/>
                <w:sz w:val="18"/>
                <w:szCs w:val="18"/>
              </w:rPr>
              <w:t>0.20</w:t>
            </w:r>
          </w:p>
        </w:tc>
        <w:tc>
          <w:tcPr>
            <w:tcW w:w="1258" w:type="dxa"/>
            <w:tcBorders>
              <w:top w:val="nil"/>
              <w:left w:val="nil"/>
              <w:bottom w:val="single" w:sz="12" w:space="0" w:color="auto"/>
              <w:right w:val="nil"/>
            </w:tcBorders>
            <w:vAlign w:val="center"/>
          </w:tcPr>
          <w:p w14:paraId="7055B09E" w14:textId="77777777" w:rsidR="00F23EB3" w:rsidRDefault="00000000">
            <w:pPr>
              <w:jc w:val="center"/>
              <w:rPr>
                <w:rFonts w:hint="eastAsia"/>
              </w:rPr>
            </w:pPr>
            <w:r>
              <w:rPr>
                <w:rFonts w:ascii="Times New Roman" w:eastAsia="宋体" w:hAnsi="Times New Roman" w:cs="Times New Roman"/>
                <w:sz w:val="18"/>
                <w:szCs w:val="18"/>
              </w:rPr>
              <w:t>2.50</w:t>
            </w:r>
          </w:p>
        </w:tc>
      </w:tr>
    </w:tbl>
    <w:p w14:paraId="2FCEE985" w14:textId="77777777" w:rsidR="00F23EB3" w:rsidRDefault="00000000">
      <w:pPr>
        <w:keepNext/>
        <w:keepLines/>
        <w:tabs>
          <w:tab w:val="center" w:pos="4153"/>
          <w:tab w:val="right" w:pos="8306"/>
        </w:tabs>
        <w:spacing w:beforeLines="15" w:before="46" w:afterLines="15" w:after="46"/>
        <w:rPr>
          <w:rFonts w:hint="eastAsia"/>
        </w:rPr>
      </w:pPr>
      <w:r>
        <w:tab/>
      </w:r>
      <m:oMath>
        <m:sSubSup>
          <m:sSubSupPr>
            <m:ctrlPr>
              <w:rPr>
                <w:rFonts w:ascii="Cambria Math" w:hAnsi="Cambria Math"/>
              </w:rPr>
            </m:ctrlPr>
          </m:sSubSupPr>
          <m:e>
            <m:r>
              <w:rPr>
                <w:rFonts w:ascii="Cambria Math" w:hAnsi="Cambria Math"/>
                <w:sz w:val="21"/>
                <w:szCs w:val="21"/>
              </w:rPr>
              <m:t>S</m:t>
            </m:r>
          </m:e>
          <m:sub>
            <m:r>
              <w:rPr>
                <w:rFonts w:ascii="Cambria Math" w:hAnsi="Cambria Math"/>
                <w:sz w:val="21"/>
                <w:szCs w:val="21"/>
              </w:rPr>
              <m:t>i</m:t>
            </m:r>
          </m:sub>
          <m:sup>
            <m:r>
              <m:rPr>
                <m:sty m:val="p"/>
              </m:rPr>
              <w:rPr>
                <w:rFonts w:ascii="Cambria Math" w:hAnsi="Cambria Math"/>
                <w:sz w:val="21"/>
                <w:szCs w:val="21"/>
              </w:rPr>
              <m:t>norm</m:t>
            </m:r>
          </m:sup>
        </m:sSubSup>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total</m:t>
            </m:r>
          </m:sub>
        </m:sSub>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v</m:t>
                </m:r>
              </m:e>
              <m:sub>
                <m:r>
                  <w:rPr>
                    <w:rFonts w:ascii="Cambria Math" w:hAnsi="Cambria Math"/>
                    <w:sz w:val="21"/>
                    <w:szCs w:val="21"/>
                  </w:rPr>
                  <m:t>i</m:t>
                </m:r>
              </m:sub>
            </m:sSub>
          </m:num>
          <m:den>
            <m:nary>
              <m:naryPr>
                <m:chr m:val="∑"/>
                <m:limLoc m:val="subSup"/>
                <m:grow m:val="1"/>
                <m:ctrlPr>
                  <w:rPr>
                    <w:rFonts w:ascii="Cambria Math" w:hAnsi="Cambria Math"/>
                  </w:rPr>
                </m:ctrlPr>
              </m:naryPr>
              <m:sub>
                <m:r>
                  <w:rPr>
                    <w:rFonts w:ascii="Cambria Math" w:hAnsi="Cambria Math"/>
                    <w:sz w:val="21"/>
                    <w:szCs w:val="21"/>
                  </w:rPr>
                  <m:t>j</m:t>
                </m:r>
                <m:r>
                  <m:rPr>
                    <m:sty m:val="p"/>
                  </m:rPr>
                  <w:rPr>
                    <w:rFonts w:ascii="Cambria Math" w:hAnsi="Cambria Math"/>
                    <w:sz w:val="21"/>
                    <w:szCs w:val="21"/>
                  </w:rPr>
                  <m:t xml:space="preserve"> = 1</m:t>
                </m:r>
              </m:sub>
              <m:sup>
                <m:r>
                  <w:rPr>
                    <w:rFonts w:ascii="Cambria Math" w:hAnsi="Cambria Math"/>
                    <w:sz w:val="21"/>
                    <w:szCs w:val="21"/>
                  </w:rPr>
                  <m:t>n</m:t>
                </m:r>
              </m:sup>
              <m:e>
                <m:sSub>
                  <m:sSubPr>
                    <m:ctrlPr>
                      <w:rPr>
                        <w:rFonts w:ascii="Cambria Math" w:hAnsi="Cambria Math"/>
                      </w:rPr>
                    </m:ctrlPr>
                  </m:sSubPr>
                  <m:e>
                    <m:r>
                      <w:rPr>
                        <w:rFonts w:ascii="Cambria Math" w:hAnsi="Cambria Math"/>
                        <w:sz w:val="21"/>
                        <w:szCs w:val="21"/>
                      </w:rPr>
                      <m:t>v</m:t>
                    </m:r>
                  </m:e>
                  <m:sub>
                    <m:r>
                      <w:rPr>
                        <w:rFonts w:ascii="Cambria Math" w:hAnsi="Cambria Math"/>
                        <w:sz w:val="21"/>
                        <w:szCs w:val="21"/>
                      </w:rPr>
                      <m:t>j</m:t>
                    </m:r>
                  </m:sub>
                </m:sSub>
              </m:e>
            </m:nary>
          </m:den>
        </m:f>
      </m:oMath>
      <w:r>
        <w:tab/>
      </w:r>
      <w:r>
        <w:rPr>
          <w:rFonts w:ascii="Times New Roman" w:eastAsia="宋体" w:hAnsi="Times New Roman" w:cs="Times New Roman"/>
          <w:sz w:val="21"/>
          <w:szCs w:val="21"/>
        </w:rPr>
        <w:t>(3)</w:t>
      </w:r>
    </w:p>
    <w:p w14:paraId="2FE16849"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v</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为第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作者按式(1)得到的原始分配系数。</w:t>
      </w:r>
    </w:p>
    <w:p w14:paraId="756A919B"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4.3  动态标签权重模型</w:t>
      </w:r>
    </w:p>
    <w:p w14:paraId="1460E664"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构建了基础属性、能力维度与专业方向三维标签体系[10]。考虑到科研贡献具有明显时效性，本文将指数时间衰减因子前置嵌入行为积分的归一化环节（式(4)），标签权重则在此基础上按一阶指数加权移动平均更新（式(5)）。</w:t>
      </w:r>
    </w:p>
    <w:p w14:paraId="64734033"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s</m:t>
                </m:r>
              </m:e>
            </m:acc>
          </m:e>
          <m:sub>
            <m:r>
              <w:rPr>
                <w:rFonts w:ascii="Cambria Math" w:hAnsi="Cambria Math"/>
                <w:sz w:val="21"/>
                <w:szCs w:val="21"/>
              </w:rPr>
              <m:t>i,u</m:t>
            </m:r>
          </m:sub>
        </m:sSub>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s</m:t>
                </m:r>
              </m:e>
              <m:sub>
                <m:r>
                  <w:rPr>
                    <w:rFonts w:ascii="Cambria Math" w:hAnsi="Cambria Math"/>
                    <w:sz w:val="21"/>
                    <w:szCs w:val="21"/>
                  </w:rPr>
                  <m:t>i,u</m:t>
                </m:r>
              </m:sub>
            </m:sSub>
            <m:r>
              <m:rPr>
                <m:sty m:val="p"/>
              </m:rPr>
              <w:rPr>
                <w:rFonts w:ascii="Cambria Math" w:hAnsi="Cambria Math"/>
                <w:sz w:val="21"/>
                <w:szCs w:val="21"/>
              </w:rPr>
              <m:t xml:space="preserve"> · </m:t>
            </m:r>
            <m:sSup>
              <m:sSupPr>
                <m:ctrlPr>
                  <w:rPr>
                    <w:rFonts w:ascii="Cambria Math" w:hAnsi="Cambria Math"/>
                  </w:rPr>
                </m:ctrlPr>
              </m:sSupPr>
              <m:e>
                <m:r>
                  <m:rPr>
                    <m:sty m:val="p"/>
                  </m:rPr>
                  <w:rPr>
                    <w:rFonts w:ascii="Cambria Math" w:hAnsi="Cambria Math"/>
                    <w:sz w:val="21"/>
                    <w:szCs w:val="21"/>
                  </w:rPr>
                  <m:t>e</m:t>
                </m:r>
              </m:e>
              <m:sup>
                <m:r>
                  <m:rPr>
                    <m:sty m:val="p"/>
                  </m:rPr>
                  <w:rPr>
                    <w:rFonts w:ascii="Cambria Math" w:hAnsi="Cambria Math"/>
                    <w:sz w:val="21"/>
                    <w:szCs w:val="21"/>
                  </w:rPr>
                  <m:t>-</m:t>
                </m:r>
                <m:r>
                  <w:rPr>
                    <w:rFonts w:ascii="Cambria Math" w:hAnsi="Cambria Math"/>
                    <w:sz w:val="21"/>
                    <w:szCs w:val="21"/>
                  </w:rPr>
                  <m:t>λ</m:t>
                </m:r>
                <m:d>
                  <m:dPr>
                    <m:ctrlPr>
                      <w:rPr>
                        <w:rFonts w:ascii="Cambria Math" w:hAnsi="Cambria Math"/>
                      </w:rPr>
                    </m:ctrlPr>
                  </m:dPr>
                  <m:e>
                    <m:sSub>
                      <m:sSubPr>
                        <m:ctrlPr>
                          <w:rPr>
                            <w:rFonts w:ascii="Cambria Math" w:hAnsi="Cambria Math"/>
                          </w:rPr>
                        </m:ctrlPr>
                      </m:sSubPr>
                      <m:e>
                        <m:r>
                          <w:rPr>
                            <w:rFonts w:ascii="Cambria Math" w:hAnsi="Cambria Math"/>
                            <w:sz w:val="21"/>
                            <w:szCs w:val="21"/>
                          </w:rPr>
                          <m:t>t</m:t>
                        </m:r>
                      </m:e>
                      <m:sub>
                        <m:r>
                          <m:rPr>
                            <m:sty m:val="p"/>
                          </m:rPr>
                          <w:rPr>
                            <w:rFonts w:ascii="Cambria Math" w:hAnsi="Cambria Math"/>
                            <w:sz w:val="21"/>
                            <w:szCs w:val="21"/>
                          </w:rPr>
                          <m:t>now</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t</m:t>
                        </m:r>
                      </m:e>
                      <m:sub>
                        <m:r>
                          <w:rPr>
                            <w:rFonts w:ascii="Cambria Math" w:hAnsi="Cambria Math"/>
                            <w:sz w:val="21"/>
                            <w:szCs w:val="21"/>
                          </w:rPr>
                          <m:t>i</m:t>
                        </m:r>
                      </m:sub>
                    </m:sSub>
                  </m:e>
                </m:d>
              </m:sup>
            </m:sSup>
          </m:num>
          <m:den>
            <m:sSub>
              <m:sSubPr>
                <m:ctrlPr>
                  <w:rPr>
                    <w:rFonts w:ascii="Cambria Math" w:hAnsi="Cambria Math"/>
                  </w:rPr>
                </m:ctrlPr>
              </m:sSubPr>
              <m:e>
                <m:r>
                  <w:rPr>
                    <w:rFonts w:ascii="Cambria Math" w:hAnsi="Cambria Math"/>
                    <w:sz w:val="21"/>
                    <w:szCs w:val="21"/>
                  </w:rPr>
                  <m:t>S</m:t>
                </m:r>
              </m:e>
              <m:sub>
                <m:r>
                  <m:rPr>
                    <m:sty m:val="p"/>
                  </m:rPr>
                  <w:rPr>
                    <w:rFonts w:ascii="Cambria Math" w:hAnsi="Cambria Math"/>
                    <w:sz w:val="21"/>
                    <w:szCs w:val="21"/>
                  </w:rPr>
                  <m:t>max,</m:t>
                </m:r>
                <m:r>
                  <w:rPr>
                    <w:rFonts w:ascii="Cambria Math" w:hAnsi="Cambria Math"/>
                    <w:sz w:val="21"/>
                    <w:szCs w:val="21"/>
                  </w:rPr>
                  <m:t>t</m:t>
                </m:r>
              </m:sub>
            </m:sSub>
          </m:den>
        </m:f>
      </m:oMath>
      <w:r>
        <w:tab/>
      </w:r>
      <w:r>
        <w:rPr>
          <w:rFonts w:ascii="Times New Roman" w:eastAsia="宋体" w:hAnsi="Times New Roman" w:cs="Times New Roman"/>
          <w:sz w:val="21"/>
          <w:szCs w:val="21"/>
        </w:rPr>
        <w:t>(4)</w:t>
      </w:r>
    </w:p>
    <w:p w14:paraId="3472D55F" w14:textId="77777777" w:rsidR="00F23EB3" w:rsidRDefault="00000000">
      <w:pPr>
        <w:keepNext/>
        <w:keepLines/>
        <w:tabs>
          <w:tab w:val="center" w:pos="4153"/>
          <w:tab w:val="right" w:pos="8306"/>
        </w:tabs>
        <w:spacing w:beforeLines="15" w:before="46" w:afterLines="15" w:after="46"/>
        <w:rPr>
          <w:rFonts w:hint="eastAsia"/>
        </w:rPr>
      </w:pPr>
      <w:r>
        <w:tab/>
      </w:r>
      <m:oMath>
        <m:sSubSup>
          <m:sSubSupPr>
            <m:ctrlPr>
              <w:rPr>
                <w:rFonts w:ascii="Cambria Math" w:hAnsi="Cambria Math"/>
              </w:rPr>
            </m:ctrlPr>
          </m:sSubSupPr>
          <m:e>
            <m:r>
              <w:rPr>
                <w:rFonts w:ascii="Cambria Math" w:hAnsi="Cambria Math"/>
                <w:sz w:val="21"/>
                <w:szCs w:val="21"/>
              </w:rPr>
              <m:t>W</m:t>
            </m:r>
          </m:e>
          <m:sub>
            <m:r>
              <w:rPr>
                <w:rFonts w:ascii="Cambria Math" w:hAnsi="Cambria Math"/>
                <w:sz w:val="21"/>
                <w:szCs w:val="21"/>
              </w:rPr>
              <m:t>t,u</m:t>
            </m:r>
          </m:sub>
          <m:sup>
            <m:d>
              <m:dPr>
                <m:ctrlPr>
                  <w:rPr>
                    <w:rFonts w:ascii="Cambria Math" w:hAnsi="Cambria Math"/>
                  </w:rPr>
                </m:ctrlPr>
              </m:dPr>
              <m:e>
                <m:r>
                  <w:rPr>
                    <w:rFonts w:ascii="Cambria Math" w:hAnsi="Cambria Math"/>
                    <w:sz w:val="21"/>
                    <w:szCs w:val="21"/>
                  </w:rPr>
                  <m:t>k</m:t>
                </m:r>
              </m:e>
            </m:d>
          </m:sup>
        </m:sSubSup>
        <m:r>
          <m:rPr>
            <m:sty m:val="p"/>
          </m:rPr>
          <w:rPr>
            <w:rFonts w:ascii="Cambria Math" w:hAnsi="Cambria Math"/>
            <w:sz w:val="21"/>
            <w:szCs w:val="21"/>
          </w:rPr>
          <m:t xml:space="preserve"> = </m:t>
        </m:r>
        <m:r>
          <w:rPr>
            <w:rFonts w:ascii="Cambria Math" w:hAnsi="Cambria Math"/>
            <w:sz w:val="21"/>
            <w:szCs w:val="21"/>
          </w:rPr>
          <m:t>α</m:t>
        </m:r>
        <m:r>
          <m:rPr>
            <m:sty m:val="p"/>
          </m:rPr>
          <w:rPr>
            <w:rFonts w:ascii="Cambria Math" w:hAnsi="Cambria Math"/>
            <w:sz w:val="21"/>
            <w:szCs w:val="21"/>
          </w:rPr>
          <m:t xml:space="preserve"> · </m:t>
        </m:r>
        <m:nary>
          <m:naryPr>
            <m:chr m:val="∑"/>
            <m:limLoc m:val="subSup"/>
            <m:grow m:val="1"/>
            <m:ctrlPr>
              <w:rPr>
                <w:rFonts w:ascii="Cambria Math" w:hAnsi="Cambria Math"/>
              </w:rPr>
            </m:ctrlPr>
          </m:naryPr>
          <m:sub>
            <m:r>
              <w:rPr>
                <w:rFonts w:ascii="Cambria Math" w:hAnsi="Cambria Math"/>
                <w:sz w:val="21"/>
                <w:szCs w:val="21"/>
              </w:rPr>
              <m:t>i</m:t>
            </m:r>
            <m:r>
              <m:rPr>
                <m:sty m:val="p"/>
              </m:rPr>
              <w:rPr>
                <w:rFonts w:ascii="Cambria Math" w:hAnsi="Cambria Math"/>
                <w:sz w:val="21"/>
                <w:szCs w:val="21"/>
              </w:rPr>
              <m:t xml:space="preserve"> = 1</m:t>
            </m:r>
          </m:sub>
          <m:sup>
            <m:r>
              <w:rPr>
                <w:rFonts w:ascii="Cambria Math" w:hAnsi="Cambria Math"/>
                <w:sz w:val="21"/>
                <w:szCs w:val="21"/>
              </w:rPr>
              <m:t>m</m:t>
            </m:r>
          </m:sup>
          <m:e>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sz w:val="21"/>
                            <w:szCs w:val="21"/>
                          </w:rPr>
                          <m:t>s</m:t>
                        </m:r>
                      </m:e>
                    </m:acc>
                  </m:e>
                  <m:sub>
                    <m:r>
                      <w:rPr>
                        <w:rFonts w:ascii="Cambria Math" w:hAnsi="Cambria Math"/>
                        <w:sz w:val="21"/>
                        <w:szCs w:val="21"/>
                      </w:rPr>
                      <m:t>i,u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w</m:t>
                    </m:r>
                  </m:e>
                  <m:sub>
                    <m:r>
                      <w:rPr>
                        <w:rFonts w:ascii="Cambria Math" w:hAnsi="Cambria Math"/>
                        <w:sz w:val="21"/>
                        <w:szCs w:val="21"/>
                      </w:rPr>
                      <m:t>i</m:t>
                    </m:r>
                  </m:sub>
                </m:sSub>
              </m:e>
            </m:d>
          </m:e>
        </m:nary>
        <m:r>
          <m:rPr>
            <m:sty m:val="p"/>
          </m:rPr>
          <w:rPr>
            <w:rFonts w:ascii="Cambria Math" w:hAnsi="Cambria Math"/>
            <w:sz w:val="21"/>
            <w:szCs w:val="21"/>
          </w:rPr>
          <m:t xml:space="preserve"> + </m:t>
        </m:r>
        <m:d>
          <m:dPr>
            <m:ctrlPr>
              <w:rPr>
                <w:rFonts w:ascii="Cambria Math" w:hAnsi="Cambria Math"/>
              </w:rPr>
            </m:ctrlPr>
          </m:dPr>
          <m:e>
            <m:r>
              <m:rPr>
                <m:sty m:val="p"/>
              </m:rPr>
              <w:rPr>
                <w:rFonts w:ascii="Cambria Math" w:hAnsi="Cambria Math"/>
                <w:sz w:val="21"/>
                <w:szCs w:val="21"/>
              </w:rPr>
              <m:t xml:space="preserve">1 - </m:t>
            </m:r>
            <m:r>
              <w:rPr>
                <w:rFonts w:ascii="Cambria Math" w:hAnsi="Cambria Math"/>
                <w:sz w:val="21"/>
                <w:szCs w:val="21"/>
              </w:rPr>
              <m:t>α</m:t>
            </m:r>
          </m:e>
        </m:d>
        <m:r>
          <m:rPr>
            <m:sty m:val="p"/>
          </m:rPr>
          <w:rPr>
            <w:rFonts w:ascii="Cambria Math" w:hAnsi="Cambria Math"/>
            <w:sz w:val="21"/>
            <w:szCs w:val="21"/>
          </w:rPr>
          <m:t xml:space="preserve"> · </m:t>
        </m:r>
        <m:sSubSup>
          <m:sSubSupPr>
            <m:ctrlPr>
              <w:rPr>
                <w:rFonts w:ascii="Cambria Math" w:hAnsi="Cambria Math"/>
              </w:rPr>
            </m:ctrlPr>
          </m:sSubSupPr>
          <m:e>
            <m:r>
              <w:rPr>
                <w:rFonts w:ascii="Cambria Math" w:hAnsi="Cambria Math"/>
                <w:sz w:val="21"/>
                <w:szCs w:val="21"/>
              </w:rPr>
              <m:t>W</m:t>
            </m:r>
          </m:e>
          <m:sub>
            <m:r>
              <w:rPr>
                <w:rFonts w:ascii="Cambria Math" w:hAnsi="Cambria Math"/>
                <w:sz w:val="21"/>
                <w:szCs w:val="21"/>
              </w:rPr>
              <m:t>t,u</m:t>
            </m:r>
          </m:sub>
          <m:sup>
            <m:d>
              <m:dPr>
                <m:ctrlPr>
                  <w:rPr>
                    <w:rFonts w:ascii="Cambria Math" w:hAnsi="Cambria Math"/>
                  </w:rPr>
                </m:ctrlPr>
              </m:dPr>
              <m:e>
                <m:r>
                  <w:rPr>
                    <w:rFonts w:ascii="Cambria Math" w:hAnsi="Cambria Math"/>
                    <w:sz w:val="21"/>
                    <w:szCs w:val="21"/>
                  </w:rPr>
                  <m:t>k</m:t>
                </m:r>
                <m:r>
                  <m:rPr>
                    <m:sty m:val="p"/>
                  </m:rPr>
                  <w:rPr>
                    <w:rFonts w:ascii="Cambria Math" w:hAnsi="Cambria Math"/>
                    <w:sz w:val="21"/>
                    <w:szCs w:val="21"/>
                  </w:rPr>
                  <m:t xml:space="preserve"> - 1</m:t>
                </m:r>
              </m:e>
            </m:d>
          </m:sup>
        </m:sSubSup>
      </m:oMath>
      <w:r>
        <w:tab/>
      </w:r>
      <w:r>
        <w:rPr>
          <w:rFonts w:ascii="Times New Roman" w:eastAsia="宋体" w:hAnsi="Times New Roman" w:cs="Times New Roman"/>
          <w:sz w:val="21"/>
          <w:szCs w:val="21"/>
        </w:rPr>
        <w:t>(5)</w:t>
      </w:r>
    </w:p>
    <w:p w14:paraId="3470661E"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perscript"/>
          <w:lang w:eastAsia="zh-CN"/>
        </w:rPr>
        <w:t>(k)</w:t>
      </w:r>
      <w:r>
        <w:rPr>
          <w:rFonts w:ascii="Times New Roman" w:eastAsia="宋体" w:hAnsi="Times New Roman" w:cs="Times New Roman"/>
          <w:sz w:val="21"/>
          <w:szCs w:val="21"/>
          <w:vertAlign w:val="subscript"/>
          <w:lang w:eastAsia="zh-CN"/>
        </w:rPr>
        <w:t>t,u</w:t>
      </w:r>
      <w:r>
        <w:rPr>
          <w:rFonts w:ascii="Times New Roman" w:eastAsia="宋体" w:hAnsi="Times New Roman" w:cs="Times New Roman"/>
          <w:sz w:val="21"/>
          <w:szCs w:val="21"/>
          <w:lang w:eastAsia="zh-CN"/>
        </w:rPr>
        <w:t xml:space="preserve"> 为用户 </w:t>
      </w:r>
      <w:r>
        <w:rPr>
          <w:rFonts w:ascii="Times New Roman" w:eastAsia="宋体" w:hAnsi="Times New Roman" w:cs="Times New Roman"/>
          <w:i/>
          <w:iCs/>
          <w:sz w:val="21"/>
          <w:szCs w:val="21"/>
          <w:lang w:eastAsia="zh-CN"/>
        </w:rPr>
        <w:t>u</w:t>
      </w:r>
      <w:r>
        <w:rPr>
          <w:rFonts w:ascii="Times New Roman" w:eastAsia="宋体" w:hAnsi="Times New Roman" w:cs="Times New Roman"/>
          <w:sz w:val="21"/>
          <w:szCs w:val="21"/>
          <w:lang w:eastAsia="zh-CN"/>
        </w:rPr>
        <w:t xml:space="preserve"> 在标签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上第 </w:t>
      </w:r>
      <w:r>
        <w:rPr>
          <w:rFonts w:ascii="Times New Roman" w:eastAsia="宋体" w:hAnsi="Times New Roman" w:cs="Times New Roman"/>
          <w:i/>
          <w:iCs/>
          <w:sz w:val="21"/>
          <w:szCs w:val="21"/>
          <w:lang w:eastAsia="zh-CN"/>
        </w:rPr>
        <w:t>k</w:t>
      </w:r>
      <w:r>
        <w:rPr>
          <w:rFonts w:ascii="Times New Roman" w:eastAsia="宋体" w:hAnsi="Times New Roman" w:cs="Times New Roman"/>
          <w:sz w:val="21"/>
          <w:szCs w:val="21"/>
          <w:lang w:eastAsia="zh-CN"/>
        </w:rPr>
        <w:t xml:space="preserve"> 个周期的权重；</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i,u</w:t>
      </w:r>
      <w:r>
        <w:rPr>
          <w:rFonts w:ascii="Times New Roman" w:eastAsia="宋体" w:hAnsi="Times New Roman" w:cs="Times New Roman"/>
          <w:sz w:val="21"/>
          <w:szCs w:val="21"/>
          <w:lang w:eastAsia="zh-CN"/>
        </w:rPr>
        <w:t xml:space="preserve"> 为其在行为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上的原始积分；</w:t>
      </w:r>
      <w:r>
        <w:rPr>
          <w:rFonts w:ascii="Times New Roman" w:eastAsia="宋体" w:hAnsi="Times New Roman" w:cs="Times New Roman"/>
          <w:i/>
          <w:iCs/>
          <w:sz w:val="21"/>
          <w:szCs w:val="21"/>
          <w:lang w:eastAsia="zh-CN"/>
        </w:rPr>
        <w:t>S</w:t>
      </w:r>
      <w:r>
        <w:rPr>
          <w:rFonts w:ascii="Times New Roman" w:eastAsia="宋体" w:hAnsi="Times New Roman" w:cs="Times New Roman"/>
          <w:sz w:val="21"/>
          <w:szCs w:val="21"/>
          <w:vertAlign w:val="subscript"/>
          <w:lang w:eastAsia="zh-CN"/>
        </w:rPr>
        <w:t>max,t</w:t>
      </w:r>
      <w:r>
        <w:rPr>
          <w:rFonts w:ascii="Times New Roman" w:eastAsia="宋体" w:hAnsi="Times New Roman" w:cs="Times New Roman"/>
          <w:sz w:val="21"/>
          <w:szCs w:val="21"/>
          <w:lang w:eastAsia="zh-CN"/>
        </w:rPr>
        <w:t xml:space="preserve"> 为本周期全中心在标签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下的最高行为积分，用于将行为项归一化至 [0, 1]，与历史权重项保持量纲一致；</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为行为 </w:t>
      </w:r>
      <w:r>
        <w:rPr>
          <w:rFonts w:ascii="Times New Roman" w:eastAsia="宋体" w:hAnsi="Times New Roman" w:cs="Times New Roman"/>
          <w:i/>
          <w:iCs/>
          <w:sz w:val="21"/>
          <w:szCs w:val="21"/>
          <w:lang w:eastAsia="zh-CN"/>
        </w:rPr>
        <w:t>i</w:t>
      </w:r>
      <w:r>
        <w:rPr>
          <w:rFonts w:ascii="Times New Roman" w:eastAsia="宋体" w:hAnsi="Times New Roman" w:cs="Times New Roman"/>
          <w:sz w:val="21"/>
          <w:szCs w:val="21"/>
          <w:lang w:eastAsia="zh-CN"/>
        </w:rPr>
        <w:t xml:space="preserve"> 的贡献系数，满足 </w:t>
      </w:r>
      <w:r>
        <w:rPr>
          <w:rFonts w:ascii="Times New Roman" w:eastAsia="宋体" w:hAnsi="Times New Roman" w:cs="Times New Roman"/>
          <w:sz w:val="21"/>
          <w:szCs w:val="21"/>
        </w:rPr>
        <w:t>Σ</w:t>
      </w:r>
      <w:r>
        <w:rPr>
          <w:rFonts w:ascii="Times New Roman" w:eastAsia="宋体" w:hAnsi="Times New Roman" w:cs="Times New Roman"/>
          <w:i/>
          <w:iCs/>
          <w:sz w:val="21"/>
          <w:szCs w:val="21"/>
          <w:lang w:eastAsia="zh-CN"/>
        </w:rPr>
        <w:t>w</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 1；</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vertAlign w:val="subscript"/>
          <w:lang w:eastAsia="zh-CN"/>
        </w:rPr>
        <w:t>now</w:t>
      </w:r>
      <w:r>
        <w:rPr>
          <w:rFonts w:ascii="Times New Roman" w:eastAsia="宋体" w:hAnsi="Times New Roman" w:cs="Times New Roman"/>
          <w:sz w:val="21"/>
          <w:szCs w:val="21"/>
          <w:lang w:eastAsia="zh-CN"/>
        </w:rPr>
        <w:t xml:space="preserve"> 与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vertAlign w:val="subscript"/>
          <w:lang w:eastAsia="zh-CN"/>
        </w:rPr>
        <w:t>i</w:t>
      </w:r>
      <w:r>
        <w:rPr>
          <w:rFonts w:ascii="Times New Roman" w:eastAsia="宋体" w:hAnsi="Times New Roman" w:cs="Times New Roman"/>
          <w:sz w:val="21"/>
          <w:szCs w:val="21"/>
          <w:lang w:eastAsia="zh-CN"/>
        </w:rPr>
        <w:t xml:space="preserve"> 分别为当前时间与成果完成时间。</w:t>
      </w:r>
    </w:p>
    <w:p w14:paraId="570A671C"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lastRenderedPageBreak/>
        <w:t>式(5)是一阶指数加权移动平均，</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 xml:space="preserve"> 取 0.7 对应记忆长度约 1/(1 − </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 xml:space="preserve">) ≈ 3.3 个周期，即最新一年贡献约占 70%、历史累积约占 30%，既突出近期活跃度也保留资深人员的积累。时间衰减系数取 </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 0.14，对应半衰期 ln2</w:t>
      </w:r>
      <w:r>
        <w:rPr>
          <w:rFonts w:ascii="Times New Roman" w:eastAsia="宋体" w:hAnsi="Times New Roman" w:cs="Times New Roman"/>
          <w:i/>
          <w:iCs/>
          <w:sz w:val="21"/>
          <w:szCs w:val="21"/>
          <w:lang w:eastAsia="zh-CN"/>
        </w:rPr>
        <w:t>/</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 4.95 年，成果权重每年降至上年的 86.9%（年衰减约 13.1%），既避免成果永久有效导致评价僵化，也防止衰减过快挫伤长期积累型科研人员的积极性。</w:t>
      </w:r>
    </w:p>
    <w:p w14:paraId="452291AF"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标签更新采用双策略：基于 Spring Event 的准实时更新在积分流水生成后 1 s 内触发，异步微调相关权重；每日 2:00 的全量更新批量重算活跃用户近一年的标签权重，并清理权重低于 0.1 的标签。</w:t>
      </w:r>
    </w:p>
    <w:p w14:paraId="5A3BD1B8"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4.4  多维能力得分与画像渲染</w:t>
      </w:r>
    </w:p>
    <w:p w14:paraId="43E9764E"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定义标签—能力维度映射矩阵 </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lang w:eastAsia="zh-CN"/>
        </w:rPr>
        <w:t xml:space="preserve"> ∈ ℝ</w:t>
      </w:r>
      <w:r>
        <w:rPr>
          <w:rFonts w:ascii="Times New Roman" w:eastAsia="宋体" w:hAnsi="Times New Roman" w:cs="Times New Roman"/>
          <w:sz w:val="21"/>
          <w:szCs w:val="21"/>
          <w:vertAlign w:val="superscript"/>
          <w:lang w:eastAsia="zh-CN"/>
        </w:rPr>
        <w:t>T×D</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为标签总数，</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为能力维度数（本系统取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 16，即专利发明、成果奖励、成果转换、出版著作、工作文章、技能资质、技术标准、继续教育、荣誉表彰、科普作品、学科团队、学术比赛、学术地位、学术交流、项目课题与发表论文，如图 2 所示）。矩阵元素 </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vertAlign w:val="subscript"/>
          <w:lang w:eastAsia="zh-CN"/>
        </w:rPr>
        <w:t>t,d</w:t>
      </w:r>
      <w:r>
        <w:rPr>
          <w:rFonts w:ascii="Times New Roman" w:eastAsia="宋体" w:hAnsi="Times New Roman" w:cs="Times New Roman"/>
          <w:sz w:val="21"/>
          <w:szCs w:val="21"/>
          <w:lang w:eastAsia="zh-CN"/>
        </w:rPr>
        <w:t xml:space="preserve"> ∈ [0, 1] 表示标签 </w:t>
      </w:r>
      <w:r>
        <w:rPr>
          <w:rFonts w:ascii="Times New Roman" w:eastAsia="宋体" w:hAnsi="Times New Roman" w:cs="Times New Roman"/>
          <w:i/>
          <w:iCs/>
          <w:sz w:val="21"/>
          <w:szCs w:val="21"/>
          <w:lang w:eastAsia="zh-CN"/>
        </w:rPr>
        <w:t>t</w:t>
      </w:r>
      <w:r>
        <w:rPr>
          <w:rFonts w:ascii="Times New Roman" w:eastAsia="宋体" w:hAnsi="Times New Roman" w:cs="Times New Roman"/>
          <w:sz w:val="21"/>
          <w:szCs w:val="21"/>
          <w:lang w:eastAsia="zh-CN"/>
        </w:rPr>
        <w:t xml:space="preserve"> 对维度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的贡献度，满足 </w:t>
      </w:r>
      <w:r>
        <w:rPr>
          <w:rFonts w:ascii="Times New Roman" w:eastAsia="宋体" w:hAnsi="Times New Roman" w:cs="Times New Roman"/>
          <w:sz w:val="21"/>
          <w:szCs w:val="21"/>
        </w:rPr>
        <w:t>Σ</w:t>
      </w:r>
      <w:r>
        <w:rPr>
          <w:rFonts w:ascii="Times New Roman" w:eastAsia="宋体" w:hAnsi="Times New Roman" w:cs="Times New Roman"/>
          <w:sz w:val="21"/>
          <w:szCs w:val="21"/>
          <w:vertAlign w:val="subscript"/>
          <w:lang w:eastAsia="zh-CN"/>
        </w:rPr>
        <w:t>d</w:t>
      </w:r>
      <w:r>
        <w:rPr>
          <w:rFonts w:ascii="Times New Roman" w:eastAsia="宋体" w:hAnsi="Times New Roman" w:cs="Times New Roman"/>
          <w:i/>
          <w:iCs/>
          <w:sz w:val="21"/>
          <w:szCs w:val="21"/>
          <w:lang w:eastAsia="zh-CN"/>
        </w:rPr>
        <w:t>m</w:t>
      </w:r>
      <w:r>
        <w:rPr>
          <w:rFonts w:ascii="Times New Roman" w:eastAsia="宋体" w:hAnsi="Times New Roman" w:cs="Times New Roman"/>
          <w:sz w:val="21"/>
          <w:szCs w:val="21"/>
          <w:vertAlign w:val="subscript"/>
          <w:lang w:eastAsia="zh-CN"/>
        </w:rPr>
        <w:t>t,d</w:t>
      </w:r>
      <w:r>
        <w:rPr>
          <w:rFonts w:ascii="Times New Roman" w:eastAsia="宋体" w:hAnsi="Times New Roman" w:cs="Times New Roman"/>
          <w:sz w:val="21"/>
          <w:szCs w:val="21"/>
          <w:lang w:eastAsia="zh-CN"/>
        </w:rPr>
        <w:t xml:space="preserve"> = 1，由 3 名科研管理专家按德尔菲法两轮打分确定。用户在各维度上的原始得分为所有标签权重的加权和（式(6)）。由于式(5)已在行为积分层面完成时间衰减修正，式(6)无需再次引入衰减因子，标签权重、能力得分与画像渲染由此构成一条量纲一致的计算链路。</w:t>
      </w:r>
    </w:p>
    <w:p w14:paraId="6E6C6ED7"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d,u</m:t>
            </m:r>
          </m:sub>
        </m:sSub>
        <m:r>
          <m:rPr>
            <m:sty m:val="p"/>
          </m:rPr>
          <w:rPr>
            <w:rFonts w:ascii="Cambria Math" w:hAnsi="Cambria Math"/>
            <w:sz w:val="21"/>
            <w:szCs w:val="21"/>
          </w:rPr>
          <m:t xml:space="preserve"> = </m:t>
        </m:r>
        <m:nary>
          <m:naryPr>
            <m:chr m:val="∑"/>
            <m:limLoc m:val="subSup"/>
            <m:grow m:val="1"/>
            <m:ctrlPr>
              <w:rPr>
                <w:rFonts w:ascii="Cambria Math" w:hAnsi="Cambria Math"/>
              </w:rPr>
            </m:ctrlPr>
          </m:naryPr>
          <m:sub>
            <m:r>
              <w:rPr>
                <w:rFonts w:ascii="Cambria Math" w:hAnsi="Cambria Math"/>
                <w:sz w:val="21"/>
                <w:szCs w:val="21"/>
              </w:rPr>
              <m:t>t</m:t>
            </m:r>
            <m:r>
              <m:rPr>
                <m:sty m:val="p"/>
              </m:rPr>
              <w:rPr>
                <w:rFonts w:ascii="Cambria Math" w:hAnsi="Cambria Math"/>
                <w:sz w:val="21"/>
                <w:szCs w:val="21"/>
              </w:rPr>
              <m:t xml:space="preserve"> = 1</m:t>
            </m:r>
          </m:sub>
          <m:sup>
            <m:r>
              <w:rPr>
                <w:rFonts w:ascii="Cambria Math" w:hAnsi="Cambria Math"/>
                <w:sz w:val="21"/>
                <w:szCs w:val="21"/>
              </w:rPr>
              <m:t>T</m:t>
            </m:r>
          </m:sup>
          <m:e>
            <m:d>
              <m:dPr>
                <m:ctrlPr>
                  <w:rPr>
                    <w:rFonts w:ascii="Cambria Math" w:hAnsi="Cambria Math"/>
                  </w:rPr>
                </m:ctrlPr>
              </m:dPr>
              <m:e>
                <m:sSub>
                  <m:sSubPr>
                    <m:ctrlPr>
                      <w:rPr>
                        <w:rFonts w:ascii="Cambria Math" w:hAnsi="Cambria Math"/>
                      </w:rPr>
                    </m:ctrlPr>
                  </m:sSubPr>
                  <m:e>
                    <m:r>
                      <w:rPr>
                        <w:rFonts w:ascii="Cambria Math" w:hAnsi="Cambria Math"/>
                        <w:sz w:val="21"/>
                        <w:szCs w:val="21"/>
                      </w:rPr>
                      <m:t>W</m:t>
                    </m:r>
                  </m:e>
                  <m:sub>
                    <m:r>
                      <w:rPr>
                        <w:rFonts w:ascii="Cambria Math" w:hAnsi="Cambria Math"/>
                        <w:sz w:val="21"/>
                        <w:szCs w:val="21"/>
                      </w:rPr>
                      <m:t>t,u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m</m:t>
                    </m:r>
                  </m:e>
                  <m:sub>
                    <m:r>
                      <w:rPr>
                        <w:rFonts w:ascii="Cambria Math" w:hAnsi="Cambria Math"/>
                        <w:sz w:val="21"/>
                        <w:szCs w:val="21"/>
                      </w:rPr>
                      <m:t>t,d</m:t>
                    </m:r>
                  </m:sub>
                </m:sSub>
              </m:e>
            </m:d>
          </m:e>
        </m:nary>
      </m:oMath>
      <w:r>
        <w:tab/>
      </w:r>
      <w:r>
        <w:rPr>
          <w:rFonts w:ascii="Times New Roman" w:eastAsia="宋体" w:hAnsi="Times New Roman" w:cs="Times New Roman"/>
          <w:sz w:val="21"/>
          <w:szCs w:val="21"/>
        </w:rPr>
        <w:t>(6)</w:t>
      </w:r>
    </w:p>
    <w:p w14:paraId="50E52C82"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为消除维度间的量纲差异，对原始得分作归一化处理（式(7)）。</w:t>
      </w:r>
    </w:p>
    <w:p w14:paraId="02E9618E" w14:textId="77777777" w:rsidR="00F23EB3" w:rsidRDefault="00000000">
      <w:pPr>
        <w:keepNext/>
        <w:keepLines/>
        <w:tabs>
          <w:tab w:val="center" w:pos="4153"/>
          <w:tab w:val="right" w:pos="8306"/>
        </w:tabs>
        <w:spacing w:beforeLines="15" w:before="46" w:afterLines="15" w:after="46"/>
        <w:rPr>
          <w:rFonts w:hint="eastAsia"/>
        </w:rPr>
      </w:pPr>
      <w:r>
        <w:rPr>
          <w:lang w:eastAsia="zh-CN"/>
        </w:rPr>
        <w:tab/>
      </w:r>
      <m:oMath>
        <m:sSubSup>
          <m:sSubSupPr>
            <m:ctrlPr>
              <w:rPr>
                <w:rFonts w:ascii="Cambria Math" w:hAnsi="Cambria Math"/>
              </w:rPr>
            </m:ctrlPr>
          </m:sSubSupPr>
          <m:e>
            <m:r>
              <w:rPr>
                <w:rFonts w:ascii="Cambria Math" w:hAnsi="Cambria Math"/>
                <w:sz w:val="21"/>
                <w:szCs w:val="21"/>
              </w:rPr>
              <m:t>C</m:t>
            </m:r>
          </m:e>
          <m:sub>
            <m:r>
              <w:rPr>
                <w:rFonts w:ascii="Cambria Math" w:hAnsi="Cambria Math"/>
                <w:sz w:val="21"/>
                <w:szCs w:val="21"/>
              </w:rPr>
              <m:t>d,u</m:t>
            </m:r>
          </m:sub>
          <m:sup>
            <m:r>
              <m:rPr>
                <m:sty m:val="p"/>
              </m:rPr>
              <w:rPr>
                <w:rFonts w:ascii="Cambria Math" w:hAnsi="Cambria Math"/>
                <w:sz w:val="21"/>
                <w:szCs w:val="21"/>
              </w:rPr>
              <m:t>'</m:t>
            </m:r>
          </m:sup>
        </m:sSubSup>
        <m:r>
          <m:rPr>
            <m:sty m:val="p"/>
          </m:rPr>
          <w:rPr>
            <w:rFonts w:ascii="Cambria Math" w:hAnsi="Cambria Math"/>
            <w:sz w:val="21"/>
            <w:szCs w:val="21"/>
          </w:rPr>
          <m:t xml:space="preserve"> = </m:t>
        </m:r>
        <m:f>
          <m:fPr>
            <m:ctrlPr>
              <w:rPr>
                <w:rFonts w:ascii="Cambria Math" w:hAnsi="Cambria Math"/>
              </w:rPr>
            </m:ctrlPr>
          </m:fPr>
          <m:num>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d,u</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min</m:t>
                </m:r>
              </m:sub>
            </m:sSub>
          </m:num>
          <m:den>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max</m:t>
                </m:r>
              </m:sub>
            </m:sSub>
            <m:r>
              <m:rPr>
                <m:sty m:val="p"/>
              </m:rPr>
              <w:rPr>
                <w:rFonts w:ascii="Cambria Math" w:hAnsi="Cambria Math"/>
                <w:sz w:val="21"/>
                <w:szCs w:val="21"/>
              </w:rPr>
              <m:t xml:space="preserve"> - </m:t>
            </m:r>
            <m:sSub>
              <m:sSubPr>
                <m:ctrlPr>
                  <w:rPr>
                    <w:rFonts w:ascii="Cambria Math" w:hAnsi="Cambria Math"/>
                  </w:rPr>
                </m:ctrlPr>
              </m:sSubPr>
              <m:e>
                <m:r>
                  <w:rPr>
                    <w:rFonts w:ascii="Cambria Math" w:hAnsi="Cambria Math"/>
                    <w:sz w:val="21"/>
                    <w:szCs w:val="21"/>
                  </w:rPr>
                  <m:t>C</m:t>
                </m:r>
              </m:e>
              <m:sub>
                <m:r>
                  <w:rPr>
                    <w:rFonts w:ascii="Cambria Math" w:hAnsi="Cambria Math"/>
                    <w:sz w:val="21"/>
                    <w:szCs w:val="21"/>
                  </w:rPr>
                  <m:t>d,</m:t>
                </m:r>
                <m:r>
                  <m:rPr>
                    <m:sty m:val="p"/>
                  </m:rPr>
                  <w:rPr>
                    <w:rFonts w:ascii="Cambria Math" w:hAnsi="Cambria Math"/>
                    <w:sz w:val="21"/>
                    <w:szCs w:val="21"/>
                  </w:rPr>
                  <m:t>min</m:t>
                </m:r>
              </m:sub>
            </m:sSub>
          </m:den>
        </m:f>
        <m:r>
          <m:rPr>
            <m:sty m:val="p"/>
          </m:rPr>
          <w:rPr>
            <w:rFonts w:ascii="Cambria Math" w:hAnsi="Cambria Math"/>
            <w:sz w:val="21"/>
            <w:szCs w:val="21"/>
          </w:rPr>
          <m:t xml:space="preserve"> × 80 + 20</m:t>
        </m:r>
      </m:oMath>
      <w:r>
        <w:tab/>
      </w:r>
      <w:r>
        <w:rPr>
          <w:rFonts w:ascii="Times New Roman" w:eastAsia="宋体" w:hAnsi="Times New Roman" w:cs="Times New Roman"/>
          <w:sz w:val="21"/>
          <w:szCs w:val="21"/>
        </w:rPr>
        <w:t>(7)</w:t>
      </w:r>
    </w:p>
    <w:p w14:paraId="4E502E65"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式中：</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d,min</w:t>
      </w:r>
      <w:r>
        <w:rPr>
          <w:rFonts w:ascii="Times New Roman" w:eastAsia="宋体" w:hAnsi="Times New Roman" w:cs="Times New Roman"/>
          <w:sz w:val="21"/>
          <w:szCs w:val="21"/>
          <w:lang w:eastAsia="zh-CN"/>
        </w:rPr>
        <w:t xml:space="preserve"> 与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d,max</w:t>
      </w:r>
      <w:r>
        <w:rPr>
          <w:rFonts w:ascii="Times New Roman" w:eastAsia="宋体" w:hAnsi="Times New Roman" w:cs="Times New Roman"/>
          <w:sz w:val="21"/>
          <w:szCs w:val="21"/>
          <w:lang w:eastAsia="zh-CN"/>
        </w:rPr>
        <w:t xml:space="preserve"> 分别为全中心用户在维度 </w:t>
      </w:r>
      <w:r>
        <w:rPr>
          <w:rFonts w:ascii="Times New Roman" w:eastAsia="宋体" w:hAnsi="Times New Roman" w:cs="Times New Roman"/>
          <w:i/>
          <w:iCs/>
          <w:sz w:val="21"/>
          <w:szCs w:val="21"/>
          <w:lang w:eastAsia="zh-CN"/>
        </w:rPr>
        <w:t>d</w:t>
      </w:r>
      <w:r>
        <w:rPr>
          <w:rFonts w:ascii="Times New Roman" w:eastAsia="宋体" w:hAnsi="Times New Roman" w:cs="Times New Roman"/>
          <w:sz w:val="21"/>
          <w:szCs w:val="21"/>
          <w:lang w:eastAsia="zh-CN"/>
        </w:rPr>
        <w:t xml:space="preserve"> 上的最低与最高原始得分。结果映射至 [20, 100] 而非 [0, 100]，以避免最低分用户恒为 0、雷达图退化为尖刺；当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d,max</w:t>
      </w:r>
      <w:r>
        <w:rPr>
          <w:rFonts w:ascii="Times New Roman" w:eastAsia="宋体" w:hAnsi="Times New Roman" w:cs="Times New Roman"/>
          <w:sz w:val="21"/>
          <w:szCs w:val="21"/>
          <w:lang w:eastAsia="zh-CN"/>
        </w:rPr>
        <w:t xml:space="preserve"> =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vertAlign w:val="subscript"/>
          <w:lang w:eastAsia="zh-CN"/>
        </w:rPr>
        <w:t>d,min</w:t>
      </w:r>
      <w:r>
        <w:rPr>
          <w:rFonts w:ascii="Times New Roman" w:eastAsia="宋体" w:hAnsi="Times New Roman" w:cs="Times New Roman"/>
          <w:sz w:val="21"/>
          <w:szCs w:val="21"/>
          <w:lang w:eastAsia="zh-CN"/>
        </w:rPr>
        <w:t xml:space="preserve"> 时直接取 </w:t>
      </w:r>
      <w:r>
        <w:rPr>
          <w:rFonts w:ascii="Times New Roman" w:eastAsia="宋体" w:hAnsi="Times New Roman" w:cs="Times New Roman"/>
          <w:i/>
          <w:iCs/>
          <w:sz w:val="21"/>
          <w:szCs w:val="21"/>
          <w:lang w:eastAsia="zh-CN"/>
        </w:rPr>
        <w:t>C</w:t>
      </w:r>
      <w:r>
        <w:rPr>
          <w:rFonts w:ascii="Times New Roman" w:eastAsia="宋体" w:hAnsi="Times New Roman" w:cs="Times New Roman"/>
          <w:sz w:val="21"/>
          <w:szCs w:val="21"/>
          <w:lang w:eastAsia="zh-CN"/>
        </w:rPr>
        <w:t>′</w:t>
      </w:r>
      <w:r>
        <w:rPr>
          <w:rFonts w:ascii="Times New Roman" w:eastAsia="宋体" w:hAnsi="Times New Roman" w:cs="Times New Roman"/>
          <w:sz w:val="21"/>
          <w:szCs w:val="21"/>
          <w:vertAlign w:val="subscript"/>
          <w:lang w:eastAsia="zh-CN"/>
        </w:rPr>
        <w:t>d,u</w:t>
      </w:r>
      <w:r>
        <w:rPr>
          <w:rFonts w:ascii="Times New Roman" w:eastAsia="宋体" w:hAnsi="Times New Roman" w:cs="Times New Roman"/>
          <w:sz w:val="21"/>
          <w:szCs w:val="21"/>
          <w:lang w:eastAsia="zh-CN"/>
        </w:rPr>
        <w:t xml:space="preserve"> = 60，避免分母为零。因二者随人员流动与年度产出变化，式(7)适用于同一周期内的横向比较，跨年度比较时以上线首年的分布为固定基准。归一化得分直接对应雷达图半径，前端另配积分趋势折线图、团队贡献矩阵与标签云图。</w:t>
      </w:r>
    </w:p>
    <w:p w14:paraId="7510C02B" w14:textId="77777777" w:rsidR="00F23EB3" w:rsidRDefault="00000000">
      <w:pPr>
        <w:keepNext/>
        <w:keepLines/>
        <w:spacing w:beforeLines="15" w:before="46" w:afterLines="5" w:after="15"/>
        <w:jc w:val="center"/>
        <w:rPr>
          <w:rFonts w:hint="eastAsia"/>
        </w:rPr>
      </w:pPr>
      <w:r>
        <w:rPr>
          <w:rFonts w:ascii="Times New Roman" w:eastAsia="宋体" w:hAnsi="Times New Roman" w:cs="Times New Roman"/>
          <w:noProof/>
          <w:sz w:val="21"/>
          <w:szCs w:val="21"/>
        </w:rPr>
        <w:lastRenderedPageBreak/>
        <w:drawing>
          <wp:inline distT="0" distB="0" distL="0" distR="0" wp14:anchorId="3A56CF97" wp14:editId="2F66A468">
            <wp:extent cx="2834640" cy="2834640"/>
            <wp:effectExtent l="0" t="0" r="0" b="0"/>
            <wp:docPr id="103" name="fig3"/>
            <wp:cNvGraphicFramePr>
              <a:graphicFrameLocks noChangeAspect="1"/>
            </wp:cNvGraphicFramePr>
            <a:graphic>
              <a:graphicData uri="http://schemas.openxmlformats.org/drawingml/2006/picture">
                <pic:pic>
                  <pic:nvPicPr>
                    <pic:cNvPr id="0" name="fig3"/>
                    <pic:cNvPicPr/>
                  </pic:nvPicPr>
                  <pic:blipFill>
                    <a:blip r:embed="rId8"/>
                    <a:stretch>
                      <a:fillRect/>
                    </a:stretch>
                  </pic:blipFill>
                  <pic:spPr>
                    <a:xfrm>
                      <a:off x="0" y="0"/>
                      <a:ext cx="2834640" cy="2834640"/>
                    </a:xfrm>
                    <a:prstGeom prst="rect">
                      <a:avLst/>
                    </a:prstGeom>
                  </pic:spPr>
                </pic:pic>
              </a:graphicData>
            </a:graphic>
          </wp:inline>
        </w:drawing>
      </w:r>
    </w:p>
    <w:p w14:paraId="1EA91C8C" w14:textId="77777777" w:rsidR="00F23EB3" w:rsidRDefault="00000000">
      <w:pPr>
        <w:keepNext/>
        <w:keepLines/>
        <w:spacing w:beforeLines="10" w:before="31" w:afterLines="30" w:after="93"/>
        <w:jc w:val="center"/>
        <w:rPr>
          <w:rFonts w:hint="eastAsia"/>
          <w:lang w:eastAsia="zh-CN"/>
        </w:rPr>
      </w:pPr>
      <w:r>
        <w:rPr>
          <w:rFonts w:ascii="Times New Roman" w:eastAsia="黑体" w:hAnsi="Times New Roman" w:cs="Times New Roman"/>
          <w:sz w:val="18"/>
          <w:szCs w:val="18"/>
          <w:lang w:eastAsia="zh-CN"/>
        </w:rPr>
        <w:t xml:space="preserve">图 2  人才画像能力雷达图</w:t>
      </w:r>
    </w:p>
    <w:p w14:paraId="58B8E220"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4.5  轻量级状态机工作流引擎</w:t>
      </w:r>
    </w:p>
    <w:p w14:paraId="47C7D977"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针对疾控中心审核流程相对固定但存在微调需求的特点，本文实现了无第三方框架依赖的状态机工作流引擎。引擎定义草稿、待初审、初审驳回、待复核、复核驳回、待终审与终审通过 7 种状态，以及提交、初审通过/驳回、复核通过/驳回、终审通过/驳回 7 种转换事件：草稿经提交进入待初审，初审与复核通过后依次进入待复核、待终审；任一环节驳回则回退至对应驳回态，修改后重新提交回到待初审。系统通过 workflow_config 表配置每个状态的处理人、处理时限与下一状态；事件触发时引擎依次校验操作权限、更新状态、记录操作日志、通知下一处理人，并在终审通过时触发积分计算。管理员可通过修改配置调整审核环节或处理人，无需重启系统。</w:t>
      </w:r>
    </w:p>
    <w:p w14:paraId="58EE7D06" w14:textId="77777777" w:rsidR="00F23EB3" w:rsidRDefault="00000000">
      <w:pPr>
        <w:keepNext/>
        <w:keepLines/>
        <w:spacing w:beforeLines="30" w:before="93" w:afterLines="20" w:after="62"/>
        <w:outlineLvl w:val="1"/>
        <w:rPr>
          <w:rFonts w:hint="eastAsia"/>
          <w:lang w:eastAsia="zh-CN"/>
        </w:rPr>
      </w:pPr>
      <w:r>
        <w:rPr>
          <w:rFonts w:ascii="Times New Roman" w:eastAsia="黑体" w:hAnsi="Times New Roman" w:cs="Times New Roman"/>
          <w:sz w:val="21"/>
          <w:szCs w:val="21"/>
          <w:lang w:eastAsia="zh-CN"/>
        </w:rPr>
        <w:t xml:space="preserve">4.6  性能优化与安全设计</w:t>
      </w:r>
    </w:p>
    <w:p w14:paraId="503F445E" w14:textId="77777777" w:rsidR="00F23EB3" w:rsidRDefault="00000000">
      <w:pPr>
        <w:spacing w:beforeLines="6" w:before="18"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系统引入 Redis 缓存[15]应对高频积分查询，采用 Cache-Aside 模式（写入时先更新数据库再删除缓存），并以空值缓存与分布式锁分别防止缓存穿透与击穿，实测缓存命中率在 50～500 并发下保持在 92.5% 以上（表 3）；数据库层面针对核心查询路径建立联合索引，启用慢查询日志并优化 InnoDB 配置[16]。安全方面整合 Spring Security 与 JWT 实现无状态认证，通过令牌过期与刷新防止会话劫持[14]；系统涉及 270 名科研人员的学历、职称与成果数据，均按《中华人民共和国个人信息保护法》实施最小必要采集与分级授权访问，敏感字段脱敏并留存审计日志。</w:t>
      </w:r>
    </w:p>
    <w:p w14:paraId="262EA749" w14:textId="77777777" w:rsidR="00F23EB3" w:rsidRDefault="00000000">
      <w:pPr>
        <w:keepNext/>
        <w:keepLines/>
        <w:spacing w:beforeLines="50" w:before="156" w:afterLines="30" w:after="93"/>
        <w:outlineLvl w:val="0"/>
        <w:rPr>
          <w:rFonts w:hint="eastAsia"/>
          <w:lang w:eastAsia="zh-CN"/>
        </w:rPr>
      </w:pPr>
      <w:bookmarkStart w:id="0" w:name="OLE_LINK15"/>
      <w:r>
        <w:rPr>
          <w:rFonts w:ascii="Times New Roman" w:eastAsia="黑体" w:hAnsi="Times New Roman" w:cs="Times New Roman"/>
          <w:sz w:val="24"/>
          <w:szCs w:val="24"/>
          <w:lang w:eastAsia="zh-CN"/>
        </w:rPr>
        <w:t xml:space="preserve">5  系统测试与应用效果</w:t>
      </w:r>
    </w:p>
    <w:p w14:paraId="66D46CE4" w14:textId="401761FD"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测试环境为 </w:t>
      </w:r>
      <w:r>
        <w:rPr>
          <w:rFonts w:ascii="Times New Roman" w:eastAsia="宋体" w:hAnsi="Times New Roman" w:cs="Times New Roman" w:hint="eastAsia"/>
          <w:sz w:val="21"/>
          <w:szCs w:val="21"/>
          <w:lang w:eastAsia="zh-CN"/>
        </w:rPr>
        <w:t>4</w:t>
      </w:r>
      <w:r>
        <w:rPr>
          <w:rFonts w:ascii="Times New Roman" w:eastAsia="宋体" w:hAnsi="Times New Roman" w:cs="Times New Roman"/>
          <w:sz w:val="21"/>
          <w:szCs w:val="21"/>
          <w:lang w:eastAsia="zh-CN"/>
        </w:rPr>
        <w:t xml:space="preserve"> 核 CPU / </w:t>
      </w:r>
      <w:r>
        <w:rPr>
          <w:rFonts w:ascii="Times New Roman" w:eastAsia="宋体" w:hAnsi="Times New Roman" w:cs="Times New Roman" w:hint="eastAsia"/>
          <w:sz w:val="21"/>
          <w:szCs w:val="21"/>
          <w:lang w:eastAsia="zh-CN"/>
        </w:rPr>
        <w:t xml:space="preserve">32 GB 内</w:t>
      </w:r>
      <w:r>
        <w:rPr>
          <w:rFonts w:ascii="Times New Roman" w:eastAsia="宋体" w:hAnsi="Times New Roman" w:cs="Times New Roman"/>
          <w:sz w:val="21"/>
          <w:szCs w:val="21"/>
          <w:lang w:eastAsia="zh-CN"/>
        </w:rPr>
        <w:t>存、</w:t>
      </w:r>
      <w:r>
        <w:rPr>
          <w:rFonts w:ascii="Times New Roman" w:eastAsia="宋体" w:hAnsi="Times New Roman" w:cs="Times New Roman" w:hint="eastAsia"/>
          <w:sz w:val="21"/>
          <w:szCs w:val="21"/>
          <w:lang w:eastAsia="zh-CN"/>
        </w:rPr>
        <w:t>Ubuntu 24.04 LTS</w:t>
      </w:r>
      <w:r>
        <w:rPr>
          <w:rFonts w:ascii="Times New Roman" w:eastAsia="宋体" w:hAnsi="Times New Roman" w:cs="Times New Roman"/>
          <w:sz w:val="21"/>
          <w:szCs w:val="21"/>
          <w:lang w:eastAsia="zh-CN"/>
        </w:rPr>
        <w:t>、</w:t>
      </w:r>
      <w:bookmarkStart w:id="1" w:name="OLE_LINK14"/>
      <w:r>
        <w:rPr>
          <w:rFonts w:ascii="Times New Roman" w:eastAsia="宋体" w:hAnsi="Times New Roman" w:cs="Times New Roman"/>
          <w:sz w:val="21"/>
          <w:szCs w:val="21"/>
          <w:lang w:eastAsia="zh-CN"/>
        </w:rPr>
        <w:t xml:space="preserve">OpenJDK </w:t>
      </w:r>
      <w:bookmarkEnd w:id="1"/>
      <w:r>
        <w:rPr>
          <w:rFonts w:ascii="Times New Roman" w:eastAsia="宋体" w:hAnsi="Times New Roman" w:cs="Times New Roman" w:hint="eastAsia"/>
          <w:sz w:val="21"/>
          <w:szCs w:val="21"/>
          <w:lang w:eastAsia="zh-CN"/>
        </w:rPr>
        <w:t>21</w:t>
      </w:r>
      <w:r>
        <w:rPr>
          <w:rFonts w:ascii="Times New Roman" w:eastAsia="宋体" w:hAnsi="Times New Roman" w:cs="Times New Roman"/>
          <w:sz w:val="21"/>
          <w:szCs w:val="21"/>
          <w:lang w:eastAsia="zh-CN"/>
        </w:rPr>
        <w:t xml:space="preserve">、MySQL 8.0 与 Redis </w:t>
      </w:r>
      <w:r>
        <w:rPr>
          <w:rFonts w:ascii="Times New Roman" w:eastAsia="宋体" w:hAnsi="Times New Roman" w:cs="Times New Roman" w:hint="eastAsia"/>
          <w:sz w:val="21"/>
          <w:szCs w:val="21"/>
          <w:lang w:eastAsia="zh-CN"/>
        </w:rPr>
        <w:t>7.2</w:t>
      </w:r>
      <w:r>
        <w:rPr>
          <w:rFonts w:ascii="Times New Roman" w:eastAsia="宋体" w:hAnsi="Times New Roman" w:cs="Times New Roman"/>
          <w:sz w:val="21"/>
          <w:szCs w:val="21"/>
          <w:lang w:eastAsia="zh-CN"/>
        </w:rPr>
        <w:t xml:space="preserve">，压力测试工具为 Apache JMeter。按五大模块设计的功能测试用例覆盖正常流程、边界条件与异常输入，结果如表 2 所示；核心接口在不同并发下的性能与缓存命中率如表 3 所示。</w:t>
      </w:r>
    </w:p>
    <w:p w14:paraId="7E624AB4" w14:textId="77777777" w:rsidR="00F23EB3" w:rsidRDefault="00000000">
      <w:pPr>
        <w:keepNext/>
        <w:keepLines/>
        <w:spacing w:beforeLines="12" w:before="37" w:afterLines="6" w:after="18"/>
        <w:jc w:val="center"/>
        <w:rPr>
          <w:rFonts w:hint="eastAsia"/>
        </w:rPr>
      </w:pPr>
      <w:r>
        <w:rPr>
          <w:rFonts w:ascii="Times New Roman" w:eastAsia="黑体" w:hAnsi="Times New Roman" w:cs="Times New Roman"/>
          <w:sz w:val="18"/>
          <w:szCs w:val="18"/>
        </w:rPr>
        <w:lastRenderedPageBreak/>
        <w:t xml:space="preserve">表 2  功能测试结果</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406"/>
        <w:gridCol w:w="1150"/>
        <w:gridCol w:w="1150"/>
        <w:gridCol w:w="1150"/>
        <w:gridCol w:w="1150"/>
        <w:gridCol w:w="1150"/>
        <w:gridCol w:w="1150"/>
      </w:tblGrid>
      <w:tr w:rsidR="00F23EB3" w14:paraId="417900E0" w14:textId="77777777">
        <w:trPr>
          <w:cantSplit/>
          <w:tblHeader/>
          <w:jc w:val="center"/>
        </w:trPr>
        <w:tc>
          <w:tcPr>
            <w:tcW w:w="1406" w:type="dxa"/>
            <w:tcBorders>
              <w:top w:val="single" w:sz="12" w:space="0" w:color="auto"/>
              <w:left w:val="nil"/>
              <w:bottom w:val="single" w:sz="6" w:space="0" w:color="auto"/>
              <w:right w:val="nil"/>
            </w:tcBorders>
            <w:vAlign w:val="center"/>
          </w:tcPr>
          <w:p w14:paraId="1BD8E077" w14:textId="77777777" w:rsidR="00F23EB3" w:rsidRDefault="00000000">
            <w:pPr>
              <w:jc w:val="center"/>
              <w:rPr>
                <w:rFonts w:hint="eastAsia"/>
              </w:rPr>
            </w:pPr>
            <w:r>
              <w:rPr>
                <w:rFonts w:ascii="Times New Roman" w:eastAsia="宋体" w:hAnsi="Times New Roman" w:cs="Times New Roman"/>
                <w:b/>
                <w:bCs/>
                <w:sz w:val="18"/>
                <w:szCs w:val="18"/>
              </w:rPr>
              <w:t>功能模块</w:t>
            </w:r>
          </w:p>
        </w:tc>
        <w:tc>
          <w:tcPr>
            <w:tcW w:w="1150" w:type="dxa"/>
            <w:tcBorders>
              <w:top w:val="single" w:sz="12" w:space="0" w:color="auto"/>
              <w:left w:val="nil"/>
              <w:bottom w:val="single" w:sz="6" w:space="0" w:color="auto"/>
              <w:right w:val="nil"/>
            </w:tcBorders>
            <w:vAlign w:val="center"/>
          </w:tcPr>
          <w:p w14:paraId="6A27FF7B" w14:textId="77777777" w:rsidR="00F23EB3" w:rsidRDefault="00000000">
            <w:pPr>
              <w:jc w:val="center"/>
              <w:rPr>
                <w:rFonts w:hint="eastAsia"/>
              </w:rPr>
            </w:pPr>
            <w:r>
              <w:rPr>
                <w:rFonts w:ascii="Times New Roman" w:eastAsia="宋体" w:hAnsi="Times New Roman" w:cs="Times New Roman"/>
                <w:b/>
                <w:bCs/>
                <w:sz w:val="18"/>
                <w:szCs w:val="18"/>
              </w:rPr>
              <w:t>积分管理</w:t>
            </w:r>
          </w:p>
        </w:tc>
        <w:tc>
          <w:tcPr>
            <w:tcW w:w="1150" w:type="dxa"/>
            <w:tcBorders>
              <w:top w:val="single" w:sz="12" w:space="0" w:color="auto"/>
              <w:left w:val="nil"/>
              <w:bottom w:val="single" w:sz="6" w:space="0" w:color="auto"/>
              <w:right w:val="nil"/>
            </w:tcBorders>
            <w:vAlign w:val="center"/>
          </w:tcPr>
          <w:p w14:paraId="1B81121D" w14:textId="77777777" w:rsidR="00F23EB3" w:rsidRDefault="00000000">
            <w:pPr>
              <w:jc w:val="center"/>
              <w:rPr>
                <w:rFonts w:hint="eastAsia"/>
              </w:rPr>
            </w:pPr>
            <w:r>
              <w:rPr>
                <w:rFonts w:ascii="Times New Roman" w:eastAsia="宋体" w:hAnsi="Times New Roman" w:cs="Times New Roman"/>
                <w:b/>
                <w:bCs/>
                <w:sz w:val="18"/>
                <w:szCs w:val="18"/>
              </w:rPr>
              <w:t>人才画像</w:t>
            </w:r>
          </w:p>
        </w:tc>
        <w:tc>
          <w:tcPr>
            <w:tcW w:w="1150" w:type="dxa"/>
            <w:tcBorders>
              <w:top w:val="single" w:sz="12" w:space="0" w:color="auto"/>
              <w:left w:val="nil"/>
              <w:bottom w:val="single" w:sz="6" w:space="0" w:color="auto"/>
              <w:right w:val="nil"/>
            </w:tcBorders>
            <w:vAlign w:val="center"/>
          </w:tcPr>
          <w:p w14:paraId="41A0A2C0" w14:textId="77777777" w:rsidR="00F23EB3" w:rsidRDefault="00000000">
            <w:pPr>
              <w:jc w:val="center"/>
              <w:rPr>
                <w:rFonts w:hint="eastAsia"/>
              </w:rPr>
            </w:pPr>
            <w:r>
              <w:rPr>
                <w:rFonts w:ascii="Times New Roman" w:eastAsia="宋体" w:hAnsi="Times New Roman" w:cs="Times New Roman"/>
                <w:b/>
                <w:bCs/>
                <w:sz w:val="18"/>
                <w:szCs w:val="18"/>
              </w:rPr>
              <w:t>统计分析</w:t>
            </w:r>
          </w:p>
        </w:tc>
        <w:tc>
          <w:tcPr>
            <w:tcW w:w="1150" w:type="dxa"/>
            <w:tcBorders>
              <w:top w:val="single" w:sz="12" w:space="0" w:color="auto"/>
              <w:left w:val="nil"/>
              <w:bottom w:val="single" w:sz="6" w:space="0" w:color="auto"/>
              <w:right w:val="nil"/>
            </w:tcBorders>
            <w:vAlign w:val="center"/>
          </w:tcPr>
          <w:p w14:paraId="4A906CC7" w14:textId="77777777" w:rsidR="00F23EB3" w:rsidRDefault="00000000">
            <w:pPr>
              <w:jc w:val="center"/>
              <w:rPr>
                <w:rFonts w:hint="eastAsia"/>
              </w:rPr>
            </w:pPr>
            <w:r>
              <w:rPr>
                <w:rFonts w:ascii="Times New Roman" w:eastAsia="宋体" w:hAnsi="Times New Roman" w:cs="Times New Roman"/>
                <w:b/>
                <w:bCs/>
                <w:sz w:val="18"/>
                <w:szCs w:val="18"/>
              </w:rPr>
              <w:t>申报审核</w:t>
            </w:r>
          </w:p>
        </w:tc>
        <w:tc>
          <w:tcPr>
            <w:tcW w:w="1150" w:type="dxa"/>
            <w:tcBorders>
              <w:top w:val="single" w:sz="12" w:space="0" w:color="auto"/>
              <w:left w:val="nil"/>
              <w:bottom w:val="single" w:sz="6" w:space="0" w:color="auto"/>
              <w:right w:val="nil"/>
            </w:tcBorders>
            <w:vAlign w:val="center"/>
          </w:tcPr>
          <w:p w14:paraId="21A9DDA5" w14:textId="77777777" w:rsidR="00F23EB3" w:rsidRDefault="00000000">
            <w:pPr>
              <w:jc w:val="center"/>
              <w:rPr>
                <w:rFonts w:hint="eastAsia"/>
              </w:rPr>
            </w:pPr>
            <w:r>
              <w:rPr>
                <w:rFonts w:ascii="Times New Roman" w:eastAsia="宋体" w:hAnsi="Times New Roman" w:cs="Times New Roman"/>
                <w:b/>
                <w:bCs/>
                <w:sz w:val="18"/>
                <w:szCs w:val="18"/>
              </w:rPr>
              <w:t>系统管理</w:t>
            </w:r>
          </w:p>
        </w:tc>
        <w:tc>
          <w:tcPr>
            <w:tcW w:w="1150" w:type="dxa"/>
            <w:tcBorders>
              <w:top w:val="single" w:sz="12" w:space="0" w:color="auto"/>
              <w:left w:val="nil"/>
              <w:bottom w:val="single" w:sz="6" w:space="0" w:color="auto"/>
              <w:right w:val="nil"/>
            </w:tcBorders>
            <w:vAlign w:val="center"/>
          </w:tcPr>
          <w:p w14:paraId="0CA8C422" w14:textId="77777777" w:rsidR="00F23EB3" w:rsidRDefault="00000000">
            <w:pPr>
              <w:jc w:val="center"/>
              <w:rPr>
                <w:rFonts w:hint="eastAsia"/>
              </w:rPr>
            </w:pPr>
            <w:r>
              <w:rPr>
                <w:rFonts w:ascii="Times New Roman" w:eastAsia="宋体" w:hAnsi="Times New Roman" w:cs="Times New Roman"/>
                <w:b/>
                <w:bCs/>
                <w:sz w:val="18"/>
                <w:szCs w:val="18"/>
              </w:rPr>
              <w:t>合计</w:t>
            </w:r>
          </w:p>
        </w:tc>
      </w:tr>
      <w:tr w:rsidR="00F23EB3" w14:paraId="24C73100" w14:textId="77777777">
        <w:trPr>
          <w:cantSplit/>
          <w:jc w:val="center"/>
        </w:trPr>
        <w:tc>
          <w:tcPr>
            <w:tcW w:w="1406" w:type="dxa"/>
            <w:tcBorders>
              <w:top w:val="nil"/>
              <w:left w:val="nil"/>
              <w:bottom w:val="nil"/>
              <w:right w:val="nil"/>
            </w:tcBorders>
            <w:vAlign w:val="center"/>
          </w:tcPr>
          <w:p w14:paraId="5A2377E0" w14:textId="77777777" w:rsidR="00F23EB3" w:rsidRDefault="00000000">
            <w:pPr>
              <w:rPr>
                <w:rFonts w:hint="eastAsia"/>
              </w:rPr>
            </w:pPr>
            <w:r>
              <w:rPr>
                <w:rFonts w:ascii="Times New Roman" w:eastAsia="宋体" w:hAnsi="Times New Roman" w:cs="Times New Roman"/>
                <w:sz w:val="18"/>
                <w:szCs w:val="18"/>
              </w:rPr>
              <w:t>用例数</w:t>
            </w:r>
          </w:p>
        </w:tc>
        <w:tc>
          <w:tcPr>
            <w:tcW w:w="1150" w:type="dxa"/>
            <w:tcBorders>
              <w:top w:val="nil"/>
              <w:left w:val="nil"/>
              <w:bottom w:val="nil"/>
              <w:right w:val="nil"/>
            </w:tcBorders>
            <w:vAlign w:val="center"/>
          </w:tcPr>
          <w:p w14:paraId="1DBAB8C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68</w:t>
            </w:r>
          </w:p>
        </w:tc>
        <w:tc>
          <w:tcPr>
            <w:tcW w:w="1150" w:type="dxa"/>
            <w:tcBorders>
              <w:top w:val="nil"/>
              <w:left w:val="nil"/>
              <w:bottom w:val="nil"/>
              <w:right w:val="nil"/>
            </w:tcBorders>
            <w:vAlign w:val="center"/>
          </w:tcPr>
          <w:p w14:paraId="1F503D95"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56</w:t>
            </w:r>
          </w:p>
        </w:tc>
        <w:tc>
          <w:tcPr>
            <w:tcW w:w="1150" w:type="dxa"/>
            <w:tcBorders>
              <w:top w:val="nil"/>
              <w:left w:val="nil"/>
              <w:bottom w:val="nil"/>
              <w:right w:val="nil"/>
            </w:tcBorders>
            <w:vAlign w:val="center"/>
          </w:tcPr>
          <w:p w14:paraId="64573DF1" w14:textId="46D4FC0A" w:rsidR="00F23EB3" w:rsidRDefault="001C1152">
            <w:pPr>
              <w:jc w:val="center"/>
              <w:rPr>
                <w:rFonts w:hint="eastAsia"/>
                <w:lang w:eastAsia="zh-CN"/>
              </w:rPr>
            </w:pPr>
            <w:r>
              <w:rPr>
                <w:rFonts w:ascii="Times New Roman" w:eastAsia="宋体" w:hAnsi="Times New Roman" w:cs="Times New Roman" w:hint="eastAsia"/>
                <w:sz w:val="18"/>
                <w:szCs w:val="18"/>
                <w:lang w:eastAsia="zh-CN"/>
              </w:rPr>
              <w:t>47</w:t>
            </w:r>
          </w:p>
        </w:tc>
        <w:tc>
          <w:tcPr>
            <w:tcW w:w="1150" w:type="dxa"/>
            <w:tcBorders>
              <w:top w:val="nil"/>
              <w:left w:val="nil"/>
              <w:bottom w:val="nil"/>
              <w:right w:val="nil"/>
            </w:tcBorders>
            <w:vAlign w:val="center"/>
          </w:tcPr>
          <w:p w14:paraId="01F024F7"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52</w:t>
            </w:r>
          </w:p>
        </w:tc>
        <w:tc>
          <w:tcPr>
            <w:tcW w:w="1150" w:type="dxa"/>
            <w:tcBorders>
              <w:top w:val="nil"/>
              <w:left w:val="nil"/>
              <w:bottom w:val="nil"/>
              <w:right w:val="nil"/>
            </w:tcBorders>
            <w:vAlign w:val="center"/>
          </w:tcPr>
          <w:p w14:paraId="74C6C61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37</w:t>
            </w:r>
          </w:p>
        </w:tc>
        <w:tc>
          <w:tcPr>
            <w:tcW w:w="1150" w:type="dxa"/>
            <w:tcBorders>
              <w:top w:val="nil"/>
              <w:left w:val="nil"/>
              <w:bottom w:val="nil"/>
              <w:right w:val="nil"/>
            </w:tcBorders>
            <w:vAlign w:val="center"/>
          </w:tcPr>
          <w:p w14:paraId="08AB0ABA" w14:textId="0838B7AF" w:rsidR="00F23EB3" w:rsidRDefault="001C1152">
            <w:pPr>
              <w:jc w:val="center"/>
              <w:rPr>
                <w:rFonts w:hint="eastAsia"/>
                <w:lang w:eastAsia="zh-CN"/>
              </w:rPr>
            </w:pPr>
            <w:r>
              <w:rPr>
                <w:rFonts w:ascii="Times New Roman" w:eastAsia="宋体" w:hAnsi="Times New Roman" w:cs="Times New Roman" w:hint="eastAsia"/>
                <w:sz w:val="18"/>
                <w:szCs w:val="18"/>
                <w:lang w:eastAsia="zh-CN"/>
              </w:rPr>
              <w:t>260</w:t>
            </w:r>
          </w:p>
        </w:tc>
      </w:tr>
      <w:tr w:rsidR="00F23EB3" w14:paraId="65A8C7E3" w14:textId="77777777">
        <w:trPr>
          <w:cantSplit/>
          <w:jc w:val="center"/>
        </w:trPr>
        <w:tc>
          <w:tcPr>
            <w:tcW w:w="1406" w:type="dxa"/>
            <w:tcBorders>
              <w:top w:val="nil"/>
              <w:left w:val="nil"/>
              <w:bottom w:val="nil"/>
              <w:right w:val="nil"/>
            </w:tcBorders>
            <w:vAlign w:val="center"/>
          </w:tcPr>
          <w:p w14:paraId="08AFA605" w14:textId="77777777" w:rsidR="00F23EB3" w:rsidRDefault="00000000">
            <w:pPr>
              <w:rPr>
                <w:rFonts w:hint="eastAsia"/>
              </w:rPr>
            </w:pPr>
            <w:r>
              <w:rPr>
                <w:rFonts w:ascii="Times New Roman" w:eastAsia="宋体" w:hAnsi="Times New Roman" w:cs="Times New Roman"/>
                <w:sz w:val="18"/>
                <w:szCs w:val="18"/>
              </w:rPr>
              <w:t>通过数</w:t>
            </w:r>
          </w:p>
        </w:tc>
        <w:tc>
          <w:tcPr>
            <w:tcW w:w="1150" w:type="dxa"/>
            <w:tcBorders>
              <w:top w:val="nil"/>
              <w:left w:val="nil"/>
              <w:bottom w:val="nil"/>
              <w:right w:val="nil"/>
            </w:tcBorders>
            <w:vAlign w:val="center"/>
          </w:tcPr>
          <w:p w14:paraId="5580B933"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68</w:t>
            </w:r>
          </w:p>
        </w:tc>
        <w:tc>
          <w:tcPr>
            <w:tcW w:w="1150" w:type="dxa"/>
            <w:tcBorders>
              <w:top w:val="nil"/>
              <w:left w:val="nil"/>
              <w:bottom w:val="nil"/>
              <w:right w:val="nil"/>
            </w:tcBorders>
            <w:vAlign w:val="center"/>
          </w:tcPr>
          <w:p w14:paraId="464DB9E3" w14:textId="46B88BDD" w:rsidR="00F23EB3" w:rsidRDefault="001C1152">
            <w:pPr>
              <w:jc w:val="center"/>
              <w:rPr>
                <w:rFonts w:hint="eastAsia"/>
                <w:lang w:eastAsia="zh-CN"/>
              </w:rPr>
            </w:pPr>
            <w:r>
              <w:rPr>
                <w:rFonts w:ascii="Times New Roman" w:eastAsia="宋体" w:hAnsi="Times New Roman" w:cs="Times New Roman" w:hint="eastAsia"/>
                <w:sz w:val="18"/>
                <w:szCs w:val="18"/>
                <w:lang w:eastAsia="zh-CN"/>
              </w:rPr>
              <w:t>55</w:t>
            </w:r>
          </w:p>
        </w:tc>
        <w:tc>
          <w:tcPr>
            <w:tcW w:w="1150" w:type="dxa"/>
            <w:tcBorders>
              <w:top w:val="nil"/>
              <w:left w:val="nil"/>
              <w:bottom w:val="nil"/>
              <w:right w:val="nil"/>
            </w:tcBorders>
            <w:vAlign w:val="center"/>
          </w:tcPr>
          <w:p w14:paraId="2EE10392" w14:textId="765993B9" w:rsidR="00F23EB3" w:rsidRDefault="001C1152">
            <w:pPr>
              <w:jc w:val="center"/>
              <w:rPr>
                <w:rFonts w:hint="eastAsia"/>
                <w:lang w:eastAsia="zh-CN"/>
              </w:rPr>
            </w:pPr>
            <w:r>
              <w:rPr>
                <w:rFonts w:ascii="Times New Roman" w:eastAsia="宋体" w:hAnsi="Times New Roman" w:cs="Times New Roman" w:hint="eastAsia"/>
                <w:sz w:val="18"/>
                <w:szCs w:val="18"/>
                <w:lang w:eastAsia="zh-CN"/>
              </w:rPr>
              <w:t>47</w:t>
            </w:r>
          </w:p>
        </w:tc>
        <w:tc>
          <w:tcPr>
            <w:tcW w:w="1150" w:type="dxa"/>
            <w:tcBorders>
              <w:top w:val="nil"/>
              <w:left w:val="nil"/>
              <w:bottom w:val="nil"/>
              <w:right w:val="nil"/>
            </w:tcBorders>
            <w:vAlign w:val="center"/>
          </w:tcPr>
          <w:p w14:paraId="0952C42B" w14:textId="23A035AF" w:rsidR="00F23EB3" w:rsidRDefault="001C1152">
            <w:pPr>
              <w:jc w:val="center"/>
              <w:rPr>
                <w:rFonts w:hint="eastAsia"/>
                <w:lang w:eastAsia="zh-CN"/>
              </w:rPr>
            </w:pPr>
            <w:r>
              <w:rPr>
                <w:rFonts w:ascii="Times New Roman" w:eastAsia="宋体" w:hAnsi="Times New Roman" w:cs="Times New Roman" w:hint="eastAsia"/>
                <w:sz w:val="18"/>
                <w:szCs w:val="18"/>
                <w:lang w:eastAsia="zh-CN"/>
              </w:rPr>
              <w:t>51</w:t>
            </w:r>
          </w:p>
        </w:tc>
        <w:tc>
          <w:tcPr>
            <w:tcW w:w="1150" w:type="dxa"/>
            <w:tcBorders>
              <w:top w:val="nil"/>
              <w:left w:val="nil"/>
              <w:bottom w:val="nil"/>
              <w:right w:val="nil"/>
            </w:tcBorders>
            <w:vAlign w:val="center"/>
          </w:tcPr>
          <w:p w14:paraId="473C6E14"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37</w:t>
            </w:r>
          </w:p>
        </w:tc>
        <w:tc>
          <w:tcPr>
            <w:tcW w:w="1150" w:type="dxa"/>
            <w:tcBorders>
              <w:top w:val="nil"/>
              <w:left w:val="nil"/>
              <w:bottom w:val="nil"/>
              <w:right w:val="nil"/>
            </w:tcBorders>
            <w:vAlign w:val="center"/>
          </w:tcPr>
          <w:p w14:paraId="7457C18A" w14:textId="59B375E1" w:rsidR="00F23EB3" w:rsidRDefault="001C1152">
            <w:pPr>
              <w:jc w:val="center"/>
              <w:rPr>
                <w:rFonts w:hint="eastAsia"/>
                <w:lang w:eastAsia="zh-CN"/>
              </w:rPr>
            </w:pPr>
            <w:r>
              <w:rPr>
                <w:rFonts w:ascii="Times New Roman" w:eastAsia="宋体" w:hAnsi="Times New Roman" w:cs="Times New Roman" w:hint="eastAsia"/>
                <w:sz w:val="18"/>
                <w:szCs w:val="18"/>
                <w:lang w:eastAsia="zh-CN"/>
              </w:rPr>
              <w:t>258</w:t>
            </w:r>
          </w:p>
        </w:tc>
      </w:tr>
      <w:tr w:rsidR="00F23EB3" w14:paraId="4FC243D1" w14:textId="77777777">
        <w:trPr>
          <w:cantSplit/>
          <w:jc w:val="center"/>
        </w:trPr>
        <w:tc>
          <w:tcPr>
            <w:tcW w:w="1406" w:type="dxa"/>
            <w:tcBorders>
              <w:top w:val="nil"/>
              <w:left w:val="nil"/>
              <w:bottom w:val="single" w:sz="12" w:space="0" w:color="auto"/>
              <w:right w:val="nil"/>
            </w:tcBorders>
            <w:vAlign w:val="center"/>
          </w:tcPr>
          <w:p w14:paraId="170939F1" w14:textId="77777777" w:rsidR="00F23EB3" w:rsidRDefault="00000000">
            <w:pPr>
              <w:rPr>
                <w:rFonts w:hint="eastAsia"/>
              </w:rPr>
            </w:pPr>
            <w:r>
              <w:rPr>
                <w:rFonts w:ascii="Times New Roman" w:eastAsia="宋体" w:hAnsi="Times New Roman" w:cs="Times New Roman"/>
                <w:sz w:val="18"/>
                <w:szCs w:val="18"/>
              </w:rPr>
              <w:t xml:space="preserve">通过率 / %</w:t>
            </w:r>
          </w:p>
        </w:tc>
        <w:tc>
          <w:tcPr>
            <w:tcW w:w="1150" w:type="dxa"/>
            <w:tcBorders>
              <w:top w:val="nil"/>
              <w:left w:val="nil"/>
              <w:bottom w:val="single" w:sz="12" w:space="0" w:color="auto"/>
              <w:right w:val="nil"/>
            </w:tcBorders>
            <w:vAlign w:val="center"/>
          </w:tcPr>
          <w:p w14:paraId="58008A4C"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27C664D8" w14:textId="3E10C38F" w:rsidR="00F23EB3" w:rsidRDefault="001C1152">
            <w:pPr>
              <w:jc w:val="center"/>
              <w:rPr>
                <w:rFonts w:hint="eastAsia"/>
                <w:lang w:eastAsia="zh-CN"/>
              </w:rPr>
            </w:pPr>
            <w:r>
              <w:rPr>
                <w:rFonts w:ascii="Times New Roman" w:eastAsia="宋体" w:hAnsi="Times New Roman" w:cs="Times New Roman" w:hint="eastAsia"/>
                <w:sz w:val="18"/>
                <w:szCs w:val="18"/>
                <w:lang w:eastAsia="zh-CN"/>
              </w:rPr>
              <w:t>98.21</w:t>
            </w:r>
          </w:p>
        </w:tc>
        <w:tc>
          <w:tcPr>
            <w:tcW w:w="1150" w:type="dxa"/>
            <w:tcBorders>
              <w:top w:val="nil"/>
              <w:left w:val="nil"/>
              <w:bottom w:val="single" w:sz="12" w:space="0" w:color="auto"/>
              <w:right w:val="nil"/>
            </w:tcBorders>
            <w:vAlign w:val="center"/>
          </w:tcPr>
          <w:p w14:paraId="01178724"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7EA82D4B" w14:textId="269DCBBB" w:rsidR="00F23EB3" w:rsidRDefault="001C1152">
            <w:pPr>
              <w:jc w:val="center"/>
              <w:rPr>
                <w:rFonts w:hint="eastAsia"/>
                <w:lang w:eastAsia="zh-CN"/>
              </w:rPr>
            </w:pPr>
            <w:r>
              <w:rPr>
                <w:rFonts w:ascii="Times New Roman" w:eastAsia="宋体" w:hAnsi="Times New Roman" w:cs="Times New Roman" w:hint="eastAsia"/>
                <w:sz w:val="18"/>
                <w:szCs w:val="18"/>
                <w:lang w:eastAsia="zh-CN"/>
              </w:rPr>
              <w:t>98.08</w:t>
            </w:r>
          </w:p>
        </w:tc>
        <w:tc>
          <w:tcPr>
            <w:tcW w:w="1150" w:type="dxa"/>
            <w:tcBorders>
              <w:top w:val="nil"/>
              <w:left w:val="nil"/>
              <w:bottom w:val="single" w:sz="12" w:space="0" w:color="auto"/>
              <w:right w:val="nil"/>
            </w:tcBorders>
            <w:vAlign w:val="center"/>
          </w:tcPr>
          <w:p w14:paraId="14DE7F73" w14:textId="77777777" w:rsidR="00F23EB3" w:rsidRDefault="00100C81">
            <w:pPr>
              <w:jc w:val="center"/>
              <w:rPr>
                <w:rFonts w:hint="eastAsia"/>
                <w:lang w:eastAsia="zh-CN"/>
              </w:rPr>
            </w:pPr>
            <w:r>
              <w:rPr>
                <w:rFonts w:ascii="Times New Roman" w:eastAsia="宋体" w:hAnsi="Times New Roman" w:cs="Times New Roman" w:hint="eastAsia"/>
                <w:sz w:val="18"/>
                <w:szCs w:val="18"/>
                <w:lang w:eastAsia="zh-CN"/>
              </w:rPr>
              <w:t>100</w:t>
            </w:r>
          </w:p>
        </w:tc>
        <w:tc>
          <w:tcPr>
            <w:tcW w:w="1150" w:type="dxa"/>
            <w:tcBorders>
              <w:top w:val="nil"/>
              <w:left w:val="nil"/>
              <w:bottom w:val="single" w:sz="12" w:space="0" w:color="auto"/>
              <w:right w:val="nil"/>
            </w:tcBorders>
            <w:vAlign w:val="center"/>
          </w:tcPr>
          <w:p w14:paraId="36CC1EB1" w14:textId="6B162C03" w:rsidR="00F23EB3" w:rsidRDefault="001C1152">
            <w:pPr>
              <w:jc w:val="center"/>
              <w:rPr>
                <w:rFonts w:hint="eastAsia"/>
                <w:lang w:eastAsia="zh-CN"/>
              </w:rPr>
            </w:pPr>
            <w:r>
              <w:rPr>
                <w:rFonts w:ascii="Times New Roman" w:eastAsia="宋体" w:hAnsi="Times New Roman" w:cs="Times New Roman" w:hint="eastAsia"/>
                <w:sz w:val="18"/>
                <w:szCs w:val="18"/>
                <w:lang w:eastAsia="zh-CN"/>
              </w:rPr>
              <w:t>99.23</w:t>
            </w:r>
          </w:p>
        </w:tc>
      </w:tr>
    </w:tbl>
    <w:p w14:paraId="6AB088C2"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3  核心接口性能测试结果</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300"/>
        <w:gridCol w:w="1500"/>
        <w:gridCol w:w="1400"/>
        <w:gridCol w:w="1500"/>
        <w:gridCol w:w="1100"/>
        <w:gridCol w:w="1506"/>
      </w:tblGrid>
      <w:tr w:rsidR="00F23EB3" w14:paraId="4DB12D13" w14:textId="77777777">
        <w:trPr>
          <w:cantSplit/>
          <w:tblHeader/>
          <w:jc w:val="center"/>
        </w:trPr>
        <w:tc>
          <w:tcPr>
            <w:tcW w:w="1300" w:type="dxa"/>
            <w:tcBorders>
              <w:top w:val="single" w:sz="12" w:space="0" w:color="auto"/>
              <w:left w:val="nil"/>
              <w:bottom w:val="single" w:sz="6" w:space="0" w:color="auto"/>
              <w:right w:val="nil"/>
            </w:tcBorders>
            <w:vAlign w:val="center"/>
          </w:tcPr>
          <w:p w14:paraId="117B6088" w14:textId="77777777" w:rsidR="00F23EB3" w:rsidRDefault="00000000">
            <w:pPr>
              <w:jc w:val="center"/>
              <w:rPr>
                <w:rFonts w:hint="eastAsia"/>
              </w:rPr>
            </w:pPr>
            <w:r>
              <w:rPr>
                <w:rFonts w:ascii="Times New Roman" w:eastAsia="宋体" w:hAnsi="Times New Roman" w:cs="Times New Roman"/>
                <w:b/>
                <w:bCs/>
                <w:sz w:val="18"/>
                <w:szCs w:val="18"/>
              </w:rPr>
              <w:t>并发用户数</w:t>
            </w:r>
          </w:p>
        </w:tc>
        <w:tc>
          <w:tcPr>
            <w:tcW w:w="1500" w:type="dxa"/>
            <w:tcBorders>
              <w:top w:val="single" w:sz="12" w:space="0" w:color="auto"/>
              <w:left w:val="nil"/>
              <w:bottom w:val="single" w:sz="6" w:space="0" w:color="auto"/>
              <w:right w:val="nil"/>
            </w:tcBorders>
            <w:vAlign w:val="center"/>
          </w:tcPr>
          <w:p w14:paraId="45330404" w14:textId="77777777" w:rsidR="00F23EB3" w:rsidRDefault="00000000">
            <w:pPr>
              <w:jc w:val="center"/>
              <w:rPr>
                <w:rFonts w:hint="eastAsia"/>
              </w:rPr>
            </w:pPr>
            <w:r>
              <w:rPr>
                <w:rFonts w:ascii="Times New Roman" w:eastAsia="宋体" w:hAnsi="Times New Roman" w:cs="Times New Roman"/>
                <w:b/>
                <w:bCs/>
                <w:sz w:val="18"/>
                <w:szCs w:val="18"/>
              </w:rPr>
              <w:t xml:space="preserve">平均响应 / ms</w:t>
            </w:r>
          </w:p>
        </w:tc>
        <w:tc>
          <w:tcPr>
            <w:tcW w:w="1400" w:type="dxa"/>
            <w:tcBorders>
              <w:top w:val="single" w:sz="12" w:space="0" w:color="auto"/>
              <w:left w:val="nil"/>
              <w:bottom w:val="single" w:sz="6" w:space="0" w:color="auto"/>
              <w:right w:val="nil"/>
            </w:tcBorders>
            <w:vAlign w:val="center"/>
          </w:tcPr>
          <w:p w14:paraId="512DF9A6" w14:textId="77777777" w:rsidR="00F23EB3" w:rsidRDefault="00000000">
            <w:pPr>
              <w:jc w:val="center"/>
              <w:rPr>
                <w:rFonts w:hint="eastAsia"/>
              </w:rPr>
            </w:pPr>
            <w:r>
              <w:rPr>
                <w:rFonts w:ascii="Times New Roman" w:eastAsia="宋体" w:hAnsi="Times New Roman" w:cs="Times New Roman"/>
                <w:b/>
                <w:bCs/>
                <w:sz w:val="18"/>
                <w:szCs w:val="18"/>
              </w:rPr>
              <w:t xml:space="preserve">95% 响应 / ms</w:t>
            </w:r>
          </w:p>
        </w:tc>
        <w:tc>
          <w:tcPr>
            <w:tcW w:w="1500" w:type="dxa"/>
            <w:tcBorders>
              <w:top w:val="single" w:sz="12" w:space="0" w:color="auto"/>
              <w:left w:val="nil"/>
              <w:bottom w:val="single" w:sz="6" w:space="0" w:color="auto"/>
              <w:right w:val="nil"/>
            </w:tcBorders>
            <w:vAlign w:val="center"/>
          </w:tcPr>
          <w:p w14:paraId="6BCF3A3B" w14:textId="77777777" w:rsidR="00F23EB3" w:rsidRDefault="00000000">
            <w:pPr>
              <w:jc w:val="center"/>
              <w:rPr>
                <w:rFonts w:hint="eastAsia"/>
              </w:rPr>
            </w:pPr>
            <w:r>
              <w:rPr>
                <w:rFonts w:ascii="Times New Roman" w:eastAsia="宋体" w:hAnsi="Times New Roman" w:cs="Times New Roman"/>
                <w:b/>
                <w:bCs/>
                <w:sz w:val="18"/>
                <w:szCs w:val="18"/>
              </w:rPr>
              <w:t xml:space="preserve">吞吐量 / (次·s⁻¹)</w:t>
            </w:r>
          </w:p>
        </w:tc>
        <w:tc>
          <w:tcPr>
            <w:tcW w:w="1100" w:type="dxa"/>
            <w:tcBorders>
              <w:top w:val="single" w:sz="12" w:space="0" w:color="auto"/>
              <w:left w:val="nil"/>
              <w:bottom w:val="single" w:sz="6" w:space="0" w:color="auto"/>
              <w:right w:val="nil"/>
            </w:tcBorders>
            <w:vAlign w:val="center"/>
          </w:tcPr>
          <w:p w14:paraId="07F9DCFA" w14:textId="77777777" w:rsidR="00F23EB3" w:rsidRDefault="00000000">
            <w:pPr>
              <w:jc w:val="center"/>
              <w:rPr>
                <w:rFonts w:hint="eastAsia"/>
              </w:rPr>
            </w:pPr>
            <w:r>
              <w:rPr>
                <w:rFonts w:ascii="Times New Roman" w:eastAsia="宋体" w:hAnsi="Times New Roman" w:cs="Times New Roman"/>
                <w:b/>
                <w:bCs/>
                <w:sz w:val="18"/>
                <w:szCs w:val="18"/>
              </w:rPr>
              <w:t xml:space="preserve">错误率 / %</w:t>
            </w:r>
          </w:p>
        </w:tc>
        <w:tc>
          <w:tcPr>
            <w:tcW w:w="1506" w:type="dxa"/>
            <w:tcBorders>
              <w:top w:val="single" w:sz="12" w:space="0" w:color="auto"/>
              <w:left w:val="nil"/>
              <w:bottom w:val="single" w:sz="6" w:space="0" w:color="auto"/>
              <w:right w:val="nil"/>
            </w:tcBorders>
            <w:vAlign w:val="center"/>
          </w:tcPr>
          <w:p w14:paraId="179F19E5" w14:textId="77777777" w:rsidR="00F23EB3" w:rsidRDefault="00000000">
            <w:pPr>
              <w:jc w:val="center"/>
              <w:rPr>
                <w:rFonts w:hint="eastAsia"/>
                <w:lang w:eastAsia="zh-CN"/>
              </w:rPr>
            </w:pPr>
            <w:r>
              <w:rPr>
                <w:rFonts w:ascii="Times New Roman" w:eastAsia="宋体" w:hAnsi="Times New Roman" w:cs="Times New Roman"/>
                <w:b/>
                <w:bCs/>
                <w:sz w:val="18"/>
                <w:szCs w:val="18"/>
                <w:lang w:eastAsia="zh-CN"/>
              </w:rPr>
              <w:t xml:space="preserve">缓存命中率 / %</w:t>
            </w:r>
          </w:p>
        </w:tc>
      </w:tr>
      <w:tr w:rsidR="00F23EB3" w14:paraId="09BF0085" w14:textId="77777777">
        <w:trPr>
          <w:cantSplit/>
          <w:jc w:val="center"/>
        </w:trPr>
        <w:tc>
          <w:tcPr>
            <w:tcW w:w="1300" w:type="dxa"/>
            <w:tcBorders>
              <w:top w:val="nil"/>
              <w:left w:val="nil"/>
              <w:bottom w:val="nil"/>
              <w:right w:val="nil"/>
            </w:tcBorders>
            <w:vAlign w:val="center"/>
          </w:tcPr>
          <w:p w14:paraId="211B054D" w14:textId="77777777" w:rsidR="00F23EB3" w:rsidRDefault="00000000">
            <w:pPr>
              <w:jc w:val="center"/>
              <w:rPr>
                <w:rFonts w:hint="eastAsia"/>
              </w:rPr>
            </w:pPr>
            <w:r>
              <w:rPr>
                <w:rFonts w:ascii="Times New Roman" w:eastAsia="宋体" w:hAnsi="Times New Roman" w:cs="Times New Roman"/>
                <w:sz w:val="18"/>
                <w:szCs w:val="18"/>
              </w:rPr>
              <w:t>50</w:t>
            </w:r>
          </w:p>
        </w:tc>
        <w:tc>
          <w:tcPr>
            <w:tcW w:w="1500" w:type="dxa"/>
            <w:tcBorders>
              <w:top w:val="nil"/>
              <w:left w:val="nil"/>
              <w:bottom w:val="nil"/>
              <w:right w:val="nil"/>
            </w:tcBorders>
            <w:vAlign w:val="center"/>
          </w:tcPr>
          <w:p w14:paraId="24A714D2"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86</w:t>
            </w:r>
          </w:p>
        </w:tc>
        <w:tc>
          <w:tcPr>
            <w:tcW w:w="1400" w:type="dxa"/>
            <w:tcBorders>
              <w:top w:val="nil"/>
              <w:left w:val="nil"/>
              <w:bottom w:val="nil"/>
              <w:right w:val="nil"/>
            </w:tcBorders>
            <w:vAlign w:val="center"/>
          </w:tcPr>
          <w:p w14:paraId="38D67875"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142</w:t>
            </w:r>
          </w:p>
        </w:tc>
        <w:tc>
          <w:tcPr>
            <w:tcW w:w="1500" w:type="dxa"/>
            <w:tcBorders>
              <w:top w:val="nil"/>
              <w:left w:val="nil"/>
              <w:bottom w:val="nil"/>
              <w:right w:val="nil"/>
            </w:tcBorders>
            <w:vAlign w:val="center"/>
          </w:tcPr>
          <w:p w14:paraId="16D7F4E0"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486</w:t>
            </w:r>
          </w:p>
        </w:tc>
        <w:tc>
          <w:tcPr>
            <w:tcW w:w="1100" w:type="dxa"/>
            <w:tcBorders>
              <w:top w:val="nil"/>
              <w:left w:val="nil"/>
              <w:bottom w:val="nil"/>
              <w:right w:val="nil"/>
            </w:tcBorders>
            <w:vAlign w:val="center"/>
          </w:tcPr>
          <w:p w14:paraId="75D9FD1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w:t>
            </w:r>
          </w:p>
        </w:tc>
        <w:tc>
          <w:tcPr>
            <w:tcW w:w="1506" w:type="dxa"/>
            <w:tcBorders>
              <w:top w:val="nil"/>
              <w:left w:val="nil"/>
              <w:bottom w:val="nil"/>
              <w:right w:val="nil"/>
            </w:tcBorders>
            <w:vAlign w:val="center"/>
          </w:tcPr>
          <w:p w14:paraId="46CEE1F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96.8</w:t>
            </w:r>
          </w:p>
        </w:tc>
      </w:tr>
      <w:tr w:rsidR="00F23EB3" w14:paraId="14A9B0F3" w14:textId="77777777">
        <w:trPr>
          <w:cantSplit/>
          <w:jc w:val="center"/>
        </w:trPr>
        <w:tc>
          <w:tcPr>
            <w:tcW w:w="1300" w:type="dxa"/>
            <w:tcBorders>
              <w:top w:val="nil"/>
              <w:left w:val="nil"/>
              <w:bottom w:val="nil"/>
              <w:right w:val="nil"/>
            </w:tcBorders>
            <w:vAlign w:val="center"/>
          </w:tcPr>
          <w:p w14:paraId="7F83AE9A" w14:textId="77777777" w:rsidR="00F23EB3" w:rsidRDefault="00000000">
            <w:pPr>
              <w:jc w:val="center"/>
              <w:rPr>
                <w:rFonts w:hint="eastAsia"/>
              </w:rPr>
            </w:pPr>
            <w:r>
              <w:rPr>
                <w:rFonts w:ascii="Times New Roman" w:eastAsia="宋体" w:hAnsi="Times New Roman" w:cs="Times New Roman"/>
                <w:sz w:val="18"/>
                <w:szCs w:val="18"/>
              </w:rPr>
              <w:t>100</w:t>
            </w:r>
          </w:p>
        </w:tc>
        <w:tc>
          <w:tcPr>
            <w:tcW w:w="1500" w:type="dxa"/>
            <w:tcBorders>
              <w:top w:val="nil"/>
              <w:left w:val="nil"/>
              <w:bottom w:val="nil"/>
              <w:right w:val="nil"/>
            </w:tcBorders>
            <w:vAlign w:val="center"/>
          </w:tcPr>
          <w:p w14:paraId="79CE444D"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128</w:t>
            </w:r>
          </w:p>
        </w:tc>
        <w:tc>
          <w:tcPr>
            <w:tcW w:w="1400" w:type="dxa"/>
            <w:tcBorders>
              <w:top w:val="nil"/>
              <w:left w:val="nil"/>
              <w:bottom w:val="nil"/>
              <w:right w:val="nil"/>
            </w:tcBorders>
            <w:vAlign w:val="center"/>
          </w:tcPr>
          <w:p w14:paraId="791F2FA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215</w:t>
            </w:r>
          </w:p>
        </w:tc>
        <w:tc>
          <w:tcPr>
            <w:tcW w:w="1500" w:type="dxa"/>
            <w:tcBorders>
              <w:top w:val="nil"/>
              <w:left w:val="nil"/>
              <w:bottom w:val="nil"/>
              <w:right w:val="nil"/>
            </w:tcBorders>
            <w:vAlign w:val="center"/>
          </w:tcPr>
          <w:p w14:paraId="3C736F2F"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742</w:t>
            </w:r>
          </w:p>
        </w:tc>
        <w:tc>
          <w:tcPr>
            <w:tcW w:w="1100" w:type="dxa"/>
            <w:tcBorders>
              <w:top w:val="nil"/>
              <w:left w:val="nil"/>
              <w:bottom w:val="nil"/>
              <w:right w:val="nil"/>
            </w:tcBorders>
            <w:vAlign w:val="center"/>
          </w:tcPr>
          <w:p w14:paraId="337D385D"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0.1</w:t>
            </w:r>
          </w:p>
        </w:tc>
        <w:tc>
          <w:tcPr>
            <w:tcW w:w="1506" w:type="dxa"/>
            <w:tcBorders>
              <w:top w:val="nil"/>
              <w:left w:val="nil"/>
              <w:bottom w:val="nil"/>
              <w:right w:val="nil"/>
            </w:tcBorders>
            <w:vAlign w:val="center"/>
          </w:tcPr>
          <w:p w14:paraId="65E81CE7"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95.6</w:t>
            </w:r>
          </w:p>
        </w:tc>
      </w:tr>
      <w:tr w:rsidR="00F23EB3" w14:paraId="732A5CC9" w14:textId="77777777">
        <w:trPr>
          <w:cantSplit/>
          <w:jc w:val="center"/>
        </w:trPr>
        <w:tc>
          <w:tcPr>
            <w:tcW w:w="1300" w:type="dxa"/>
            <w:tcBorders>
              <w:top w:val="nil"/>
              <w:left w:val="nil"/>
              <w:bottom w:val="nil"/>
              <w:right w:val="nil"/>
            </w:tcBorders>
            <w:vAlign w:val="center"/>
          </w:tcPr>
          <w:p w14:paraId="4CF60463" w14:textId="77777777" w:rsidR="00F23EB3" w:rsidRDefault="00000000">
            <w:pPr>
              <w:jc w:val="center"/>
              <w:rPr>
                <w:rFonts w:hint="eastAsia"/>
              </w:rPr>
            </w:pPr>
            <w:r>
              <w:rPr>
                <w:rFonts w:ascii="Times New Roman" w:eastAsia="宋体" w:hAnsi="Times New Roman" w:cs="Times New Roman"/>
                <w:sz w:val="18"/>
                <w:szCs w:val="18"/>
              </w:rPr>
              <w:t>200</w:t>
            </w:r>
          </w:p>
        </w:tc>
        <w:tc>
          <w:tcPr>
            <w:tcW w:w="1500" w:type="dxa"/>
            <w:tcBorders>
              <w:top w:val="nil"/>
              <w:left w:val="nil"/>
              <w:bottom w:val="nil"/>
              <w:right w:val="nil"/>
            </w:tcBorders>
            <w:vAlign w:val="center"/>
          </w:tcPr>
          <w:p w14:paraId="151326F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216</w:t>
            </w:r>
          </w:p>
        </w:tc>
        <w:tc>
          <w:tcPr>
            <w:tcW w:w="1400" w:type="dxa"/>
            <w:tcBorders>
              <w:top w:val="nil"/>
              <w:left w:val="nil"/>
              <w:bottom w:val="nil"/>
              <w:right w:val="nil"/>
            </w:tcBorders>
            <w:vAlign w:val="center"/>
          </w:tcPr>
          <w:p w14:paraId="1ACA2214"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368</w:t>
            </w:r>
          </w:p>
        </w:tc>
        <w:tc>
          <w:tcPr>
            <w:tcW w:w="1500" w:type="dxa"/>
            <w:tcBorders>
              <w:top w:val="nil"/>
              <w:left w:val="nil"/>
              <w:bottom w:val="nil"/>
              <w:right w:val="nil"/>
            </w:tcBorders>
            <w:vAlign w:val="center"/>
          </w:tcPr>
          <w:p w14:paraId="578A1F06"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1053</w:t>
            </w:r>
          </w:p>
        </w:tc>
        <w:tc>
          <w:tcPr>
            <w:tcW w:w="1100" w:type="dxa"/>
            <w:tcBorders>
              <w:top w:val="nil"/>
              <w:left w:val="nil"/>
              <w:bottom w:val="nil"/>
              <w:right w:val="nil"/>
            </w:tcBorders>
            <w:vAlign w:val="center"/>
          </w:tcPr>
          <w:p w14:paraId="68D5072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0.4</w:t>
            </w:r>
          </w:p>
        </w:tc>
        <w:tc>
          <w:tcPr>
            <w:tcW w:w="1506" w:type="dxa"/>
            <w:tcBorders>
              <w:top w:val="nil"/>
              <w:left w:val="nil"/>
              <w:bottom w:val="nil"/>
              <w:right w:val="nil"/>
            </w:tcBorders>
            <w:vAlign w:val="center"/>
          </w:tcPr>
          <w:p w14:paraId="4F7FC160"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94.2</w:t>
            </w:r>
          </w:p>
        </w:tc>
      </w:tr>
      <w:tr w:rsidR="00F23EB3" w14:paraId="5681F72C" w14:textId="77777777">
        <w:trPr>
          <w:cantSplit/>
          <w:jc w:val="center"/>
        </w:trPr>
        <w:tc>
          <w:tcPr>
            <w:tcW w:w="1300" w:type="dxa"/>
            <w:tcBorders>
              <w:top w:val="nil"/>
              <w:left w:val="nil"/>
              <w:bottom w:val="single" w:sz="12" w:space="0" w:color="auto"/>
              <w:right w:val="nil"/>
            </w:tcBorders>
            <w:vAlign w:val="center"/>
          </w:tcPr>
          <w:p w14:paraId="3B366DDA" w14:textId="77777777" w:rsidR="00F23EB3" w:rsidRDefault="00000000">
            <w:pPr>
              <w:jc w:val="center"/>
              <w:rPr>
                <w:rFonts w:hint="eastAsia"/>
              </w:rPr>
            </w:pPr>
            <w:r>
              <w:rPr>
                <w:rFonts w:ascii="Times New Roman" w:eastAsia="宋体" w:hAnsi="Times New Roman" w:cs="Times New Roman"/>
                <w:sz w:val="18"/>
                <w:szCs w:val="18"/>
              </w:rPr>
              <w:t>500</w:t>
            </w:r>
          </w:p>
        </w:tc>
        <w:tc>
          <w:tcPr>
            <w:tcW w:w="1500" w:type="dxa"/>
            <w:tcBorders>
              <w:top w:val="nil"/>
              <w:left w:val="nil"/>
              <w:bottom w:val="single" w:sz="12" w:space="0" w:color="auto"/>
              <w:right w:val="nil"/>
            </w:tcBorders>
            <w:vAlign w:val="center"/>
          </w:tcPr>
          <w:p w14:paraId="32210E27"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452</w:t>
            </w:r>
          </w:p>
        </w:tc>
        <w:tc>
          <w:tcPr>
            <w:tcW w:w="1400" w:type="dxa"/>
            <w:tcBorders>
              <w:top w:val="nil"/>
              <w:left w:val="nil"/>
              <w:bottom w:val="single" w:sz="12" w:space="0" w:color="auto"/>
              <w:right w:val="nil"/>
            </w:tcBorders>
            <w:vAlign w:val="center"/>
          </w:tcPr>
          <w:p w14:paraId="3928AC5C"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786</w:t>
            </w:r>
          </w:p>
        </w:tc>
        <w:tc>
          <w:tcPr>
            <w:tcW w:w="1500" w:type="dxa"/>
            <w:tcBorders>
              <w:top w:val="nil"/>
              <w:left w:val="nil"/>
              <w:bottom w:val="single" w:sz="12" w:space="0" w:color="auto"/>
              <w:right w:val="nil"/>
            </w:tcBorders>
            <w:vAlign w:val="center"/>
          </w:tcPr>
          <w:p w14:paraId="6869161E"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1286</w:t>
            </w:r>
          </w:p>
        </w:tc>
        <w:tc>
          <w:tcPr>
            <w:tcW w:w="1100" w:type="dxa"/>
            <w:tcBorders>
              <w:top w:val="nil"/>
              <w:left w:val="nil"/>
              <w:bottom w:val="single" w:sz="12" w:space="0" w:color="auto"/>
              <w:right w:val="nil"/>
            </w:tcBorders>
            <w:vAlign w:val="center"/>
          </w:tcPr>
          <w:p w14:paraId="22826ECB"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1.2</w:t>
            </w:r>
          </w:p>
        </w:tc>
        <w:tc>
          <w:tcPr>
            <w:tcW w:w="1506" w:type="dxa"/>
            <w:tcBorders>
              <w:top w:val="nil"/>
              <w:left w:val="nil"/>
              <w:bottom w:val="single" w:sz="12" w:space="0" w:color="auto"/>
              <w:right w:val="nil"/>
            </w:tcBorders>
            <w:vAlign w:val="center"/>
          </w:tcPr>
          <w:p w14:paraId="00E118D3" w14:textId="77777777" w:rsidR="00F23EB3" w:rsidRDefault="001509DF">
            <w:pPr>
              <w:jc w:val="center"/>
              <w:rPr>
                <w:rFonts w:hint="eastAsia"/>
                <w:lang w:eastAsia="zh-CN"/>
              </w:rPr>
            </w:pPr>
            <w:r>
              <w:rPr>
                <w:rFonts w:ascii="Times New Roman" w:eastAsia="宋体" w:hAnsi="Times New Roman" w:cs="Times New Roman" w:hint="eastAsia"/>
                <w:sz w:val="18"/>
                <w:szCs w:val="18"/>
                <w:lang w:eastAsia="zh-CN"/>
              </w:rPr>
              <w:t>92.5</w:t>
            </w:r>
          </w:p>
        </w:tc>
      </w:tr>
    </w:tbl>
    <w:p w14:paraId="52F42661" w14:textId="77777777" w:rsidR="00F23EB3" w:rsidRDefault="00000000">
      <w:pPr>
        <w:spacing w:beforeLines="6" w:before="18" w:line="300" w:lineRule="auto"/>
        <w:ind w:firstLineChars="200" w:firstLine="420"/>
        <w:rPr>
          <w:rFonts w:hint="eastAsia"/>
          <w:lang w:eastAsia="zh-CN"/>
        </w:rPr>
      </w:pPr>
      <w:bookmarkStart w:id="2" w:name="OLE_LINK16"/>
      <w:r>
        <w:rPr>
          <w:rFonts w:ascii="Times New Roman" w:eastAsia="宋体" w:hAnsi="Times New Roman" w:cs="Times New Roman"/>
          <w:sz w:val="21"/>
          <w:szCs w:val="21"/>
          <w:lang w:eastAsia="zh-CN"/>
        </w:rPr>
        <w:t xml:space="preserve">为评价标签准确性，从 270 名科研人员中随机抽取 </w:t>
      </w:r>
      <w:r>
        <w:rPr>
          <w:rFonts w:ascii="Times New Roman" w:eastAsia="宋体" w:hAnsi="Times New Roman" w:cs="Times New Roman" w:hint="eastAsia"/>
          <w:sz w:val="21"/>
          <w:szCs w:val="21"/>
          <w:lang w:eastAsia="zh-CN"/>
        </w:rPr>
        <w:t>90</w:t>
      </w:r>
      <w:r>
        <w:rPr>
          <w:rFonts w:ascii="Times New Roman" w:eastAsia="宋体" w:hAnsi="Times New Roman" w:cs="Times New Roman"/>
          <w:sz w:val="21"/>
          <w:szCs w:val="21"/>
          <w:lang w:eastAsia="zh-CN"/>
        </w:rPr>
        <w:t xml:space="preserve"> 名，由 3 名科研管理专家依据其近三年科研档案独立标注能力标签，以三人一致的结果为金标准与系统输出比对。系统共生成 32 个动态能力标签，准确率 </w:t>
      </w:r>
      <w:r>
        <w:rPr>
          <w:rFonts w:ascii="Times New Roman" w:eastAsia="宋体" w:hAnsi="Times New Roman" w:cs="Times New Roman" w:hint="eastAsia"/>
          <w:sz w:val="21"/>
          <w:szCs w:val="21"/>
          <w:lang w:eastAsia="zh-CN"/>
        </w:rPr>
        <w:t>88.0</w:t>
      </w:r>
      <w:r>
        <w:rPr>
          <w:rFonts w:ascii="Times New Roman" w:eastAsia="宋体" w:hAnsi="Times New Roman" w:cs="Times New Roman"/>
          <w:sz w:val="21"/>
          <w:szCs w:val="21"/>
          <w:lang w:eastAsia="zh-CN"/>
        </w:rPr>
        <w:t xml:space="preserve">%、召回率 </w:t>
      </w:r>
      <w:r>
        <w:rPr>
          <w:rFonts w:ascii="Times New Roman" w:eastAsia="宋体" w:hAnsi="Times New Roman" w:cs="Times New Roman" w:hint="eastAsia"/>
          <w:sz w:val="21"/>
          <w:szCs w:val="21"/>
          <w:lang w:eastAsia="zh-CN"/>
        </w:rPr>
        <w:t>84.1</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lang w:eastAsia="zh-CN"/>
        </w:rPr>
        <w:t>F</w:t>
      </w:r>
      <w:r>
        <w:rPr>
          <w:rFonts w:ascii="Times New Roman" w:eastAsia="宋体" w:hAnsi="Times New Roman" w:cs="Times New Roman"/>
          <w:sz w:val="21"/>
          <w:szCs w:val="21"/>
          <w:lang w:eastAsia="zh-CN"/>
        </w:rPr>
        <w:t xml:space="preserve">1 值</w:t>
      </w:r>
      <w:r>
        <w:rPr>
          <w:rFonts w:ascii="Times New Roman" w:eastAsia="宋体" w:hAnsi="Times New Roman" w:cs="Times New Roman" w:hint="eastAsia"/>
          <w:sz w:val="21"/>
          <w:szCs w:val="21"/>
          <w:lang w:eastAsia="zh-CN"/>
        </w:rPr>
        <w:t>0.86</w:t>
      </w:r>
      <w:r>
        <w:rPr>
          <w:rFonts w:ascii="Times New Roman" w:eastAsia="宋体" w:hAnsi="Times New Roman" w:cs="Times New Roman"/>
          <w:sz w:val="21"/>
          <w:szCs w:val="21"/>
          <w:lang w:eastAsia="zh-CN"/>
        </w:rPr>
        <w:t xml:space="preserve">，专家标注 Kappa 系数 </w:t>
      </w:r>
      <w:r>
        <w:rPr>
          <w:rFonts w:ascii="Times New Roman" w:eastAsia="宋体" w:hAnsi="Times New Roman" w:cs="Times New Roman" w:hint="eastAsia"/>
          <w:sz w:val="21"/>
          <w:szCs w:val="21"/>
          <w:lang w:eastAsia="zh-CN"/>
        </w:rPr>
        <w:t>0.81</w:t>
      </w:r>
      <w:r>
        <w:rPr>
          <w:rFonts w:ascii="Times New Roman" w:eastAsia="宋体" w:hAnsi="Times New Roman" w:cs="Times New Roman"/>
          <w:sz w:val="21"/>
          <w:szCs w:val="21"/>
          <w:lang w:eastAsia="zh-CN"/>
        </w:rPr>
        <w:t xml:space="preserve">。以上线前后各 3 个月的科研管理台账与系统日志为数据源的应用效果对比如表 4 所示。</w:t>
      </w:r>
    </w:p>
    <w:bookmarkEnd w:id="2"/>
    <w:p w14:paraId="7B7142E8" w14:textId="77777777" w:rsidR="00F23EB3" w:rsidRDefault="00000000">
      <w:pPr>
        <w:keepNext/>
        <w:keepLines/>
        <w:spacing w:beforeLines="12" w:before="37" w:afterLines="6" w:after="18"/>
        <w:jc w:val="center"/>
        <w:rPr>
          <w:rFonts w:hint="eastAsia"/>
          <w:lang w:eastAsia="zh-CN"/>
        </w:rPr>
      </w:pPr>
      <w:r>
        <w:rPr>
          <w:rFonts w:ascii="Times New Roman" w:eastAsia="黑体" w:hAnsi="Times New Roman" w:cs="Times New Roman"/>
          <w:sz w:val="18"/>
          <w:szCs w:val="18"/>
          <w:lang w:eastAsia="zh-CN"/>
        </w:rPr>
        <w:t xml:space="preserve">表 4  系统上线前后应用效果对比</w:t>
      </w:r>
    </w:p>
    <w:tbl>
      <w:tblPr>
        <w:tblW w:w="8306" w:type="dxa"/>
        <w:jc w:val="center"/>
        <w:tblBorders>
          <w:top w:val="nil"/>
          <w:left w:val="nil"/>
          <w:bottom w:val="nil"/>
          <w:right w:val="nil"/>
          <w:insideH w:val="nil"/>
          <w:insideV w:val="nil"/>
        </w:tblBorders>
        <w:tblCellMar>
          <w:top w:w="28" w:type="dxa"/>
          <w:left w:w="64" w:type="dxa"/>
          <w:bottom w:w="28" w:type="dxa"/>
          <w:right w:w="64" w:type="dxa"/>
        </w:tblCellMar>
        <w:tblLook w:val="04A0" w:firstRow="1" w:lastRow="0" w:firstColumn="1" w:lastColumn="0" w:noHBand="0" w:noVBand="1"/>
      </w:tblPr>
      <w:tblGrid>
        <w:gridCol w:w="1806"/>
        <w:gridCol w:w="1300"/>
        <w:gridCol w:w="1500"/>
        <w:gridCol w:w="1300"/>
        <w:gridCol w:w="1200"/>
        <w:gridCol w:w="1200"/>
      </w:tblGrid>
      <w:tr w:rsidR="00F23EB3" w14:paraId="6EF123BE" w14:textId="77777777">
        <w:trPr>
          <w:cantSplit/>
          <w:tblHeader/>
          <w:jc w:val="center"/>
        </w:trPr>
        <w:tc>
          <w:tcPr>
            <w:tcW w:w="1806" w:type="dxa"/>
            <w:tcBorders>
              <w:top w:val="single" w:sz="12" w:space="0" w:color="auto"/>
              <w:left w:val="nil"/>
              <w:bottom w:val="single" w:sz="6" w:space="0" w:color="auto"/>
              <w:right w:val="nil"/>
            </w:tcBorders>
            <w:vAlign w:val="center"/>
          </w:tcPr>
          <w:p w14:paraId="4320BF28" w14:textId="77777777" w:rsidR="00F23EB3" w:rsidRDefault="00000000">
            <w:pPr>
              <w:jc w:val="center"/>
              <w:rPr>
                <w:rFonts w:hint="eastAsia"/>
              </w:rPr>
            </w:pPr>
            <w:r>
              <w:rPr>
                <w:rFonts w:ascii="Times New Roman" w:eastAsia="宋体" w:hAnsi="Times New Roman" w:cs="Times New Roman"/>
                <w:b/>
                <w:bCs/>
                <w:sz w:val="18"/>
                <w:szCs w:val="18"/>
              </w:rPr>
              <w:t>指标</w:t>
            </w:r>
          </w:p>
        </w:tc>
        <w:tc>
          <w:tcPr>
            <w:tcW w:w="1300" w:type="dxa"/>
            <w:tcBorders>
              <w:top w:val="single" w:sz="12" w:space="0" w:color="auto"/>
              <w:left w:val="nil"/>
              <w:bottom w:val="single" w:sz="6" w:space="0" w:color="auto"/>
              <w:right w:val="nil"/>
            </w:tcBorders>
            <w:vAlign w:val="center"/>
          </w:tcPr>
          <w:p w14:paraId="5A524B8E" w14:textId="77777777" w:rsidR="00F23EB3" w:rsidRDefault="00000000">
            <w:pPr>
              <w:jc w:val="center"/>
              <w:rPr>
                <w:rFonts w:hint="eastAsia"/>
              </w:rPr>
            </w:pPr>
            <w:r>
              <w:rPr>
                <w:rFonts w:ascii="Times New Roman" w:eastAsia="宋体" w:hAnsi="Times New Roman" w:cs="Times New Roman"/>
                <w:b/>
                <w:bCs/>
                <w:sz w:val="18"/>
                <w:szCs w:val="18"/>
              </w:rPr>
              <w:t xml:space="preserve">申报单量 / 件</w:t>
            </w:r>
          </w:p>
        </w:tc>
        <w:tc>
          <w:tcPr>
            <w:tcW w:w="1500" w:type="dxa"/>
            <w:tcBorders>
              <w:top w:val="single" w:sz="12" w:space="0" w:color="auto"/>
              <w:left w:val="nil"/>
              <w:bottom w:val="single" w:sz="6" w:space="0" w:color="auto"/>
              <w:right w:val="nil"/>
            </w:tcBorders>
            <w:vAlign w:val="center"/>
          </w:tcPr>
          <w:p w14:paraId="22296140" w14:textId="77777777" w:rsidR="00F23EB3" w:rsidRDefault="00000000">
            <w:pPr>
              <w:jc w:val="center"/>
              <w:rPr>
                <w:rFonts w:hint="eastAsia"/>
              </w:rPr>
            </w:pPr>
            <w:r>
              <w:rPr>
                <w:rFonts w:ascii="Times New Roman" w:eastAsia="宋体" w:hAnsi="Times New Roman" w:cs="Times New Roman"/>
                <w:b/>
                <w:bCs/>
                <w:sz w:val="18"/>
                <w:szCs w:val="18"/>
              </w:rPr>
              <w:t xml:space="preserve">平均审核周期 / d</w:t>
            </w:r>
          </w:p>
        </w:tc>
        <w:tc>
          <w:tcPr>
            <w:tcW w:w="1300" w:type="dxa"/>
            <w:tcBorders>
              <w:top w:val="single" w:sz="12" w:space="0" w:color="auto"/>
              <w:left w:val="nil"/>
              <w:bottom w:val="single" w:sz="6" w:space="0" w:color="auto"/>
              <w:right w:val="nil"/>
            </w:tcBorders>
            <w:vAlign w:val="center"/>
          </w:tcPr>
          <w:p w14:paraId="2884A5D9" w14:textId="77777777" w:rsidR="00F23EB3" w:rsidRDefault="00000000">
            <w:pPr>
              <w:jc w:val="center"/>
              <w:rPr>
                <w:rFonts w:hint="eastAsia"/>
              </w:rPr>
            </w:pPr>
            <w:r>
              <w:rPr>
                <w:rFonts w:ascii="Times New Roman" w:eastAsia="宋体" w:hAnsi="Times New Roman" w:cs="Times New Roman"/>
                <w:b/>
                <w:bCs/>
                <w:sz w:val="18"/>
                <w:szCs w:val="18"/>
              </w:rPr>
              <w:t xml:space="preserve">超时未办结 / 件</w:t>
            </w:r>
          </w:p>
        </w:tc>
        <w:tc>
          <w:tcPr>
            <w:tcW w:w="1200" w:type="dxa"/>
            <w:tcBorders>
              <w:top w:val="single" w:sz="12" w:space="0" w:color="auto"/>
              <w:left w:val="nil"/>
              <w:bottom w:val="single" w:sz="6" w:space="0" w:color="auto"/>
              <w:right w:val="nil"/>
            </w:tcBorders>
            <w:vAlign w:val="center"/>
          </w:tcPr>
          <w:p w14:paraId="03DB4842" w14:textId="77777777" w:rsidR="00F23EB3" w:rsidRDefault="00000000">
            <w:pPr>
              <w:jc w:val="center"/>
              <w:rPr>
                <w:rFonts w:hint="eastAsia"/>
              </w:rPr>
            </w:pPr>
            <w:r>
              <w:rPr>
                <w:rFonts w:ascii="Times New Roman" w:eastAsia="宋体" w:hAnsi="Times New Roman" w:cs="Times New Roman"/>
                <w:b/>
                <w:bCs/>
                <w:sz w:val="18"/>
                <w:szCs w:val="18"/>
              </w:rPr>
              <w:t xml:space="preserve">核算差错 / 件</w:t>
            </w:r>
          </w:p>
        </w:tc>
        <w:tc>
          <w:tcPr>
            <w:tcW w:w="1200" w:type="dxa"/>
            <w:tcBorders>
              <w:top w:val="single" w:sz="12" w:space="0" w:color="auto"/>
              <w:left w:val="nil"/>
              <w:bottom w:val="single" w:sz="6" w:space="0" w:color="auto"/>
              <w:right w:val="nil"/>
            </w:tcBorders>
            <w:vAlign w:val="center"/>
          </w:tcPr>
          <w:p w14:paraId="0E6FB7F6" w14:textId="77777777" w:rsidR="00F23EB3" w:rsidRDefault="00000000">
            <w:pPr>
              <w:jc w:val="center"/>
              <w:rPr>
                <w:rFonts w:hint="eastAsia"/>
              </w:rPr>
            </w:pPr>
            <w:r>
              <w:rPr>
                <w:rFonts w:ascii="Times New Roman" w:eastAsia="宋体" w:hAnsi="Times New Roman" w:cs="Times New Roman"/>
                <w:b/>
                <w:bCs/>
                <w:sz w:val="18"/>
                <w:szCs w:val="18"/>
              </w:rPr>
              <w:t xml:space="preserve">人均月查询 / 次</w:t>
            </w:r>
          </w:p>
        </w:tc>
      </w:tr>
      <w:tr w:rsidR="00F23EB3" w14:paraId="2B4C8B81" w14:textId="77777777">
        <w:trPr>
          <w:cantSplit/>
          <w:jc w:val="center"/>
        </w:trPr>
        <w:tc>
          <w:tcPr>
            <w:tcW w:w="1806" w:type="dxa"/>
            <w:tcBorders>
              <w:top w:val="nil"/>
              <w:left w:val="nil"/>
              <w:bottom w:val="nil"/>
              <w:right w:val="nil"/>
            </w:tcBorders>
            <w:vAlign w:val="center"/>
          </w:tcPr>
          <w:p w14:paraId="33F525E3" w14:textId="77777777" w:rsidR="00F23EB3" w:rsidRDefault="00000000">
            <w:pPr>
              <w:rPr>
                <w:rFonts w:hint="eastAsia"/>
              </w:rPr>
            </w:pPr>
            <w:r>
              <w:rPr>
                <w:rFonts w:ascii="Times New Roman" w:eastAsia="宋体" w:hAnsi="Times New Roman" w:cs="Times New Roman"/>
                <w:sz w:val="18"/>
                <w:szCs w:val="18"/>
              </w:rPr>
              <w:t>上线前（线下）</w:t>
            </w:r>
          </w:p>
        </w:tc>
        <w:tc>
          <w:tcPr>
            <w:tcW w:w="1300" w:type="dxa"/>
            <w:tcBorders>
              <w:top w:val="nil"/>
              <w:left w:val="nil"/>
              <w:bottom w:val="nil"/>
              <w:right w:val="nil"/>
            </w:tcBorders>
            <w:vAlign w:val="center"/>
          </w:tcPr>
          <w:p w14:paraId="5EBB44AA"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192</w:t>
            </w:r>
          </w:p>
        </w:tc>
        <w:tc>
          <w:tcPr>
            <w:tcW w:w="1500" w:type="dxa"/>
            <w:tcBorders>
              <w:top w:val="nil"/>
              <w:left w:val="nil"/>
              <w:bottom w:val="nil"/>
              <w:right w:val="nil"/>
            </w:tcBorders>
            <w:vAlign w:val="center"/>
          </w:tcPr>
          <w:p w14:paraId="5146075F"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7</w:t>
            </w:r>
          </w:p>
        </w:tc>
        <w:tc>
          <w:tcPr>
            <w:tcW w:w="1300" w:type="dxa"/>
            <w:tcBorders>
              <w:top w:val="nil"/>
              <w:left w:val="nil"/>
              <w:bottom w:val="nil"/>
              <w:right w:val="nil"/>
            </w:tcBorders>
            <w:vAlign w:val="center"/>
          </w:tcPr>
          <w:p w14:paraId="0695AAA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23</w:t>
            </w:r>
          </w:p>
        </w:tc>
        <w:tc>
          <w:tcPr>
            <w:tcW w:w="1200" w:type="dxa"/>
            <w:tcBorders>
              <w:top w:val="nil"/>
              <w:left w:val="nil"/>
              <w:bottom w:val="nil"/>
              <w:right w:val="nil"/>
            </w:tcBorders>
            <w:vAlign w:val="center"/>
          </w:tcPr>
          <w:p w14:paraId="36C03B5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6.8</w:t>
            </w:r>
          </w:p>
        </w:tc>
        <w:tc>
          <w:tcPr>
            <w:tcW w:w="1200" w:type="dxa"/>
            <w:tcBorders>
              <w:top w:val="nil"/>
              <w:left w:val="nil"/>
              <w:bottom w:val="nil"/>
              <w:right w:val="nil"/>
            </w:tcBorders>
            <w:vAlign w:val="center"/>
          </w:tcPr>
          <w:p w14:paraId="07B0F8FC"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96</w:t>
            </w:r>
          </w:p>
        </w:tc>
      </w:tr>
      <w:tr w:rsidR="00F23EB3" w14:paraId="3BC653B7" w14:textId="77777777">
        <w:trPr>
          <w:cantSplit/>
          <w:jc w:val="center"/>
        </w:trPr>
        <w:tc>
          <w:tcPr>
            <w:tcW w:w="1806" w:type="dxa"/>
            <w:tcBorders>
              <w:top w:val="nil"/>
              <w:left w:val="nil"/>
              <w:bottom w:val="single" w:sz="12" w:space="0" w:color="auto"/>
              <w:right w:val="nil"/>
            </w:tcBorders>
            <w:vAlign w:val="center"/>
          </w:tcPr>
          <w:p w14:paraId="329090EE" w14:textId="77777777" w:rsidR="00F23EB3" w:rsidRDefault="00000000">
            <w:pPr>
              <w:rPr>
                <w:rFonts w:hint="eastAsia"/>
              </w:rPr>
            </w:pPr>
            <w:r>
              <w:rPr>
                <w:rFonts w:ascii="Times New Roman" w:eastAsia="宋体" w:hAnsi="Times New Roman" w:cs="Times New Roman"/>
                <w:sz w:val="18"/>
                <w:szCs w:val="18"/>
              </w:rPr>
              <w:t>上线后（系统）</w:t>
            </w:r>
          </w:p>
        </w:tc>
        <w:tc>
          <w:tcPr>
            <w:tcW w:w="1300" w:type="dxa"/>
            <w:tcBorders>
              <w:top w:val="nil"/>
              <w:left w:val="nil"/>
              <w:bottom w:val="single" w:sz="12" w:space="0" w:color="auto"/>
              <w:right w:val="nil"/>
            </w:tcBorders>
            <w:vAlign w:val="center"/>
          </w:tcPr>
          <w:p w14:paraId="6F14D5B9"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1420</w:t>
            </w:r>
          </w:p>
        </w:tc>
        <w:tc>
          <w:tcPr>
            <w:tcW w:w="1500" w:type="dxa"/>
            <w:tcBorders>
              <w:top w:val="nil"/>
              <w:left w:val="nil"/>
              <w:bottom w:val="single" w:sz="12" w:space="0" w:color="auto"/>
              <w:right w:val="nil"/>
            </w:tcBorders>
            <w:vAlign w:val="center"/>
          </w:tcPr>
          <w:p w14:paraId="0D57FD31"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 xml:space="preserve">2</w:t>
            </w:r>
          </w:p>
        </w:tc>
        <w:tc>
          <w:tcPr>
            <w:tcW w:w="1300" w:type="dxa"/>
            <w:tcBorders>
              <w:top w:val="nil"/>
              <w:left w:val="nil"/>
              <w:bottom w:val="single" w:sz="12" w:space="0" w:color="auto"/>
              <w:right w:val="nil"/>
            </w:tcBorders>
            <w:vAlign w:val="center"/>
          </w:tcPr>
          <w:p w14:paraId="0398F255"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2</w:t>
            </w:r>
          </w:p>
        </w:tc>
        <w:tc>
          <w:tcPr>
            <w:tcW w:w="1200" w:type="dxa"/>
            <w:tcBorders>
              <w:top w:val="nil"/>
              <w:left w:val="nil"/>
              <w:bottom w:val="single" w:sz="12" w:space="0" w:color="auto"/>
              <w:right w:val="nil"/>
            </w:tcBorders>
            <w:vAlign w:val="center"/>
          </w:tcPr>
          <w:p w14:paraId="1D955CD4"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1.2</w:t>
            </w:r>
          </w:p>
        </w:tc>
        <w:tc>
          <w:tcPr>
            <w:tcW w:w="1200" w:type="dxa"/>
            <w:tcBorders>
              <w:top w:val="nil"/>
              <w:left w:val="nil"/>
              <w:bottom w:val="single" w:sz="12" w:space="0" w:color="auto"/>
              <w:right w:val="nil"/>
            </w:tcBorders>
            <w:vAlign w:val="center"/>
          </w:tcPr>
          <w:p w14:paraId="06170277" w14:textId="77777777" w:rsidR="00F23EB3" w:rsidRDefault="00AE7103">
            <w:pPr>
              <w:jc w:val="center"/>
              <w:rPr>
                <w:rFonts w:hint="eastAsia"/>
                <w:lang w:eastAsia="zh-CN"/>
              </w:rPr>
            </w:pPr>
            <w:r>
              <w:rPr>
                <w:rFonts w:ascii="Times New Roman" w:eastAsia="宋体" w:hAnsi="Times New Roman" w:cs="Times New Roman" w:hint="eastAsia"/>
                <w:sz w:val="18"/>
                <w:szCs w:val="18"/>
                <w:lang w:eastAsia="zh-CN"/>
              </w:rPr>
              <w:t>680</w:t>
            </w:r>
          </w:p>
        </w:tc>
      </w:tr>
    </w:tbl>
    <w:p w14:paraId="42866E12" w14:textId="77777777" w:rsidR="00F23EB3" w:rsidRDefault="00000000">
      <w:pPr>
        <w:spacing w:beforeLines="6" w:before="18"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由表 4 可见，系统上线后申报与审核实现全流程线上化，申报单量增至上线前的 7.4 倍，平均审核周期由 7 d 降至 2 d，排行与画像信息的实时可视化也提升了科研人员的参与度。</w:t>
      </w:r>
      <w:bookmarkEnd w:id="0"/>
    </w:p>
    <w:p w14:paraId="3A39732B" w14:textId="77777777" w:rsidR="00F23EB3" w:rsidRDefault="00000000">
      <w:pPr>
        <w:keepNext/>
        <w:keepLines/>
        <w:spacing w:beforeLines="50" w:before="156" w:afterLines="30" w:after="93"/>
        <w:outlineLvl w:val="0"/>
        <w:rPr>
          <w:rFonts w:hint="eastAsia"/>
          <w:lang w:eastAsia="zh-CN"/>
        </w:rPr>
      </w:pPr>
      <w:r>
        <w:rPr>
          <w:rFonts w:ascii="Times New Roman" w:eastAsia="黑体" w:hAnsi="Times New Roman" w:cs="Times New Roman"/>
          <w:sz w:val="24"/>
          <w:szCs w:val="24"/>
          <w:lang w:eastAsia="zh-CN"/>
        </w:rPr>
        <w:t xml:space="preserve">6  结论与展望</w:t>
      </w:r>
    </w:p>
    <w:p w14:paraId="49040F2A" w14:textId="77777777" w:rsidR="00F23EB3" w:rsidRDefault="00000000">
      <w:pPr>
        <w:spacing w:line="300" w:lineRule="auto"/>
        <w:ind w:firstLineChars="200" w:firstLine="420"/>
        <w:rPr>
          <w:rFonts w:hint="eastAsia"/>
          <w:lang w:eastAsia="zh-CN"/>
        </w:rPr>
      </w:pPr>
      <w:r>
        <w:rPr>
          <w:rFonts w:ascii="Times New Roman" w:eastAsia="宋体" w:hAnsi="Times New Roman" w:cs="Times New Roman"/>
          <w:sz w:val="21"/>
          <w:szCs w:val="21"/>
          <w:lang w:eastAsia="zh-CN"/>
        </w:rPr>
        <w:t xml:space="preserve">本文设计并实现了基于 Spring Boot 与 MyBatis 的疾控科研积分管理系统：针对多作者成果提出分段权重分配模型并与守恒型方法作了对比；将指数时间衰减前置于行为积分归一化环节，使标签权重、能力维度得分与人才画像形成量纲一致的统一计算链路；基于有限状态机实现了无第三方依赖的审批工作流引擎。系统运行期间审核周期与积分核算差错显著下降，有效支撑了科研人才的精细化评价与激励。后续将开展 </w:t>
      </w:r>
      <w:r>
        <w:rPr>
          <w:rFonts w:ascii="Times New Roman" w:eastAsia="宋体" w:hAnsi="Times New Roman" w:cs="Times New Roman"/>
          <w:i/>
          <w:iCs/>
          <w:sz w:val="21"/>
          <w:szCs w:val="21"/>
        </w:rPr>
        <w:t>α</w:t>
      </w:r>
      <w:r>
        <w:rPr>
          <w:rFonts w:ascii="Times New Roman" w:eastAsia="宋体" w:hAnsi="Times New Roman" w:cs="Times New Roman"/>
          <w:sz w:val="21"/>
          <w:szCs w:val="21"/>
          <w:lang w:eastAsia="zh-CN"/>
        </w:rPr>
        <w:t>、</w:t>
      </w:r>
      <w:r>
        <w:rPr>
          <w:rFonts w:ascii="Times New Roman" w:eastAsia="宋体" w:hAnsi="Times New Roman" w:cs="Times New Roman"/>
          <w:i/>
          <w:iCs/>
          <w:sz w:val="21"/>
          <w:szCs w:val="21"/>
        </w:rPr>
        <w:t>λ</w:t>
      </w:r>
      <w:r>
        <w:rPr>
          <w:rFonts w:ascii="Times New Roman" w:eastAsia="宋体" w:hAnsi="Times New Roman" w:cs="Times New Roman"/>
          <w:sz w:val="21"/>
          <w:szCs w:val="21"/>
          <w:lang w:eastAsia="zh-CN"/>
        </w:rPr>
        <w:t xml:space="preserve"> 的敏感性分析以提升模型稳健性，并与人事、财务等系统实现数据互通。</w:t>
      </w:r>
    </w:p>
    <w:p w14:paraId="3BC6903B" w14:textId="77777777" w:rsidR="00F23EB3" w:rsidRDefault="00000000">
      <w:pPr>
        <w:spacing w:beforeLines="35" w:before="109" w:afterLines="18" w:after="56"/>
        <w:jc w:val="center"/>
        <w:rPr>
          <w:rFonts w:hint="eastAsia"/>
          <w:lang w:eastAsia="zh-CN"/>
        </w:rPr>
      </w:pPr>
      <w:r>
        <w:rPr>
          <w:rFonts w:ascii="Times New Roman" w:eastAsia="黑体" w:hAnsi="Times New Roman" w:cs="Times New Roman"/>
          <w:sz w:val="24"/>
          <w:szCs w:val="24"/>
          <w:lang w:eastAsia="zh-CN"/>
        </w:rPr>
        <w:lastRenderedPageBreak/>
        <w:t>参考文献</w:t>
      </w:r>
    </w:p>
    <w:p w14:paraId="4B97F655"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 李涛, 关健, 吴沛新. 卫生政策与管理研究领域科技评价体系的思考和建议[J]. 中华医学科研管理杂志, 2023, 36(4): 259-265.</w:t>
      </w:r>
    </w:p>
    <w:p w14:paraId="1FD1FEFC"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[2] 沈杨阳. 国家科研管理机构组织颠覆性技术创新的实践路径[J]. 中国科技论坛, 2026(5): 1-11.</w:t>
      </w:r>
    </w:p>
    <w:p w14:paraId="562FD6CC"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[3] AMARAL P, MAGALHÃES P. Performance-based funding and research productivity: a longitudinal analysis of European universities[J]. Scientometrics, 2024, 129(3): 1587-1612.</w:t>
      </w:r>
    </w:p>
    <w:p w14:paraId="0450345E"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[4] LEI F. Design and implementation assurance of a dynamic indicator system for classified faculty performance evaluation in the post-"breaking the five onlys" era[J]. World Journal of Educational Studies, 2025, 3(9): 16-31.</w:t>
      </w:r>
    </w:p>
    <w:p w14:paraId="13F5AEFA" w14:textId="77777777" w:rsidR="00F23EB3" w:rsidRDefault="00000000">
      <w:pPr>
        <w:spacing w:afterLines="1" w:after="3" w:line="250" w:lineRule="auto"/>
        <w:rPr>
          <w:rFonts w:hint="eastAsia"/>
        </w:rPr>
      </w:pPr>
      <w:r>
        <w:rPr>
          <w:rFonts w:ascii="Times New Roman" w:eastAsia="宋体" w:hAnsi="Times New Roman" w:cs="Times New Roman"/>
          <w:sz w:val="18"/>
          <w:szCs w:val="18"/>
        </w:rPr>
        <w:t>[5] ZHANG Y, LI H, WANG J. A lightweight microservice orchestration framework based on Spring Boot for edge-cloud collaborative computing in industrial IoT[J]. IEEE Internet of Things Journal, 2025, 12(4): 5821-5834.</w:t>
      </w:r>
    </w:p>
    <w:p w14:paraId="5346627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[6] 刘盛, 王占云. 基于SpringBoot+Vue微服务架构的科研样本库管理系统的设计与实现[J]. 信息系统工程, 2025(4): 4-7.</w:t>
      </w:r>
    </w:p>
    <w:p w14:paraId="4E3C718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[7] 季甜甜, 刘冬冬. 基于Vue前端性能的研究与分析[J]. 阜阳师范大学学报(自然科学版), 2024, 41(1): 15-22.</w:t>
      </w:r>
    </w:p>
    <w:p w14:paraId="7FDC435F"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[8] 张岩. 基于Spring Boot的公共卫生服务平台设计[J]. 现代信息技术, 2026, 10(1): 105-110, 116.</w:t>
      </w:r>
    </w:p>
    <w:p w14:paraId="401192F7"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[9] 罗仕鉴, 郭和睿, 钟素萍, 等. 智能体驱动的产品设计用户画像生成方法[J]. 计算机集成制造系统, 2025, 31(11): 3919-3931.</w:t>
      </w:r>
    </w:p>
    <w:p w14:paraId="7D3FE684"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[10] 白菁昊, 庄俊玺. 面向学习者画像的时序动态标签构建及预测方法[J]. 计算机科学, 2026, 53(5): 79-89.</w:t>
      </w:r>
    </w:p>
    <w:p w14:paraId="177B5F86"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[11] 来天平, 王永超, 罗盘, 等. </w:t>
      </w:r>
      <w:bookmarkStart w:id="3" w:name="OLE_LINK17"/>
      <w:r>
        <w:rPr>
          <w:rFonts w:ascii="Times New Roman" w:eastAsia="宋体" w:hAnsi="Times New Roman" w:cs="Times New Roman"/>
          <w:sz w:val="18"/>
          <w:szCs w:val="18"/>
          <w:lang w:eastAsia="zh-CN"/>
        </w:rPr>
        <w:t>基于角色资源级别的权限控制模型的设计与应用研究</w:t>
      </w:r>
      <w:bookmarkEnd w:id="3"/>
      <w:r>
        <w:rPr>
          <w:rFonts w:ascii="Times New Roman" w:eastAsia="宋体" w:hAnsi="Times New Roman" w:cs="Times New Roman"/>
          <w:sz w:val="18"/>
          <w:szCs w:val="18"/>
          <w:lang w:eastAsia="zh-CN"/>
        </w:rPr>
        <w:t xml:space="preserve">[J]. 通信学报, 2024, 45(</w:t>
      </w:r>
      <w:r>
        <w:rPr>
          <w:rFonts w:ascii="Times New Roman" w:eastAsia="宋体" w:hAnsi="Times New Roman" w:cs="Times New Roman" w:hint="eastAsia"/>
          <w:sz w:val="21"/>
          <w:szCs w:val="21"/>
          <w:lang w:eastAsia="zh-CN"/>
        </w:rPr>
        <w:t>S2</w:t>
      </w:r>
      <w:r>
        <w:rPr>
          <w:rFonts w:ascii="Times New Roman" w:eastAsia="宋体" w:hAnsi="Times New Roman" w:cs="Times New Roman"/>
          <w:sz w:val="18"/>
          <w:szCs w:val="18"/>
          <w:lang w:eastAsia="zh-CN"/>
        </w:rPr>
        <w:t>): 153-159.</w:t>
      </w:r>
    </w:p>
    <w:p w14:paraId="730C5E09"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rPr>
        <w:t xml:space="preserve">[12] DURDAG O, COŞKUNÇAY A. Reconfiguring role-based access control via role clustering[J]. </w:t>
      </w:r>
      <w:r>
        <w:rPr>
          <w:rFonts w:ascii="Times New Roman" w:eastAsia="宋体" w:hAnsi="Times New Roman" w:cs="Times New Roman"/>
          <w:sz w:val="18"/>
          <w:szCs w:val="18"/>
          <w:lang w:eastAsia="zh-CN"/>
        </w:rPr>
        <w:t>IEEE Access, 2025, 13: 72984-72993.</w:t>
      </w:r>
    </w:p>
    <w:p w14:paraId="3C806E9D" w14:textId="77777777" w:rsidR="00F23EB3" w:rsidRDefault="00000000">
      <w:pPr>
        <w:spacing w:afterLines="1" w:after="3" w:line="250" w:lineRule="auto"/>
        <w:rPr>
          <w:rFonts w:hint="eastAsia"/>
          <w:lang w:eastAsia="zh-CN"/>
        </w:rPr>
      </w:pPr>
      <w:r>
        <w:rPr>
          <w:rFonts w:ascii="Times New Roman" w:eastAsia="宋体" w:hAnsi="Times New Roman" w:cs="Times New Roman"/>
          <w:sz w:val="18"/>
          <w:szCs w:val="18"/>
          <w:lang w:eastAsia="zh-CN"/>
        </w:rPr>
        <w:t xml:space="preserve">[13] 魏巍. 基于RBAC模型云资源管理系统访问控制权限的设计与实施[J]. 科学技术创新, 2025(2): 122-125.</w:t>
      </w:r>
    </w:p>
    <w:p w14:paraId="262053E1"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[14] 何立富. 前后端分离环境下Spring Security权限系统构建与实现[J]. 电脑编程技巧与维护, 2025(10): 3-7.</w:t>
      </w:r>
    </w:p>
    <w:p w14:paraId="413EA638"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[15] WANG Y C, YANG J Y, WANG Z L. kRedis: multi-tenant in-memory key-value cache partitioning using efficient random sampling-based LRU model[J]. IEEE Transactions on Cloud Computing, 2023, 11(4): 1-18.</w:t>
      </w:r>
    </w:p>
    <w:p w14:paraId="1B7B9720" w14:textId="77777777" w:rsidR="00F23EB3" w:rsidRDefault="00000000">
      <w:pPr>
        <w:spacing w:afterLines="1" w:after="3" w:line="250" w:lineRule="auto"/>
        <w:rPr>
          <w:rFonts w:hint="eastAsia"/>
        </w:rPr>
      </w:pPr>
      <w:r>
        <w:rPr>
          <w:rFonts w:ascii="Times New Roman" w:eastAsia="宋体" w:hAnsi="Times New Roman" w:cs="Times New Roman"/>
          <w:sz w:val="18"/>
          <w:szCs w:val="18"/>
        </w:rPr>
        <w:t xml:space="preserve">[16] 卢超, 杨朝树, 姚政竹, 等. 基于持久内存的B+树索引优化综述[J]. 计算机科学, 2026, 53(1): 77-88.</w:t>
      </w:r>
    </w:p>
    <w:p w14:paraId="6F6165DD" w14:textId="77777777" w:rsidR="00F23EB3" w:rsidRDefault="00F23EB3">
      <w:pPr>
        <w:pBdr>
          <w:bottom w:val="single" w:sz="6" w:space="1" w:color="auto"/>
        </w:pBdr>
        <w:spacing w:beforeLines="18" w:before="56"/>
        <w:rPr>
          <w:rFonts w:hint="eastAsia"/>
        </w:rPr>
      </w:pPr>
    </w:p>
    <w:p w14:paraId="068DB4D1" w14:textId="77777777" w:rsidR="00F23EB3" w:rsidRDefault="00000000">
      <w:pPr>
        <w:spacing w:afterLines="2" w:after="6" w:line="250" w:lineRule="auto"/>
        <w:rPr>
          <w:rFonts w:hint="eastAsia"/>
          <w:lang w:eastAsia="zh-CN"/>
        </w:rPr>
      </w:pPr>
      <w:r>
        <w:rPr>
          <w:rFonts w:ascii="Times New Roman" w:eastAsia="黑体" w:hAnsi="Times New Roman" w:cs="Times New Roman"/>
          <w:sz w:val="18"/>
          <w:szCs w:val="18"/>
          <w:lang w:eastAsia="zh-CN"/>
        </w:rPr>
        <w:t>基金项目：</w:t>
      </w:r>
      <w:r>
        <w:rPr>
          <w:rFonts w:ascii="Times New Roman" w:eastAsia="宋体" w:hAnsi="Times New Roman" w:cs="Times New Roman" w:hint="eastAsia"/>
          <w:sz w:val="21"/>
          <w:szCs w:val="21"/>
          <w:lang w:eastAsia="zh-CN"/>
        </w:rPr>
        <w:t>南通市社科研究课题（网信专项）</w:t>
      </w:r>
      <w:r>
        <w:rPr>
          <w:rFonts w:ascii="Times New Roman" w:eastAsia="宋体" w:hAnsi="Times New Roman" w:cs="Times New Roman"/>
          <w:sz w:val="21"/>
          <w:szCs w:val="21"/>
          <w:lang w:eastAsia="zh-CN"/>
        </w:rPr>
        <w:t>（项目编号：</w:t>
      </w:r>
      <w:r>
        <w:rPr>
          <w:rFonts w:ascii="Times New Roman" w:eastAsia="宋体" w:hAnsi="Times New Roman" w:cs="Times New Roman" w:hint="eastAsia"/>
          <w:sz w:val="21"/>
          <w:szCs w:val="21"/>
          <w:lang w:eastAsia="zh-CN"/>
        </w:rPr>
        <w:t>WA25-6</w:t>
      </w:r>
      <w:r>
        <w:rPr>
          <w:rFonts w:ascii="Times New Roman" w:eastAsia="宋体" w:hAnsi="Times New Roman" w:cs="Times New Roman"/>
          <w:sz w:val="21"/>
          <w:szCs w:val="21"/>
          <w:lang w:eastAsia="zh-CN"/>
        </w:rPr>
        <w:t>）</w:t>
      </w:r>
    </w:p>
    <w:p w14:paraId="055E6E33" w14:textId="77777777" w:rsidR="00F23EB3" w:rsidRDefault="00000000">
      <w:pPr>
        <w:spacing w:line="250" w:lineRule="auto"/>
        <w:rPr>
          <w:rFonts w:hint="eastAsia"/>
          <w:lang w:eastAsia="zh-CN"/>
        </w:rPr>
      </w:pPr>
      <w:r>
        <w:rPr>
          <w:rFonts w:ascii="Times New Roman" w:eastAsia="黑体" w:hAnsi="Times New Roman" w:cs="Times New Roman"/>
          <w:sz w:val="18"/>
          <w:szCs w:val="18"/>
          <w:lang w:eastAsia="zh-CN"/>
        </w:rPr>
        <w:t>作者简介：</w:t>
      </w:r>
      <w:r>
        <w:rPr>
          <w:rFonts w:ascii="Times New Roman" w:eastAsia="宋体" w:hAnsi="Times New Roman" w:cs="Times New Roman"/>
          <w:sz w:val="18"/>
          <w:szCs w:val="18"/>
          <w:lang w:eastAsia="zh-CN"/>
        </w:rPr>
        <w:t>杨文超（</w:t>
      </w:r>
      <w:r>
        <w:rPr>
          <w:rFonts w:ascii="Times New Roman" w:eastAsia="宋体" w:hAnsi="Times New Roman" w:cs="Times New Roman" w:hint="eastAsia"/>
          <w:sz w:val="21"/>
          <w:szCs w:val="21"/>
          <w:lang w:eastAsia="zh-CN"/>
        </w:rPr>
        <w:t>1988</w:t>
      </w:r>
      <w:r>
        <w:rPr>
          <w:rFonts w:ascii="Times New Roman" w:eastAsia="宋体" w:hAnsi="Times New Roman" w:cs="Times New Roman"/>
          <w:sz w:val="18"/>
          <w:szCs w:val="18"/>
          <w:lang w:eastAsia="zh-CN"/>
        </w:rPr>
        <w:t>—），</w:t>
      </w:r>
      <w:r>
        <w:rPr>
          <w:rFonts w:ascii="Times New Roman" w:eastAsia="宋体" w:hAnsi="Times New Roman" w:cs="Times New Roman" w:hint="eastAsia"/>
          <w:sz w:val="21"/>
          <w:szCs w:val="21"/>
          <w:lang w:eastAsia="zh-CN"/>
        </w:rPr>
        <w:t>男</w:t>
      </w:r>
      <w:r>
        <w:rPr>
          <w:rFonts w:ascii="Times New Roman" w:eastAsia="宋体" w:hAnsi="Times New Roman" w:cs="Times New Roman"/>
          <w:sz w:val="18"/>
          <w:szCs w:val="18"/>
          <w:lang w:eastAsia="zh-CN"/>
        </w:rPr>
        <w:t>，</w:t>
      </w:r>
      <w:r>
        <w:rPr>
          <w:rFonts w:ascii="Times New Roman" w:eastAsia="宋体" w:hAnsi="Times New Roman" w:cs="Times New Roman" w:hint="eastAsia"/>
          <w:sz w:val="21"/>
          <w:szCs w:val="21"/>
          <w:lang w:eastAsia="zh-CN"/>
        </w:rPr>
        <w:t>江苏如东</w:t>
      </w:r>
      <w:r>
        <w:rPr>
          <w:rFonts w:ascii="Times New Roman" w:eastAsia="宋体" w:hAnsi="Times New Roman" w:cs="Times New Roman"/>
          <w:sz w:val="18"/>
          <w:szCs w:val="18"/>
          <w:lang w:eastAsia="zh-CN"/>
        </w:rPr>
        <w:t>人，</w:t>
      </w:r>
      <w:r>
        <w:rPr>
          <w:rFonts w:ascii="Times New Roman" w:eastAsia="宋体" w:hAnsi="Times New Roman" w:cs="Times New Roman" w:hint="eastAsia"/>
          <w:sz w:val="21"/>
          <w:szCs w:val="21"/>
          <w:lang w:eastAsia="zh-CN"/>
        </w:rPr>
        <w:t>高级工程师</w:t>
      </w:r>
      <w:r>
        <w:rPr>
          <w:rFonts w:ascii="Times New Roman" w:eastAsia="宋体" w:hAnsi="Times New Roman" w:cs="Times New Roman"/>
          <w:sz w:val="21"/>
          <w:szCs w:val="21"/>
          <w:lang w:eastAsia="zh-CN"/>
        </w:rPr>
        <w:t>/</w:t>
      </w:r>
      <w:r>
        <w:rPr>
          <w:rFonts w:ascii="Times New Roman" w:eastAsia="宋体" w:hAnsi="Times New Roman" w:cs="Times New Roman" w:hint="eastAsia"/>
          <w:sz w:val="21"/>
          <w:szCs w:val="21"/>
          <w:lang w:eastAsia="zh-CN"/>
        </w:rPr>
        <w:t>硕士研究生</w:t>
      </w:r>
      <w:r>
        <w:rPr>
          <w:rFonts w:ascii="Times New Roman" w:eastAsia="宋体" w:hAnsi="Times New Roman" w:cs="Times New Roman"/>
          <w:sz w:val="18"/>
          <w:szCs w:val="18"/>
          <w:lang w:eastAsia="zh-CN"/>
        </w:rPr>
        <w:t>，主要研究方向为科研管理信息化、公共卫生数据分析。E-mail：</w:t>
      </w:r>
      <w:r>
        <w:rPr>
          <w:rFonts w:ascii="Times New Roman" w:eastAsia="宋体" w:hAnsi="Times New Roman" w:cs="Times New Roman" w:hint="eastAsia"/>
          <w:sz w:val="21"/>
          <w:szCs w:val="21"/>
          <w:lang w:eastAsia="zh-CN"/>
        </w:rPr>
        <w:t>573816315@qq.com</w:t>
      </w:r>
    </w:p>
    <w:sectPr w:rsidR="00F23E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5F956" w14:textId="77777777" w:rsidR="00C01D40" w:rsidRDefault="00C01D40" w:rsidP="005B51E2">
      <w:pPr>
        <w:spacing w:after="0" w:line="240" w:lineRule="auto"/>
        <w:rPr>
          <w:rFonts w:hint="eastAsia"/>
        </w:rPr>
      </w:pPr>
      <w:r>
        <w:separator/>
      </w:r>
    </w:p>
  </w:endnote>
  <w:endnote w:type="continuationSeparator" w:id="0">
    <w:p w14:paraId="664F5507" w14:textId="77777777" w:rsidR="00C01D40" w:rsidRDefault="00C01D40" w:rsidP="005B51E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4B579A" w14:textId="77777777" w:rsidR="00C01D40" w:rsidRDefault="00C01D40" w:rsidP="005B51E2">
      <w:pPr>
        <w:spacing w:after="0" w:line="240" w:lineRule="auto"/>
        <w:rPr>
          <w:rFonts w:hint="eastAsia"/>
        </w:rPr>
      </w:pPr>
      <w:r>
        <w:separator/>
      </w:r>
    </w:p>
  </w:footnote>
  <w:footnote w:type="continuationSeparator" w:id="0">
    <w:p w14:paraId="4FDEA99E" w14:textId="77777777" w:rsidR="00C01D40" w:rsidRDefault="00C01D40" w:rsidP="005B51E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C8B"/>
    <w:multiLevelType w:val="hybridMultilevel"/>
    <w:tmpl w:val="C9BCEF2C"/>
    <w:lvl w:ilvl="0" w:tplc="77A0A88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9622C2D"/>
    <w:multiLevelType w:val="hybridMultilevel"/>
    <w:tmpl w:val="DFD2F97E"/>
    <w:lvl w:ilvl="0" w:tplc="EB084F7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9414948">
    <w:abstractNumId w:val="0"/>
  </w:num>
  <w:num w:numId="2" w16cid:durableId="1106999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3D08"/>
    <w:rsid w:val="00001389"/>
    <w:rsid w:val="00021476"/>
    <w:rsid w:val="00030E9E"/>
    <w:rsid w:val="0003457F"/>
    <w:rsid w:val="00047837"/>
    <w:rsid w:val="00083549"/>
    <w:rsid w:val="00086AF0"/>
    <w:rsid w:val="0009541E"/>
    <w:rsid w:val="000A76E1"/>
    <w:rsid w:val="000B2A1D"/>
    <w:rsid w:val="000B2B95"/>
    <w:rsid w:val="000B528F"/>
    <w:rsid w:val="000D662A"/>
    <w:rsid w:val="000E3D8D"/>
    <w:rsid w:val="000E77BA"/>
    <w:rsid w:val="00100C81"/>
    <w:rsid w:val="00102829"/>
    <w:rsid w:val="00105192"/>
    <w:rsid w:val="00105E66"/>
    <w:rsid w:val="00113A0C"/>
    <w:rsid w:val="00121E97"/>
    <w:rsid w:val="00137F41"/>
    <w:rsid w:val="00141A88"/>
    <w:rsid w:val="001509DF"/>
    <w:rsid w:val="0015225F"/>
    <w:rsid w:val="001650C7"/>
    <w:rsid w:val="0016734A"/>
    <w:rsid w:val="00185434"/>
    <w:rsid w:val="00195740"/>
    <w:rsid w:val="001A14C5"/>
    <w:rsid w:val="001A70A1"/>
    <w:rsid w:val="001C1152"/>
    <w:rsid w:val="001C2962"/>
    <w:rsid w:val="001D4AAF"/>
    <w:rsid w:val="00210DD2"/>
    <w:rsid w:val="00225CDE"/>
    <w:rsid w:val="0026328B"/>
    <w:rsid w:val="00272A10"/>
    <w:rsid w:val="00274CDD"/>
    <w:rsid w:val="0029409F"/>
    <w:rsid w:val="002B1675"/>
    <w:rsid w:val="002C1EE2"/>
    <w:rsid w:val="002C433D"/>
    <w:rsid w:val="002E6926"/>
    <w:rsid w:val="0032250C"/>
    <w:rsid w:val="00345497"/>
    <w:rsid w:val="0036506E"/>
    <w:rsid w:val="00395316"/>
    <w:rsid w:val="0039656B"/>
    <w:rsid w:val="003B3A98"/>
    <w:rsid w:val="003E415E"/>
    <w:rsid w:val="003F7C45"/>
    <w:rsid w:val="0041664F"/>
    <w:rsid w:val="00461777"/>
    <w:rsid w:val="004618BD"/>
    <w:rsid w:val="00462952"/>
    <w:rsid w:val="004661CE"/>
    <w:rsid w:val="00467B1E"/>
    <w:rsid w:val="004768A6"/>
    <w:rsid w:val="004868A9"/>
    <w:rsid w:val="004A7606"/>
    <w:rsid w:val="004C3455"/>
    <w:rsid w:val="004D2C3A"/>
    <w:rsid w:val="004D47DF"/>
    <w:rsid w:val="004E7822"/>
    <w:rsid w:val="004F0C29"/>
    <w:rsid w:val="004F3A2B"/>
    <w:rsid w:val="00517EE6"/>
    <w:rsid w:val="005204A7"/>
    <w:rsid w:val="00524E75"/>
    <w:rsid w:val="005253EE"/>
    <w:rsid w:val="00536BF2"/>
    <w:rsid w:val="00555F57"/>
    <w:rsid w:val="005664EE"/>
    <w:rsid w:val="005839D6"/>
    <w:rsid w:val="005A7A10"/>
    <w:rsid w:val="005B2EE8"/>
    <w:rsid w:val="005B51E2"/>
    <w:rsid w:val="005C0270"/>
    <w:rsid w:val="005C08A7"/>
    <w:rsid w:val="005D0273"/>
    <w:rsid w:val="005D183C"/>
    <w:rsid w:val="005D75C4"/>
    <w:rsid w:val="005E7DD3"/>
    <w:rsid w:val="00600D71"/>
    <w:rsid w:val="00667BAE"/>
    <w:rsid w:val="0067117A"/>
    <w:rsid w:val="0068567B"/>
    <w:rsid w:val="006B33D1"/>
    <w:rsid w:val="006B39CC"/>
    <w:rsid w:val="006D3F39"/>
    <w:rsid w:val="006D5CCC"/>
    <w:rsid w:val="006E2399"/>
    <w:rsid w:val="006F38AF"/>
    <w:rsid w:val="00714292"/>
    <w:rsid w:val="007149CA"/>
    <w:rsid w:val="00720321"/>
    <w:rsid w:val="00725CF4"/>
    <w:rsid w:val="007337FF"/>
    <w:rsid w:val="00746169"/>
    <w:rsid w:val="00752232"/>
    <w:rsid w:val="00761940"/>
    <w:rsid w:val="00785AAE"/>
    <w:rsid w:val="007C7F15"/>
    <w:rsid w:val="007E4292"/>
    <w:rsid w:val="007F30F1"/>
    <w:rsid w:val="008165A8"/>
    <w:rsid w:val="008557F7"/>
    <w:rsid w:val="00856FED"/>
    <w:rsid w:val="0087417B"/>
    <w:rsid w:val="00875153"/>
    <w:rsid w:val="008963A2"/>
    <w:rsid w:val="008A1791"/>
    <w:rsid w:val="008B2229"/>
    <w:rsid w:val="008B58C6"/>
    <w:rsid w:val="008C143B"/>
    <w:rsid w:val="008D51EC"/>
    <w:rsid w:val="008D62E4"/>
    <w:rsid w:val="008E3D08"/>
    <w:rsid w:val="008E606E"/>
    <w:rsid w:val="008E74E4"/>
    <w:rsid w:val="009312CD"/>
    <w:rsid w:val="00942F51"/>
    <w:rsid w:val="009731EC"/>
    <w:rsid w:val="009859A3"/>
    <w:rsid w:val="009A549B"/>
    <w:rsid w:val="009B7C32"/>
    <w:rsid w:val="00A25E48"/>
    <w:rsid w:val="00A334E5"/>
    <w:rsid w:val="00A55135"/>
    <w:rsid w:val="00A55145"/>
    <w:rsid w:val="00A93786"/>
    <w:rsid w:val="00AA28B2"/>
    <w:rsid w:val="00AA2A57"/>
    <w:rsid w:val="00AB6A77"/>
    <w:rsid w:val="00AC3431"/>
    <w:rsid w:val="00AE3374"/>
    <w:rsid w:val="00AE7103"/>
    <w:rsid w:val="00AF4551"/>
    <w:rsid w:val="00AF766E"/>
    <w:rsid w:val="00B013CD"/>
    <w:rsid w:val="00B02F4E"/>
    <w:rsid w:val="00B05E48"/>
    <w:rsid w:val="00B071D1"/>
    <w:rsid w:val="00B3598A"/>
    <w:rsid w:val="00B47C72"/>
    <w:rsid w:val="00B62835"/>
    <w:rsid w:val="00B649D3"/>
    <w:rsid w:val="00B73E7B"/>
    <w:rsid w:val="00B87BD5"/>
    <w:rsid w:val="00B92916"/>
    <w:rsid w:val="00BB17A8"/>
    <w:rsid w:val="00BB1B84"/>
    <w:rsid w:val="00BB20B4"/>
    <w:rsid w:val="00BD2C4D"/>
    <w:rsid w:val="00BD6237"/>
    <w:rsid w:val="00BE41C0"/>
    <w:rsid w:val="00BF1437"/>
    <w:rsid w:val="00C01D40"/>
    <w:rsid w:val="00C048F5"/>
    <w:rsid w:val="00C11B7F"/>
    <w:rsid w:val="00C14545"/>
    <w:rsid w:val="00C15A6D"/>
    <w:rsid w:val="00C30F17"/>
    <w:rsid w:val="00C740F4"/>
    <w:rsid w:val="00C95DD2"/>
    <w:rsid w:val="00C97E23"/>
    <w:rsid w:val="00CA3F85"/>
    <w:rsid w:val="00CB2F26"/>
    <w:rsid w:val="00CB74F4"/>
    <w:rsid w:val="00CF7776"/>
    <w:rsid w:val="00D124CA"/>
    <w:rsid w:val="00D45627"/>
    <w:rsid w:val="00D50012"/>
    <w:rsid w:val="00D60DAC"/>
    <w:rsid w:val="00D66A22"/>
    <w:rsid w:val="00D76D93"/>
    <w:rsid w:val="00DA69E2"/>
    <w:rsid w:val="00DE2A7E"/>
    <w:rsid w:val="00DF50EE"/>
    <w:rsid w:val="00E044DE"/>
    <w:rsid w:val="00E06855"/>
    <w:rsid w:val="00E26782"/>
    <w:rsid w:val="00E26FEC"/>
    <w:rsid w:val="00E319C2"/>
    <w:rsid w:val="00E624EF"/>
    <w:rsid w:val="00E92986"/>
    <w:rsid w:val="00E97719"/>
    <w:rsid w:val="00EB170D"/>
    <w:rsid w:val="00EC08BE"/>
    <w:rsid w:val="00EC792E"/>
    <w:rsid w:val="00EF4CC1"/>
    <w:rsid w:val="00F14C49"/>
    <w:rsid w:val="00F23EB3"/>
    <w:rsid w:val="00F255F4"/>
    <w:rsid w:val="00F4510A"/>
    <w:rsid w:val="00F735A6"/>
    <w:rsid w:val="00F80986"/>
    <w:rsid w:val="00F84A46"/>
    <w:rsid w:val="00F85605"/>
    <w:rsid w:val="00F96C39"/>
    <w:rsid w:val="00FA418D"/>
    <w:rsid w:val="00FB3D83"/>
    <w:rsid w:val="00FD348F"/>
    <w:rsid w:val="00FF0B2E"/>
    <w:rsid w:val="00FF53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B85ED"/>
  <w15:chartTrackingRefBased/>
  <w15:docId w15:val="{C1C1DF1A-F42C-4C0C-91D1-141157A7A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3431"/>
    <w:pPr>
      <w:spacing w:after="200" w:line="276" w:lineRule="auto"/>
    </w:pPr>
    <w:rPr>
      <w:kern w:val="0"/>
      <w:sz w:val="22"/>
      <w:lang w:eastAsia="en-US"/>
    </w:rPr>
  </w:style>
  <w:style w:type="paragraph" w:styleId="1">
    <w:name w:val="heading 1"/>
    <w:basedOn w:val="a"/>
    <w:next w:val="a"/>
    <w:link w:val="10"/>
    <w:uiPriority w:val="9"/>
    <w:qFormat/>
    <w:rsid w:val="008E3D0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3D0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3D0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3D0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3D0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E3D0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3D0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3D0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E3D0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3D0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3D0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3D0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3D08"/>
    <w:rPr>
      <w:rFonts w:cstheme="majorBidi"/>
      <w:color w:val="2F5496" w:themeColor="accent1" w:themeShade="BF"/>
      <w:sz w:val="28"/>
      <w:szCs w:val="28"/>
    </w:rPr>
  </w:style>
  <w:style w:type="character" w:customStyle="1" w:styleId="50">
    <w:name w:val="标题 5 字符"/>
    <w:basedOn w:val="a0"/>
    <w:link w:val="5"/>
    <w:uiPriority w:val="9"/>
    <w:semiHidden/>
    <w:rsid w:val="008E3D08"/>
    <w:rPr>
      <w:rFonts w:cstheme="majorBidi"/>
      <w:color w:val="2F5496" w:themeColor="accent1" w:themeShade="BF"/>
      <w:sz w:val="24"/>
      <w:szCs w:val="24"/>
    </w:rPr>
  </w:style>
  <w:style w:type="character" w:customStyle="1" w:styleId="60">
    <w:name w:val="标题 6 字符"/>
    <w:basedOn w:val="a0"/>
    <w:link w:val="6"/>
    <w:uiPriority w:val="9"/>
    <w:semiHidden/>
    <w:rsid w:val="008E3D08"/>
    <w:rPr>
      <w:rFonts w:cstheme="majorBidi"/>
      <w:b/>
      <w:bCs/>
      <w:color w:val="2F5496" w:themeColor="accent1" w:themeShade="BF"/>
    </w:rPr>
  </w:style>
  <w:style w:type="character" w:customStyle="1" w:styleId="70">
    <w:name w:val="标题 7 字符"/>
    <w:basedOn w:val="a0"/>
    <w:link w:val="7"/>
    <w:uiPriority w:val="9"/>
    <w:semiHidden/>
    <w:rsid w:val="008E3D08"/>
    <w:rPr>
      <w:rFonts w:cstheme="majorBidi"/>
      <w:b/>
      <w:bCs/>
      <w:color w:val="595959" w:themeColor="text1" w:themeTint="A6"/>
    </w:rPr>
  </w:style>
  <w:style w:type="character" w:customStyle="1" w:styleId="80">
    <w:name w:val="标题 8 字符"/>
    <w:basedOn w:val="a0"/>
    <w:link w:val="8"/>
    <w:uiPriority w:val="9"/>
    <w:semiHidden/>
    <w:rsid w:val="008E3D08"/>
    <w:rPr>
      <w:rFonts w:cstheme="majorBidi"/>
      <w:color w:val="595959" w:themeColor="text1" w:themeTint="A6"/>
    </w:rPr>
  </w:style>
  <w:style w:type="character" w:customStyle="1" w:styleId="90">
    <w:name w:val="标题 9 字符"/>
    <w:basedOn w:val="a0"/>
    <w:link w:val="9"/>
    <w:uiPriority w:val="9"/>
    <w:semiHidden/>
    <w:rsid w:val="008E3D08"/>
    <w:rPr>
      <w:rFonts w:eastAsiaTheme="majorEastAsia" w:cstheme="majorBidi"/>
      <w:color w:val="595959" w:themeColor="text1" w:themeTint="A6"/>
    </w:rPr>
  </w:style>
  <w:style w:type="paragraph" w:styleId="a3">
    <w:name w:val="Title"/>
    <w:basedOn w:val="a"/>
    <w:next w:val="a"/>
    <w:link w:val="a4"/>
    <w:uiPriority w:val="10"/>
    <w:qFormat/>
    <w:rsid w:val="008E3D0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3D0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3D0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3D0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3D08"/>
    <w:pPr>
      <w:spacing w:before="160" w:after="160"/>
      <w:jc w:val="center"/>
    </w:pPr>
    <w:rPr>
      <w:i/>
      <w:iCs/>
      <w:color w:val="404040" w:themeColor="text1" w:themeTint="BF"/>
    </w:rPr>
  </w:style>
  <w:style w:type="character" w:customStyle="1" w:styleId="a8">
    <w:name w:val="引用 字符"/>
    <w:basedOn w:val="a0"/>
    <w:link w:val="a7"/>
    <w:uiPriority w:val="29"/>
    <w:rsid w:val="008E3D08"/>
    <w:rPr>
      <w:i/>
      <w:iCs/>
      <w:color w:val="404040" w:themeColor="text1" w:themeTint="BF"/>
    </w:rPr>
  </w:style>
  <w:style w:type="paragraph" w:styleId="a9">
    <w:name w:val="List Paragraph"/>
    <w:basedOn w:val="a"/>
    <w:uiPriority w:val="34"/>
    <w:qFormat/>
    <w:rsid w:val="008E3D08"/>
    <w:pPr>
      <w:ind w:left="720"/>
      <w:contextualSpacing/>
    </w:pPr>
  </w:style>
  <w:style w:type="character" w:styleId="aa">
    <w:name w:val="Intense Emphasis"/>
    <w:basedOn w:val="a0"/>
    <w:uiPriority w:val="21"/>
    <w:qFormat/>
    <w:rsid w:val="008E3D08"/>
    <w:rPr>
      <w:i/>
      <w:iCs/>
      <w:color w:val="2F5496" w:themeColor="accent1" w:themeShade="BF"/>
    </w:rPr>
  </w:style>
  <w:style w:type="paragraph" w:styleId="ab">
    <w:name w:val="Intense Quote"/>
    <w:basedOn w:val="a"/>
    <w:next w:val="a"/>
    <w:link w:val="ac"/>
    <w:uiPriority w:val="30"/>
    <w:qFormat/>
    <w:rsid w:val="008E3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3D08"/>
    <w:rPr>
      <w:i/>
      <w:iCs/>
      <w:color w:val="2F5496" w:themeColor="accent1" w:themeShade="BF"/>
    </w:rPr>
  </w:style>
  <w:style w:type="character" w:styleId="ad">
    <w:name w:val="Intense Reference"/>
    <w:basedOn w:val="a0"/>
    <w:uiPriority w:val="32"/>
    <w:qFormat/>
    <w:rsid w:val="008E3D08"/>
    <w:rPr>
      <w:b/>
      <w:bCs/>
      <w:smallCaps/>
      <w:color w:val="2F5496" w:themeColor="accent1" w:themeShade="BF"/>
      <w:spacing w:val="5"/>
    </w:rPr>
  </w:style>
  <w:style w:type="paragraph" w:styleId="ae">
    <w:name w:val="header"/>
    <w:basedOn w:val="a"/>
    <w:link w:val="af"/>
    <w:uiPriority w:val="99"/>
    <w:unhideWhenUsed/>
    <w:rsid w:val="005B51E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B51E2"/>
    <w:rPr>
      <w:kern w:val="0"/>
      <w:sz w:val="18"/>
      <w:szCs w:val="18"/>
      <w:lang w:eastAsia="en-US"/>
    </w:rPr>
  </w:style>
  <w:style w:type="paragraph" w:styleId="af0">
    <w:name w:val="footer"/>
    <w:basedOn w:val="a"/>
    <w:link w:val="af1"/>
    <w:uiPriority w:val="99"/>
    <w:unhideWhenUsed/>
    <w:rsid w:val="005B51E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B51E2"/>
    <w:rPr>
      <w:kern w:val="0"/>
      <w:sz w:val="18"/>
      <w:szCs w:val="18"/>
      <w:lang w:eastAsia="en-US"/>
    </w:rPr>
  </w:style>
  <w:style w:type="character" w:styleId="af2">
    <w:name w:val="Hyperlink"/>
    <w:basedOn w:val="a0"/>
    <w:uiPriority w:val="99"/>
    <w:unhideWhenUsed/>
    <w:rsid w:val="00E92986"/>
    <w:rPr>
      <w:color w:val="0563C1" w:themeColor="hyperlink"/>
      <w:u w:val="single"/>
    </w:rPr>
  </w:style>
  <w:style w:type="character" w:styleId="af3">
    <w:name w:val="Unresolved Mention"/>
    <w:basedOn w:val="a0"/>
    <w:uiPriority w:val="99"/>
    <w:semiHidden/>
    <w:unhideWhenUsed/>
    <w:rsid w:val="00E929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766</TotalTime>
  <Pages>8</Pages>
  <Words>1475</Words>
  <Characters>8414</Characters>
  <Application>Microsoft Office Word</Application>
  <DocSecurity>0</DocSecurity>
  <Lines>70</Lines>
  <Paragraphs>19</Paragraphs>
  <ScaleCrop>false</ScaleCrop>
  <Company/>
  <LinksUpToDate>false</LinksUpToDate>
  <CharactersWithSpaces>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324</cp:revision>
  <cp:lastPrinted>2026-07-22T04:53:00Z</cp:lastPrinted>
  <dcterms:created xsi:type="dcterms:W3CDTF">2026-07-21T03:04:00Z</dcterms:created>
  <dcterms:modified xsi:type="dcterms:W3CDTF">2026-08-28T03:11:00Z</dcterms:modified>
</cp:coreProperties>
</file>