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宋体" w:cs="Times New Roman"/>
          <w:sz w:val="28"/>
          <w:szCs w:val="28"/>
          <w:lang w:eastAsia="zh-CN"/>
        </w:rPr>
        <w:t>杨文超</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，张卫兵</w:t>
      </w:r>
      <w:r>
        <w:rPr>
          <w:rFonts w:hint="eastAsia" w:ascii="Times New Roman" w:hAnsi="Times New Roman" w:eastAsia="宋体" w:cs="Times New Roman"/>
          <w:sz w:val="28"/>
          <w:szCs w:val="28"/>
          <w:vertAlign w:val="superscript"/>
          <w:lang w:val="en-US" w:eastAsia="zh-CN"/>
        </w:rPr>
        <w:t>2*</w:t>
      </w:r>
      <w:r>
        <w:rPr>
          <w:rFonts w:hint="eastAsia" w:ascii="Times New Roman" w:hAnsi="Times New Roman" w:eastAsia="宋体" w:cs="Times New Roman"/>
          <w:sz w:val="28"/>
          <w:szCs w:val="28"/>
          <w:lang w:eastAsia="zh-CN"/>
        </w:rPr>
        <w:t>，练维</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，徐小卫</w:t>
      </w:r>
      <w:r>
        <w:rPr>
          <w:rFonts w:hint="eastAsia" w:ascii="Times New Roman" w:hAnsi="Times New Roman" w:eastAsia="宋体" w:cs="Times New Roman"/>
          <w:sz w:val="28"/>
          <w:szCs w:val="28"/>
          <w:vertAlign w:val="superscript"/>
          <w:lang w:val="en-US" w:eastAsia="zh-CN"/>
        </w:rPr>
        <w:t>3</w:t>
      </w:r>
      <w:r>
        <w:rPr>
          <w:rFonts w:hint="eastAsia" w:ascii="Times New Roman" w:hAnsi="Times New Roman" w:eastAsia="宋体" w:cs="Times New Roman"/>
          <w:sz w:val="28"/>
          <w:szCs w:val="28"/>
          <w:lang w:eastAsia="zh-CN"/>
        </w:rPr>
        <w:t>，王秦</w:t>
      </w:r>
      <w:r>
        <w:rPr>
          <w:rFonts w:hint="eastAsia" w:ascii="Times New Roman" w:hAnsi="Times New Roman" w:eastAsia="宋体"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1</w:t>
      </w:r>
      <w:r>
        <w:rPr>
          <w:rFonts w:hint="eastAsia" w:ascii="Times New Roman" w:hAnsi="Times New Roman" w:eastAsia="宋体" w:cs="Times New Roman"/>
          <w:sz w:val="18"/>
          <w:szCs w:val="18"/>
          <w:lang w:eastAsia="zh-CN"/>
        </w:rPr>
        <w:t>（南通市疾病预防控制中心科研与质量管理科，南通 226001）</w:t>
      </w:r>
    </w:p>
    <w:p w14:paraId="1B48BD5F">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2</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主任室</w:t>
      </w:r>
      <w:r>
        <w:rPr>
          <w:rFonts w:hint="eastAsia" w:ascii="Times New Roman" w:hAnsi="Times New Roman" w:eastAsia="宋体" w:cs="Times New Roman"/>
          <w:sz w:val="18"/>
          <w:szCs w:val="18"/>
          <w:lang w:eastAsia="zh-CN"/>
        </w:rPr>
        <w:t>，南通 226001)</w:t>
      </w:r>
    </w:p>
    <w:p w14:paraId="4DDA8EB6">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3</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信息管理科</w:t>
      </w:r>
      <w:r>
        <w:rPr>
          <w:rFonts w:hint="eastAsia" w:ascii="Times New Roman" w:hAnsi="Times New Roman" w:eastAsia="宋体" w:cs="Times New Roman"/>
          <w:sz w:val="18"/>
          <w:szCs w:val="18"/>
          <w:lang w:eastAsia="zh-CN"/>
        </w:rPr>
        <w:t>，南通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0.7）为核心的动态标签权重模型，将半衰期 4.95 年（λ = 0.14）的指数时间衰减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 与 MyBatis 开发，前端采用 Vue.js，数据层为 MySQL 8.0 并引入 Redis 缓存。系统在南通市疾病预防控制中心运行 3 个月，覆盖 15 个业务科室、270 名科研人员，260 个功能测试用例全部通过；平均审核周期由 7 d 缩短至 2 d，积分核算差错率由 3.54% 降至 0.08%；动态能力标签相对专家标注的准确率为 88.0%、召回率为 84.1%、F1 值为 0.86；500 并发下平均响应时间为 452 ms、缓存命中率保持在 92.5% 以上。结果表明，该系统可提升疾控机构科研人才评价的精细度与审核效率，为同类公共卫生机构的人才评价信息化建设提供了可复用的模型与实现路径。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4"/>
          <w:szCs w:val="24"/>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1"/>
          <w:szCs w:val="21"/>
        </w:rPr>
        <w:t xml:space="preserve">YANG Wen-chao</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ZHANG Wei-bing</w:t>
      </w:r>
      <w:r>
        <w:rPr>
          <w:rFonts w:ascii="Times New Roman" w:hAnsi="Times New Roman" w:eastAsia="宋体" w:cs="Times New Roman"/>
          <w:sz w:val="21"/>
          <w:szCs w:val="21"/>
          <w:vertAlign w:val="superscript"/>
        </w:rPr>
        <w:t xml:space="preserve">2</w:t>
      </w:r>
      <w:r>
        <w:rPr>
          <w:rFonts w:ascii="Times New Roman" w:hAnsi="Times New Roman" w:eastAsia="宋体" w:cs="Times New Roman"/>
          <w:sz w:val="21"/>
          <w:szCs w:val="21"/>
        </w:rPr>
        <w:t xml:space="preserve">, LIAN Wei</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XU Xiao-wei</w:t>
      </w:r>
      <w:r>
        <w:rPr>
          <w:rFonts w:ascii="Times New Roman" w:hAnsi="Times New Roman" w:eastAsia="宋体" w:cs="Times New Roman"/>
          <w:sz w:val="21"/>
          <w:szCs w:val="21"/>
          <w:vertAlign w:val="superscript"/>
        </w:rPr>
        <w:t xml:space="preserve">3</w:t>
      </w:r>
      <w:r>
        <w:rPr>
          <w:rFonts w:ascii="Times New Roman" w:hAnsi="Times New Roman" w:eastAsia="宋体" w:cs="Times New Roman"/>
          <w:sz w:val="21"/>
          <w:szCs w:val="21"/>
        </w:rPr>
        <w:t xml:space="preserve">, WANG Qin</w:t>
      </w:r>
      <w:r>
        <w:rPr>
          <w:rFonts w:ascii="Times New Roman" w:hAnsi="Times New Roman" w:eastAsia="宋体" w:cs="Times New Roman"/>
          <w:sz w:val="21"/>
          <w:szCs w:val="21"/>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w:t>
      </w:r>
      <w:r>
        <w:rPr>
          <w:rFonts w:ascii="Times New Roman" w:hAnsi="Times New Roman" w:eastAsia="宋体" w:cs="Times New Roman"/>
          <w:iCs/>
          <w:sz w:val="18"/>
          <w:szCs w:val="18"/>
          <w:vertAlign w:val="superscript"/>
        </w:rPr>
        <w:t xml:space="preserve">1</w:t>
      </w:r>
      <w:r>
        <w:rPr>
          <w:rFonts w:ascii="Times New Roman" w:hAnsi="Times New Roman" w:eastAsia="宋体" w:cs="Times New Roman"/>
          <w:iCs/>
          <w:sz w:val="18"/>
          <w:szCs w:val="18"/>
        </w:rPr>
        <w:t xml:space="preserve">Division of Research and Quality Management, Nantong Center for Disease Control and Prevention, Nantong 226001, China; </w:t>
      </w:r>
      <w:r>
        <w:rPr>
          <w:rFonts w:ascii="Times New Roman" w:hAnsi="Times New Roman" w:eastAsia="宋体" w:cs="Times New Roman"/>
          <w:iCs/>
          <w:sz w:val="18"/>
          <w:szCs w:val="18"/>
          <w:vertAlign w:val="superscript"/>
        </w:rPr>
        <w:t xml:space="preserve">2</w:t>
      </w:r>
      <w:r>
        <w:rPr>
          <w:rFonts w:ascii="Times New Roman" w:hAnsi="Times New Roman" w:eastAsia="宋体" w:cs="Times New Roman"/>
          <w:iCs/>
          <w:sz w:val="18"/>
          <w:szCs w:val="18"/>
        </w:rPr>
        <w:t xml:space="preserve">Director’s Office, Nantong Center for Disease Control and Prevention, Nantong 226001, China; </w:t>
      </w:r>
      <w:r>
        <w:rPr>
          <w:rFonts w:ascii="Times New Roman" w:hAnsi="Times New Roman" w:eastAsia="宋体" w:cs="Times New Roman"/>
          <w:iCs/>
          <w:sz w:val="18"/>
          <w:szCs w:val="18"/>
          <w:vertAlign w:val="superscript"/>
        </w:rPr>
        <w:t xml:space="preserve">3</w:t>
      </w:r>
      <w:r>
        <w:rPr>
          <w:rFonts w:ascii="Times New Roman" w:hAnsi="Times New Roman" w:eastAsia="宋体" w:cs="Times New Roman"/>
          <w:iCs/>
          <w:sz w:val="18"/>
          <w:szCs w:val="18"/>
        </w:rPr>
        <w:t xml:space="preserve">Division of Information Management, Nantong Center for Disease Control and Prevention, Nantong 226001,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(alpha = 0.7), with an exponential time decay of a 4.95-year half-life (lambda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The system is developed with Spring Boot and MyBatis, with a Vue.js front end, MySQL 8.0 and a Redis cache. After three months of operation at Nantong CDC, covering 15 departments and 270 researchers, all 260 functional test cases pass; the approval cycle is shortened from 7 d to 2 d, the points-accounting error rate drops from 3.54% to 0.08%, the dynamic capability tagging reaches 88.0% precision, 84.1% recall and 0.86 F1 against expert annotation, and under 500 concurrent users the average response time is 452 ms with a cache hit ratio above 92.5%.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李涛等[1]从指标体系角度探讨了科研评价，黄钊等[2]与李少琼等[3]分别面向疾控数字化系统与疾控信息化评价指标展开研究，但均聚焦机构层面而非个人；杨思洛等[4]梳理了“破五唯”导向下科研成果评价的制度表征，Amaral 等[5]、沈杨阳[6]与 Lei[7]分别从绩效拨款、组织机制与分类绩效角度探讨了科研评价，但评价对象同样以机构为主；罗仕鉴等[8]与白菁昊等[9]验证了用户画像与时序动态标签方法的有效性，胡晓莹等[10]与 Chen 等[11]将指数加权移动平均与时间衰减引入用户兴趣建模，但均未考虑科研成果的长周期性与时效衰减。两条线索至今没有接上：评价指标的研究停在机构层面，动态标签的研究面向的是消费与学习行为。本文的做法是把成果积分直接当作行为信号接入标签权重的更新，再由标签权重映射到能力维度，让量化与画像共用一条计算通路。沿着这条通路，多作者成果的积分如何分配、标签权重如何随时间衰减、审批环节如何免发布调整，是必须先解决的三个具体问题。</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系统采用四层架构：表现层由 Spring Boot 的 @RestController 接收 HTTP 请求并调用业务服务，与 Vue.js 前端构成前后端分离结构[12-13]；业务逻辑层封装积分计算、审核流程控制、画像生成与排行统计等规则并管理事务；数据访问层通过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轻量级服务的组织方式一致[14,15]，该技术栈在科研样本库、考试等业务系统中已有成熟应用[12,17]。可视化层集成 Apache ECharts[16]，数据库选用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图1  系统分层架构</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构成的三维动态标签体系[8-9]；统计分析模块的“人才晴雨表”仪表盘集成 Apache ECharts[16]，支持多维交叉统计与下钻；申报审核模块内置轻量级工作流引擎驱动三级审批；系统管理模块采用 RBAC 模型构建用户—角色—权限三层架构[18-21]，并承担基础数据维护与操作日志审计。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多作者成果的积分分配是量化评价的难点：长期沿用以第一作者、通讯作者为统计口径的做法会抹杀普通合著者的贡献[23]，而分数分配法、调和计数法等经典方案[24]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S</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作者获得的积分；</w:t>
      </w:r>
      <w:r>
        <w:rPr>
          <w:rFonts w:ascii="Times New Roman" w:hAnsi="Times New Roman" w:eastAsia="宋体" w:cs="Times New Roman"/>
          <w:i/>
          <w:iCs/>
          <w:sz w:val="21"/>
          <w:szCs w:val="21"/>
          <w:lang w:eastAsia="zh-CN"/>
        </w:rPr>
        <w:t>S</w:t>
      </w:r>
      <w:r>
        <w:rPr>
          <w:rFonts w:ascii="Times New Roman" w:hAnsi="Times New Roman" w:eastAsia="宋体" w:cs="Times New Roman"/>
          <w:sz w:val="21"/>
          <w:szCs w:val="21"/>
          <w:vertAlign w:val="subscript"/>
          <w:lang w:eastAsia="zh-CN"/>
        </w:rPr>
        <w:t>total</w:t>
      </w:r>
      <w:r>
        <w:rPr>
          <w:rFonts w:hint="eastAsia" w:ascii="Times New Roman" w:hAnsi="Times New Roman" w:eastAsia="宋体" w:cs="Times New Roman"/>
          <w:sz w:val="21"/>
          <w:szCs w:val="21"/>
          <w:lang w:eastAsia="zh-CN"/>
        </w:rPr>
        <w:t xml:space="preserve"> 为成果标准积分；</w:t>
      </w:r>
      <w:r>
        <w:rPr>
          <w:rFonts w:ascii="Times New Roman" w:hAnsi="Times New Roman" w:eastAsia="宋体" w:cs="Times New Roman"/>
          <w:i/>
          <w:iCs/>
          <w:sz w:val="21"/>
          <w:szCs w:val="21"/>
          <w:lang w:eastAsia="zh-CN"/>
        </w:rPr>
        <w:t>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[23,24]的归类。系统默认采用名义分值制以契合协作导向，需控制年度积分总量的科室可在后台切换为归一化模式（式(3)）。</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表1  多作者积分分配方法对比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8"/>
                <w:szCs w:val="18"/>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8"/>
                <w:szCs w:val="18"/>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8"/>
                <w:szCs w:val="18"/>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8"/>
                <w:szCs w:val="18"/>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8"/>
                <w:szCs w:val="18"/>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8"/>
                <w:szCs w:val="18"/>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8"/>
                <w:szCs w:val="18"/>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8"/>
                <w:szCs w:val="18"/>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8"/>
                <w:szCs w:val="18"/>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8"/>
                <w:szCs w:val="18"/>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8"/>
                <w:szCs w:val="18"/>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8"/>
                <w:szCs w:val="18"/>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8"/>
                <w:szCs w:val="18"/>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8"/>
                <w:szCs w:val="18"/>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8"/>
                <w:szCs w:val="18"/>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8"/>
                <w:szCs w:val="18"/>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8"/>
                <w:szCs w:val="18"/>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8"/>
                <w:szCs w:val="18"/>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8"/>
                <w:szCs w:val="18"/>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8"/>
                <w:szCs w:val="18"/>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8"/>
                <w:szCs w:val="18"/>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8"/>
                <w:szCs w:val="18"/>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8"/>
                <w:szCs w:val="18"/>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s̃</w:t>
      </w:r>
      <w:r>
        <w:rPr>
          <w:rFonts w:hint="eastAsia" w:ascii="Times New Roman" w:hAnsi="Times New Roman" w:eastAsia="宋体" w:cs="Times New Roman"/>
          <w:sz w:val="21"/>
          <w:szCs w:val="21"/>
          <w:vertAlign w:val="subscript"/>
          <w:lang w:eastAsia="zh-CN"/>
        </w:rPr>
        <w:t>i,u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W</w:t>
      </w:r>
      <w:r>
        <w:rPr>
          <w:rFonts w:hint="eastAsia" w:ascii="Times New Roman" w:hAnsi="Times New Roman" w:eastAsia="宋体" w:cs="Times New Roman"/>
          <w:sz w:val="21"/>
          <w:szCs w:val="21"/>
          <w:vertAlign w:val="superscript"/>
          <w:lang w:eastAsia="zh-CN"/>
        </w:rPr>
        <w:t>(k)</w:t>
      </w:r>
      <w:r>
        <w:rPr>
          <w:rFonts w:hint="eastAsia" w:ascii="Times New Roman" w:hAnsi="Times New Roman" w:eastAsia="宋体" w:cs="Times New Roman"/>
          <w:sz w:val="21"/>
          <w:szCs w:val="21"/>
          <w:vertAlign w:val="subscript"/>
          <w:lang w:eastAsia="zh-CN"/>
        </w:rPr>
        <w:t>t,u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W</w:t>
      </w:r>
      <w:r>
        <w:rPr>
          <w:rFonts w:hint="eastAsia" w:ascii="Times New Roman" w:hAnsi="Times New Roman" w:eastAsia="宋体" w:cs="Times New Roman"/>
          <w:sz w:val="21"/>
          <w:szCs w:val="21"/>
          <w:vertAlign w:val="superscript"/>
          <w:lang w:eastAsia="zh-CN"/>
        </w:rPr>
        <w:t>(0)</w:t>
      </w:r>
      <w:r>
        <w:rPr>
          <w:rFonts w:hint="eastAsia" w:ascii="Times New Roman" w:hAnsi="Times New Roman" w:eastAsia="宋体" w:cs="Times New Roman"/>
          <w:sz w:val="21"/>
          <w:szCs w:val="21"/>
          <w:vertAlign w:val="subscript"/>
          <w:lang w:eastAsia="zh-CN"/>
        </w:rPr>
        <w:t>t,u</w:t>
      </w:r>
      <w:r>
        <w:rPr>
          <w:rFonts w:hint="eastAsia" w:ascii="Times New Roman" w:hAnsi="Times New Roman" w:eastAsia="宋体" w:cs="Times New Roman"/>
          <w:sz w:val="21"/>
          <w:szCs w:val="21"/>
          <w:lang w:eastAsia="zh-CN"/>
        </w:rPr>
        <w:t xml:space="preserve"> 取 0; </w:t>
      </w:r>
      <w:r>
        <w:rPr>
          <w:rFonts w:hint="eastAsia" w:ascii="Times New Roman" w:hAnsi="Times New Roman" w:eastAsia="宋体" w:cs="Times New Roman"/>
          <w:i/>
          <w:sz w:val="21"/>
          <w:szCs w:val="21"/>
          <w:lang w:eastAsia="zh-CN"/>
        </w:rPr>
        <w:t>s</w:t>
      </w:r>
      <w:r>
        <w:rPr>
          <w:rFonts w:hint="eastAsia" w:ascii="Times New Roman" w:hAnsi="Times New Roman" w:eastAsia="宋体" w:cs="Times New Roman"/>
          <w:sz w:val="21"/>
          <w:szCs w:val="21"/>
          <w:vertAlign w:val="subscript"/>
          <w:lang w:eastAsia="zh-CN"/>
        </w:rPr>
        <w:t>i,u</w:t>
      </w:r>
      <w:r>
        <w:rPr>
          <w:rFonts w:hint="eastAsia" w:ascii="Times New Roman" w:hAnsi="Times New Roman" w:eastAsia="宋体" w:cs="Times New Roman"/>
          <w:sz w:val="21"/>
          <w:szCs w:val="21"/>
          <w:lang w:eastAsia="zh-CN"/>
        </w:rPr>
        <w:t xml:space="preserve"> 为其在行为 </w:t>
      </w:r>
      <w:r>
        <w:rPr>
          <w:rFonts w:hint="eastAsia" w:ascii="Times New Roman" w:hAnsi="Times New Roman" w:eastAsia="宋体" w:cs="Times New Roman"/>
          <w:i/>
          <w:sz w:val="21"/>
          <w:szCs w:val="21"/>
          <w:lang w:eastAsia="zh-CN"/>
        </w:rPr>
        <w:t>i</w:t>
      </w:r>
      <w:r>
        <w:rPr>
          <w:rFonts w:hint="eastAsia" w:ascii="Times New Roman" w:hAnsi="Times New Roman" w:eastAsia="宋体" w:cs="Times New Roman"/>
          <w:sz w:val="21"/>
          <w:szCs w:val="21"/>
          <w:lang w:eastAsia="zh-CN"/>
        </w:rPr>
        <w:t xml:space="preserve"> 上的原始积分；</w:t>
      </w:r>
      <w:r>
        <w:rPr>
          <w:rFonts w:hint="eastAsia" w:ascii="Times New Roman" w:hAnsi="Times New Roman" w:eastAsia="宋体" w:cs="Times New Roman"/>
          <w:i/>
          <w:sz w:val="21"/>
          <w:szCs w:val="21"/>
          <w:lang w:eastAsia="zh-CN"/>
        </w:rPr>
        <w:t>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S</w:t>
      </w:r>
      <w:r>
        <w:rPr>
          <w:rFonts w:hint="eastAsia" w:ascii="Times New Roman" w:hAnsi="Times New Roman" w:eastAsia="宋体" w:cs="Times New Roman"/>
          <w:sz w:val="21"/>
          <w:szCs w:val="21"/>
          <w:vertAlign w:val="subscript"/>
          <w:lang w:eastAsia="zh-CN"/>
        </w:rPr>
        <w:t>max,t</w:t>
      </w:r>
      <w:r>
        <w:rPr>
          <w:rFonts w:hint="eastAsia" w:ascii="Times New Roman" w:hAnsi="Times New Roman" w:eastAsia="宋体" w:cs="Times New Roman"/>
          <w:sz w:val="21"/>
          <w:szCs w:val="21"/>
          <w:lang w:eastAsia="zh-CN"/>
        </w:rPr>
        <w:t xml:space="preserve"> 为本周期全中心在标签 </w:t>
      </w:r>
      <w:r>
        <w:rPr>
          <w:rFonts w:hint="eastAsia" w:ascii="Times New Roman" w:hAnsi="Times New Roman" w:eastAsia="宋体" w:cs="Times New Roman"/>
          <w:i/>
          <w:sz w:val="21"/>
          <w:szCs w:val="21"/>
          <w:lang w:eastAsia="zh-CN"/>
        </w:rPr>
        <w:t>t</w:t>
      </w:r>
      <w:r>
        <w:rPr>
          <w:rFonts w:hint="eastAsia" w:ascii="Times New Roman" w:hAnsi="Times New Roman" w:eastAsia="宋体" w:cs="Times New Roman"/>
          <w:sz w:val="21"/>
          <w:szCs w:val="21"/>
          <w:lang w:eastAsia="zh-CN"/>
        </w:rPr>
        <w:t xml:space="preserve"> 下的最高行为积分，用于将行为项归一化至 [0, 1]; </w:t>
      </w:r>
      <w:r>
        <w:rPr>
          <w:rFonts w:hint="eastAsia" w:ascii="Times New Roman" w:hAnsi="Times New Roman" w:eastAsia="宋体" w:cs="Times New Roman"/>
          <w:i/>
          <w:sz w:val="21"/>
          <w:szCs w:val="21"/>
          <w:lang w:eastAsia="zh-CN"/>
        </w:rPr>
        <w:t>w</w:t>
      </w:r>
      <w:r>
        <w:rPr>
          <w:rFonts w:hint="eastAsia"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w</w:t>
      </w:r>
      <w:r>
        <w:rPr>
          <w:rFonts w:hint="eastAsia"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 1; </w:t>
      </w:r>
      <w:r>
        <w:rPr>
          <w:rFonts w:hint="eastAsia" w:ascii="Times New Roman" w:hAnsi="Times New Roman" w:eastAsia="宋体" w:cs="Times New Roman"/>
          <w:i/>
          <w:sz w:val="21"/>
          <w:szCs w:val="21"/>
          <w:lang w:eastAsia="zh-CN"/>
        </w:rPr>
        <w:t>τ</w:t>
      </w:r>
      <w:r>
        <w:rPr>
          <w:rFonts w:hint="eastAsia" w:ascii="Times New Roman" w:hAnsi="Times New Roman" w:eastAsia="宋体" w:cs="Times New Roman"/>
          <w:sz w:val="21"/>
          <w:szCs w:val="21"/>
          <w:vertAlign w:val="subscript"/>
          <w:lang w:eastAsia="zh-CN"/>
        </w:rPr>
        <w:t>now</w:t>
      </w:r>
      <w:r>
        <w:rPr>
          <w:rFonts w:hint="eastAsia" w:ascii="Times New Roman" w:hAnsi="Times New Roman" w:eastAsia="宋体" w:cs="Times New Roman"/>
          <w:sz w:val="21"/>
          <w:szCs w:val="21"/>
          <w:lang w:eastAsia="zh-CN"/>
        </w:rPr>
        <w:t xml:space="preserve"> 为本周期期末时刻，</w:t>
      </w:r>
      <w:r>
        <w:rPr>
          <w:rFonts w:hint="eastAsia" w:ascii="Times New Roman" w:hAnsi="Times New Roman" w:eastAsia="宋体" w:cs="Times New Roman"/>
          <w:i/>
          <w:sz w:val="21"/>
          <w:szCs w:val="21"/>
          <w:lang w:eastAsia="zh-CN"/>
        </w:rPr>
        <w:t>τ</w:t>
      </w:r>
      <w:r>
        <w:rPr>
          <w:rFonts w:hint="eastAsia"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为成果完成时间。需要指出的是，式(4) 的衰减因子只处理周期内部的时效差异，跨周期的时效由式(5) 的指数加权承担，两级衰减各司其职，不重复计算同一段时间。</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w:t>
      </w:r>
      <w:r>
        <w:rPr>
          <w:rFonts w:hint="eastAsia" w:ascii="Times New Roman" w:hAnsi="Times New Roman" w:eastAsia="宋体" w:cs="Times New Roman"/>
          <w:i/>
          <w:sz w:val="21"/>
          <w:szCs w:val="21"/>
          <w:lang w:eastAsia="zh-CN"/>
        </w:rPr>
        <w:t>α</w:t>
      </w:r>
      <w:r>
        <w:rPr>
          <w:rFonts w:hint="eastAsia" w:ascii="Times New Roman" w:hAnsi="Times New Roman" w:eastAsia="宋体" w:cs="Times New Roman"/>
          <w:sz w:val="21"/>
          <w:szCs w:val="21"/>
          <w:lang w:eastAsia="zh-CN"/>
        </w:rPr>
        <w:t xml:space="preserve"> 取 0.7，即最新周期贡献占 70%、历史累积占 30%，各期权重按 </w:t>
      </w:r>
      <w:r>
        <w:rPr>
          <w:rFonts w:hint="eastAsia" w:ascii="Times New Roman" w:hAnsi="Times New Roman" w:eastAsia="宋体" w:cs="Times New Roman"/>
          <w:i/>
          <w:sz w:val="21"/>
          <w:szCs w:val="21"/>
          <w:lang w:eastAsia="zh-CN"/>
        </w:rPr>
        <w:t>α</w:t>
      </w:r>
      <w:r>
        <w:rPr>
          <w:rFonts w:hint="eastAsia" w:ascii="Times New Roman" w:hAnsi="Times New Roman" w:eastAsia="宋体" w:cs="Times New Roman"/>
          <w:sz w:val="21"/>
          <w:szCs w:val="21"/>
          <w:lang w:eastAsia="zh-CN"/>
        </w:rPr>
        <w:t xml:space="preserve">(1 − </w:t>
      </w:r>
      <w:r>
        <w:rPr>
          <w:rFonts w:hint="eastAsia" w:ascii="Times New Roman" w:hAnsi="Times New Roman" w:eastAsia="宋体" w:cs="Times New Roman"/>
          <w:i/>
          <w:sz w:val="21"/>
          <w:szCs w:val="21"/>
          <w:lang w:eastAsia="zh-CN"/>
        </w:rPr>
        <w:t>α</w:t>
      </w:r>
      <w:r>
        <w:rPr>
          <w:rFonts w:hint="eastAsia" w:ascii="Times New Roman" w:hAnsi="Times New Roman" w:eastAsia="宋体" w:cs="Times New Roman"/>
          <w:sz w:val="21"/>
          <w:szCs w:val="21"/>
          <w:lang w:eastAsia="zh-CN"/>
        </w:rPr>
        <w:t>)</w:t>
      </w:r>
      <w:r>
        <w:rPr>
          <w:rFonts w:hint="eastAsia" w:ascii="Times New Roman" w:hAnsi="Times New Roman" w:eastAsia="宋体" w:cs="Times New Roman"/>
          <w:sz w:val="21"/>
          <w:szCs w:val="21"/>
          <w:vertAlign w:val="superscript"/>
          <w:lang w:eastAsia="zh-CN"/>
        </w:rPr>
        <w:t>j</w:t>
      </w:r>
      <w:r>
        <w:rPr>
          <w:rFonts w:hint="eastAsia" w:ascii="Times New Roman" w:hAnsi="Times New Roman" w:eastAsia="宋体" w:cs="Times New Roman"/>
          <w:sz w:val="21"/>
          <w:szCs w:val="21"/>
          <w:lang w:eastAsia="zh-CN"/>
        </w:rPr>
        <w:t xml:space="preserve"> 衰减，最近 3 个年度周期累计贡献约 97.3%，与事业单位近三年考核口径相吻合，兼顾近期活跃度与资深人员的积累；时间衰减系数取 </w:t>
      </w:r>
      <w:r>
        <w:rPr>
          <w:rFonts w:hint="eastAsia" w:ascii="Times New Roman" w:hAnsi="Times New Roman" w:eastAsia="宋体" w:cs="Times New Roman"/>
          <w:i/>
          <w:sz w:val="21"/>
          <w:szCs w:val="21"/>
          <w:lang w:eastAsia="zh-CN"/>
        </w:rPr>
        <w:t>λ</w:t>
      </w:r>
      <w:r>
        <w:rPr>
          <w:rFonts w:hint="eastAsia" w:ascii="Times New Roman" w:hAnsi="Times New Roman" w:eastAsia="宋体" w:cs="Times New Roman"/>
          <w:sz w:val="21"/>
          <w:szCs w:val="21"/>
          <w:lang w:eastAsia="zh-CN"/>
        </w:rPr>
        <w:t xml:space="preserve"> = 0.14，对应半衰期 ln2</w:t>
      </w:r>
      <w:r>
        <w:rPr>
          <w:rFonts w:hint="eastAsia" w:ascii="Times New Roman" w:hAnsi="Times New Roman" w:eastAsia="宋体" w:cs="Times New Roman"/>
          <w:i/>
          <w:sz w:val="21"/>
          <w:szCs w:val="21"/>
          <w:lang w:eastAsia="zh-CN"/>
        </w:rPr>
        <w:t>/λ</w:t>
      </w:r>
      <w:r>
        <w:rPr>
          <w:rFonts w:hint="eastAsia" w:ascii="Times New Roman" w:hAnsi="Times New Roman" w:eastAsia="宋体" w:cs="Times New Roman"/>
          <w:sz w:val="21"/>
          <w:szCs w:val="21"/>
          <w:lang w:eastAsia="zh-CN"/>
        </w:rPr>
        <w:t xml:space="preserve"> ≈ 4.95 年、年衰减约 13.1%，与事业单位 5 年聘期基本一致(5 年前贡献衰减至约 50%, </w:t>
      </w:r>
      <w:r>
        <w:rPr>
          <w:rFonts w:hint="eastAsia" w:ascii="Times New Roman" w:hAnsi="Times New Roman" w:eastAsia="宋体" w:cs="Times New Roman"/>
          <w:i/>
          <w:sz w:val="21"/>
          <w:szCs w:val="21"/>
          <w:lang w:eastAsia="zh-CN"/>
        </w:rPr>
        <w:t>e</w:t>
      </w:r>
      <w:r>
        <w:rPr>
          <w:rFonts w:hint="eastAsia" w:ascii="Times New Roman" w:hAnsi="Times New Roman" w:eastAsia="宋体" w:cs="Times New Roman"/>
          <w:sz w:val="21"/>
          <w:szCs w:val="21"/>
          <w:vertAlign w:val="superscript"/>
          <w:lang w:eastAsia="zh-CN"/>
        </w:rPr>
        <w:t>−0.14×5</w:t>
      </w:r>
      <w:r>
        <w:rPr>
          <w:rFonts w:hint="eastAsia" w:ascii="Times New Roman" w:hAnsi="Times New Roman" w:eastAsia="宋体" w:cs="Times New Roman"/>
          <w:sz w:val="21"/>
          <w:szCs w:val="21"/>
          <w:lang w:eastAsia="zh-CN"/>
        </w:rPr>
        <w:t xml:space="preserve"> ≈ 49.7%)，既避免成果永久有效导致评价僵化，也防止衰减过快挫伤长期积累型科研人员的积极性。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M ∈ RT×D, T 为标签总数，D 为能力维度数（本系统取 D = 16，各维度名称如图2所示）。元素 mt,d ∈ [0, 1] 表示标签 t 对维度 d 的贡献度，满足 Σdmt,d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中的 W(k)t,u)的加权和（式(6)）；由于式(4)已在行为积分层面完成时间衰减修正，式(6)无需再次引入衰减因子。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sz w:val="21"/>
          <w:szCs w:val="21"/>
          <w:vertAlign w:val="subscript"/>
          <w:lang w:eastAsia="zh-CN"/>
        </w:rPr>
        <w:t>d,u</w:t>
      </w:r>
      <w:r>
        <w:rPr>
          <w:rFonts w:hint="eastAsia" w:ascii="Times New Roman" w:hAnsi="Times New Roman" w:eastAsia="宋体" w:cs="Times New Roman"/>
          <w:sz w:val="21"/>
          <w:szCs w:val="21"/>
          <w:lang w:eastAsia="zh-CN"/>
        </w:rPr>
        <w:t xml:space="preserve"> = 60. 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图2  人才画像能力雷达图</w:t>
      </w:r>
    </w:p>
    <w:p w14:paraId="3116A64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针对疾控中心审核流程相对固定但存在微调需求的特点，本文实现了无第三方框架依赖的状态机工作流引擎。相比基于 BPMN 2.0 的全流程引擎或依赖 Drools 等规则引擎的方案[25-26]，本引擎仅保留流程定义、实例管理与状态流转三类职责，以状态机为核心驱动。引擎定义草稿、待初审、初审驳回、待复核、复核驳回、待终审、终审驳回与终审通过 8 种状态及 7 种转换事件：草稿经提交进入待初审，初审、复核通过后依次进入待复核、待终审，任一环节驳回则回退至对应驳回态。各状态的处理人、处理时限与下一状态由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系统引入 Redis 缓存应对高频积分查询，采用 Cache-Aside 模式并以空值缓存与分布式锁分别防止缓存穿透与击穿，热点键的识别与分区沿用集群缓存中的热点合并做法[27]，实测缓存命中率在 50–500 并发下保持在 92.5% 以上（表3）。数据库层面按持久内存 B+ 树索引的优化结论[28]为核心查询路径建立联合索引，并调整了 InnoDB 的缓冲池与刷盘参数。安全方面整合 Spring Security 与 JWT 实现无状态认证[22,29]；涉及的学历、职称与成果数据按《中华人民共和国个人信息保护法》实施最小必要采集与分级授权访问，敏感字段脱敏并留存审计日志。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测试环境为 4 核 CPU / 32 GB 内存、Ubuntu 24.04 LTS、OpenJDK 21、MySQL 8.0 与 Redis 7.2，压力测试工具为 Apache JMeter。按五大模块设计的功能测试用例覆盖正常流程、边界条件与异常输入，缺陷修复后的回归测试结果如表2所示，260 个用例全部通过；并发梯度按开源 Web 项目性能测试的常见做法设置[30]，核心接口性能与缓存命中率如表3所示。</w:t>
      </w:r>
    </w:p>
    <w:p w14:paraId="38454883">
      <w:pPr>
        <w:keepNext/>
        <w:keepLines/>
        <w:spacing w:before="37" w:beforeLines="12" w:after="18" w:afterLines="6"/>
        <w:jc w:val="center"/>
        <w:rPr>
          <w:rFonts w:hint="eastAsia"/>
        </w:rPr>
      </w:pPr>
      <w:r>
        <w:rPr>
          <w:rFonts w:hint="eastAsia" w:ascii="Times New Roman" w:hAnsi="Times New Roman" w:eastAsia="宋体" w:cs="Times New Roman"/>
          <w:b/>
          <w:sz w:val="18"/>
          <w:szCs w:val="18"/>
        </w:rPr>
        <w:t>表2</w:t>
      </w:r>
      <w:r>
        <w:rPr>
          <w:rFonts w:hint="eastAsia" w:ascii="Times New Roman" w:hAnsi="Times New Roman" w:eastAsia="宋体" w:cs="Times New Roman"/>
          <w:sz w:val="18"/>
          <w:szCs w:val="18"/>
        </w:rPr>
        <w:t xml:space="preserve">  功能测试回归结果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406"/>
        <w:gridCol w:w="1150"/>
        <w:gridCol w:w="1150"/>
        <w:gridCol w:w="1150"/>
        <w:gridCol w:w="1150"/>
        <w:gridCol w:w="1150"/>
        <w:gridCol w:w="1150"/>
      </w:tblGrid>
      <w:tr w14:paraId="405FCD9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406" w:type="dxa"/>
            <w:tcBorders>
              <w:top w:val="single" w:color="auto" w:sz="12" w:space="0"/>
              <w:left w:val="nil"/>
              <w:right w:val="nil"/>
              <w:bottom w:val="single" w:sz="4" w:color="000000" w:space="0"/>
            </w:tcBorders>
            <w:vAlign w:val="center"/>
          </w:tcPr>
          <w:p w14:paraId="54FBA1B4">
            <w:pPr>
              <w:spacing w:before="20" w:after="20" w:line="240" w:lineRule="auto"/>
              <w:jc w:val="center"/>
              <w:rPr>
                <w:rFonts w:hint="eastAsia"/>
              </w:rPr>
            </w:pPr>
            <w:r>
              <w:rPr>
                <w:rFonts w:hint="eastAsia" w:ascii="Times New Roman" w:hAnsi="Times New Roman" w:eastAsia="宋体" w:cs="Times New Roman"/>
                <w:b/>
                <w:bCs/>
                <w:sz w:val="18"/>
                <w:szCs w:val="18"/>
              </w:rPr>
              <w:t>功能模块</w:t>
            </w:r>
          </w:p>
        </w:tc>
        <w:tc>
          <w:tcPr>
            <w:tcW w:w="1150" w:type="dxa"/>
            <w:tcBorders>
              <w:top w:val="single" w:color="auto" w:sz="12" w:space="0"/>
              <w:left w:val="nil"/>
              <w:right w:val="nil"/>
              <w:bottom w:val="single" w:sz="4" w:color="000000" w:space="0"/>
            </w:tcBorders>
            <w:vAlign w:val="center"/>
          </w:tcPr>
          <w:p w14:paraId="5477679B">
            <w:pPr>
              <w:spacing w:before="20" w:after="20" w:line="240" w:lineRule="auto"/>
              <w:jc w:val="center"/>
              <w:rPr>
                <w:rFonts w:hint="eastAsia"/>
              </w:rPr>
            </w:pPr>
            <w:r>
              <w:rPr>
                <w:rFonts w:hint="eastAsia" w:ascii="Times New Roman" w:hAnsi="Times New Roman" w:eastAsia="宋体" w:cs="Times New Roman"/>
                <w:b/>
                <w:bCs/>
                <w:sz w:val="18"/>
                <w:szCs w:val="18"/>
              </w:rPr>
              <w:t>积分管理</w:t>
            </w:r>
          </w:p>
        </w:tc>
        <w:tc>
          <w:tcPr>
            <w:tcW w:w="1150" w:type="dxa"/>
            <w:tcBorders>
              <w:top w:val="single" w:color="auto" w:sz="12" w:space="0"/>
              <w:left w:val="nil"/>
              <w:right w:val="nil"/>
              <w:bottom w:val="single" w:sz="4" w:color="000000" w:space="0"/>
            </w:tcBorders>
            <w:vAlign w:val="center"/>
          </w:tcPr>
          <w:p w14:paraId="03CE90C2">
            <w:pPr>
              <w:spacing w:before="20" w:after="20" w:line="240" w:lineRule="auto"/>
              <w:jc w:val="center"/>
              <w:rPr>
                <w:rFonts w:hint="eastAsia"/>
              </w:rPr>
            </w:pPr>
            <w:r>
              <w:rPr>
                <w:rFonts w:hint="eastAsia" w:ascii="Times New Roman" w:hAnsi="Times New Roman" w:eastAsia="宋体" w:cs="Times New Roman"/>
                <w:b/>
                <w:bCs/>
                <w:sz w:val="18"/>
                <w:szCs w:val="18"/>
              </w:rPr>
              <w:t>人才画像</w:t>
            </w:r>
          </w:p>
        </w:tc>
        <w:tc>
          <w:tcPr>
            <w:tcW w:w="1150" w:type="dxa"/>
            <w:tcBorders>
              <w:top w:val="single" w:color="auto" w:sz="12" w:space="0"/>
              <w:left w:val="nil"/>
              <w:right w:val="nil"/>
              <w:bottom w:val="single" w:sz="4" w:color="000000" w:space="0"/>
            </w:tcBorders>
            <w:vAlign w:val="center"/>
          </w:tcPr>
          <w:p w14:paraId="26942816">
            <w:pPr>
              <w:spacing w:before="20" w:after="20" w:line="240" w:lineRule="auto"/>
              <w:jc w:val="center"/>
              <w:rPr>
                <w:rFonts w:hint="eastAsia"/>
              </w:rPr>
            </w:pPr>
            <w:r>
              <w:rPr>
                <w:rFonts w:hint="eastAsia" w:ascii="Times New Roman" w:hAnsi="Times New Roman" w:eastAsia="宋体" w:cs="Times New Roman"/>
                <w:b/>
                <w:bCs/>
                <w:sz w:val="18"/>
                <w:szCs w:val="18"/>
              </w:rPr>
              <w:t>统计分析</w:t>
            </w:r>
          </w:p>
        </w:tc>
        <w:tc>
          <w:tcPr>
            <w:tcW w:w="1150" w:type="dxa"/>
            <w:tcBorders>
              <w:top w:val="single" w:color="auto" w:sz="12" w:space="0"/>
              <w:left w:val="nil"/>
              <w:right w:val="nil"/>
              <w:bottom w:val="single" w:sz="4" w:color="000000" w:space="0"/>
            </w:tcBorders>
            <w:vAlign w:val="center"/>
          </w:tcPr>
          <w:p w14:paraId="1CD2A405">
            <w:pPr>
              <w:spacing w:before="20" w:after="20" w:line="240" w:lineRule="auto"/>
              <w:jc w:val="center"/>
              <w:rPr>
                <w:rFonts w:hint="eastAsia"/>
              </w:rPr>
            </w:pPr>
            <w:r>
              <w:rPr>
                <w:rFonts w:hint="eastAsia" w:ascii="Times New Roman" w:hAnsi="Times New Roman" w:eastAsia="宋体" w:cs="Times New Roman"/>
                <w:b/>
                <w:bCs/>
                <w:sz w:val="18"/>
                <w:szCs w:val="18"/>
              </w:rPr>
              <w:t>申报审核</w:t>
            </w:r>
          </w:p>
        </w:tc>
        <w:tc>
          <w:tcPr>
            <w:tcW w:w="1150" w:type="dxa"/>
            <w:tcBorders>
              <w:top w:val="single" w:color="auto" w:sz="12" w:space="0"/>
              <w:left w:val="nil"/>
              <w:right w:val="nil"/>
              <w:bottom w:val="single" w:sz="4" w:color="000000" w:space="0"/>
            </w:tcBorders>
            <w:vAlign w:val="center"/>
          </w:tcPr>
          <w:p w14:paraId="57EB06FE">
            <w:pPr>
              <w:spacing w:before="20" w:after="20" w:line="240" w:lineRule="auto"/>
              <w:jc w:val="center"/>
              <w:rPr>
                <w:rFonts w:hint="eastAsia"/>
              </w:rPr>
            </w:pPr>
            <w:r>
              <w:rPr>
                <w:rFonts w:hint="eastAsia" w:ascii="Times New Roman" w:hAnsi="Times New Roman" w:eastAsia="宋体" w:cs="Times New Roman"/>
                <w:b/>
                <w:bCs/>
                <w:sz w:val="18"/>
                <w:szCs w:val="18"/>
              </w:rPr>
              <w:t>系统管理</w:t>
            </w:r>
          </w:p>
        </w:tc>
        <w:tc>
          <w:tcPr>
            <w:tcW w:w="1150" w:type="dxa"/>
            <w:tcBorders>
              <w:top w:val="single" w:color="auto" w:sz="12" w:space="0"/>
              <w:left w:val="nil"/>
              <w:right w:val="nil"/>
              <w:bottom w:val="single" w:sz="4" w:color="000000" w:space="0"/>
            </w:tcBorders>
            <w:vAlign w:val="center"/>
          </w:tcPr>
          <w:p w14:paraId="6E781A6F">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5A7D1D9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2516B755">
            <w:pPr>
              <w:spacing w:before="20" w:after="20" w:line="240" w:lineRule="auto"/>
              <w:jc w:val="center"/>
              <w:rPr>
                <w:rFonts w:hint="eastAsia"/>
              </w:rPr>
            </w:pPr>
            <w:r>
              <w:rPr>
                <w:rFonts w:hint="eastAsia" w:ascii="Times New Roman" w:hAnsi="Times New Roman" w:eastAsia="宋体" w:cs="Times New Roman"/>
                <w:sz w:val="18"/>
                <w:szCs w:val="18"/>
              </w:rPr>
              <w:t>用例数</w:t>
            </w:r>
          </w:p>
        </w:tc>
        <w:tc>
          <w:tcPr>
            <w:tcW w:w="1150" w:type="dxa"/>
            <w:tcBorders>
              <w:top w:val="nil"/>
              <w:left w:val="nil"/>
              <w:bottom w:val="nil"/>
              <w:right w:val="nil"/>
            </w:tcBorders>
            <w:vAlign w:val="center"/>
          </w:tcPr>
          <w:p w14:paraId="7383F25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27F427B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5CA3FE3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1A5CEF1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7A4DB83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2A04AC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3CAD63C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56FBA5A0">
            <w:pPr>
              <w:spacing w:before="20" w:after="20" w:line="240" w:lineRule="auto"/>
              <w:jc w:val="center"/>
              <w:rPr>
                <w:rFonts w:hint="eastAsia"/>
              </w:rPr>
            </w:pPr>
            <w:r>
              <w:rPr>
                <w:rFonts w:hint="eastAsia" w:ascii="Times New Roman" w:hAnsi="Times New Roman" w:eastAsia="宋体" w:cs="Times New Roman"/>
                <w:sz w:val="18"/>
                <w:szCs w:val="18"/>
              </w:rPr>
              <w:t>通过数</w:t>
            </w:r>
          </w:p>
        </w:tc>
        <w:tc>
          <w:tcPr>
            <w:tcW w:w="1150" w:type="dxa"/>
            <w:tcBorders>
              <w:top w:val="nil"/>
              <w:left w:val="nil"/>
              <w:bottom w:val="nil"/>
              <w:right w:val="nil"/>
            </w:tcBorders>
            <w:vAlign w:val="center"/>
          </w:tcPr>
          <w:p w14:paraId="0F0DCC0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1F583D3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17326F8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04ED7F7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2640920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62F42E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454DB9E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single" w:color="auto" w:sz="12" w:space="0"/>
              <w:right w:val="nil"/>
            </w:tcBorders>
            <w:vAlign w:val="center"/>
          </w:tcPr>
          <w:p w14:paraId="701B0D70">
            <w:pPr>
              <w:spacing w:before="20" w:after="20" w:line="240" w:lineRule="auto"/>
              <w:jc w:val="center"/>
              <w:rPr>
                <w:rFonts w:hint="eastAsia"/>
              </w:rPr>
            </w:pPr>
            <w:r>
              <w:rPr>
                <w:rFonts w:hint="eastAsia" w:ascii="Times New Roman" w:hAnsi="Times New Roman" w:eastAsia="宋体" w:cs="Times New Roman"/>
                <w:sz w:val="18"/>
                <w:szCs w:val="18"/>
              </w:rPr>
              <w:t>通过率 / %</w:t>
            </w:r>
          </w:p>
        </w:tc>
        <w:tc>
          <w:tcPr>
            <w:tcW w:w="1150" w:type="dxa"/>
            <w:tcBorders>
              <w:top w:val="nil"/>
              <w:left w:val="nil"/>
              <w:bottom w:val="single" w:color="auto" w:sz="12" w:space="0"/>
              <w:right w:val="nil"/>
            </w:tcBorders>
            <w:vAlign w:val="center"/>
          </w:tcPr>
          <w:p w14:paraId="58DF6CC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E5C3E0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3C517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B26F5C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60AF27F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A9DC8D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r>
    </w:tbl>
    <w:p w14:paraId="5F2B74F2">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表3  核心接口性能测试结果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8"/>
                <w:szCs w:val="18"/>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8"/>
                <w:szCs w:val="18"/>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8"/>
                <w:szCs w:val="18"/>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8"/>
                <w:szCs w:val="18"/>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8"/>
                <w:szCs w:val="18"/>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8"/>
                <w:szCs w:val="18"/>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8"/>
                <w:szCs w:val="18"/>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8"/>
                <w:szCs w:val="18"/>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8"/>
                <w:szCs w:val="18"/>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为评价标签准确性，从 270 名科研人员中随机抽取 90 名，由 3 名专家依据其近三年科研档案独立标注，以三人一致的结果为金标准与系统输出比对。系统共生成 32 个动态能力标签，准确率 88.0%、召回率 84.1%、</w:t>
      </w:r>
      <w:r>
        <w:rPr>
          <w:rFonts w:hint="eastAsia" w:ascii="Times New Roman" w:hAnsi="Times New Roman" w:eastAsia="宋体" w:cs="Times New Roman"/>
          <w:i/>
          <w:sz w:val="21"/>
          <w:szCs w:val="21"/>
          <w:lang w:eastAsia="zh-CN"/>
        </w:rPr>
        <w:t>F</w:t>
      </w:r>
      <w:r>
        <w:rPr>
          <w:rFonts w:hint="eastAsia" w:ascii="Times New Roman" w:hAnsi="Times New Roman" w:eastAsia="宋体" w:cs="Times New Roman"/>
          <w:sz w:val="21"/>
          <w:szCs w:val="21"/>
          <w:lang w:eastAsia="zh-CN"/>
        </w:rPr>
        <w:t>1 值 0.86，专家标注 Kappa 系数 0.81。上线前后各 3 个月的应用效果对比如表4所示。</w:t>
      </w:r>
    </w:p>
    <w:bookmarkEnd w:id="2"/>
    <w:p w14:paraId="0C4537F9">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表4  系统上线前后应用效果对比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8"/>
                <w:szCs w:val="18"/>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8"/>
                <w:szCs w:val="18"/>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8"/>
                <w:szCs w:val="18"/>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8"/>
                <w:szCs w:val="18"/>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8"/>
                <w:szCs w:val="18"/>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8"/>
                <w:szCs w:val="18"/>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8"/>
                <w:szCs w:val="18"/>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由表4可见，系统上线后申报与审核全流程线上化，申报单量增至上线前的 7.4 倍，平均审核周期由 7 d 降至 2 d，科研人员参与度明显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为进一步说明本文工作与同类研究的差异，表5 从评价对象、核心方法、多作者成果分配、成果时效处理、量化与画像的耦合方式及审批流程支持六个方面进行了对比。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表5  本文系统与同类工作的对比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文献[1,3]</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文献[2]</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文献[8,9]</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Cs/>
                <w:sz w:val="18"/>
                <w:szCs w:val="18"/>
              </w:rPr>
              <w:t xml:space="preserve">文献[10,11]</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Cs/>
                <w:sz w:val="18"/>
                <w:szCs w:val="18"/>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个人（用户）</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个人（用户）</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核心方法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指标体系</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数字化系统</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用户画像</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兴趣建模</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积分量化与画像</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时序动态标签</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指数加权/时间衰减</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前置嵌入归一化（式(4)）</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注：表中对同类工作的归纳依据其公开文献所述的研究对象与方法，“—”表示该文献未涉及该方面。</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5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多作者分配采用名义分值制则是管理导向下的取舍，其“挂名”代价由年度上限与职称评审口径两项制度约束承担，而非由算法本身消化。本文工作尚存三点局限：其一，系统度量的是科研活跃度而非成果质量，与同行评议互补而非替代；其二，α 与 λ 依据事业单位近三年考核口径与 5 年聘期设定，制度依据明确，但其取值区间对人才排名的影响程度仍有待更大样本的敏感性分析验证；其三，标签—能力维度映射矩阵由本中心专家标定，跨机构推广时需重新标定。后续将在积累更长周期的积分流水后开展参数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62A3122D">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季甜甜, 刘冬冬. 基于Vue前端性能的研究与分析[J]. 阜阳师范大学学报(自然科学版), 2024, 41(1): 15-22.</w:t>
      </w:r>
    </w:p>
    <w:p w14:paraId="24FD40C2">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[14] Zhang Y, Li H, Wang J. A lightweight microservice orchestration framework based on Spring Boot for edge-cloud collaborative computing in industrial IoT[J]. IEEE Internet of Things Journal, 2025, 12(4): 5821-5834.</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张岩. 基于Spring Boot的公共卫生服务平台设计[J]. 现代信息技术, 2026, 10(1): 105-110, 116.</w:t>
      </w:r>
    </w:p>
    <w:p w14:paraId="74DA97F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[16] 廖凤露, 许毅, 汤伟. 图书馆数据可视化大屏系统的设计与实现[J]. 电脑与信息技术, 2025(3): 79-83, 97.</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朱嘉杰, 徐小莲. 基于Flask框架的国家教育考试保密知识测试系统设计与实现[J]. 计算机应用与软件, 2026(4): 35-40.</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来天平, 王永超, 罗盘, 等. 基于角色资源级别的权限控制模型的设计与应用研究[J]. 通信学报, 2024, 45(S2): 153-159.</w:t>
      </w:r>
    </w:p>
    <w:p w14:paraId="506A7D4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Durdag O, Coskunçay A. Reconfiguring role-based access control via role clustering[J]. IEEE Access, 2025, 13: 72984-72993.</w:t>
      </w:r>
    </w:p>
    <w:p w14:paraId="2054A97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魏巍. 基于RBAC模型云资源管理系统访问控制权限的设计与实施[J]. 科学技术创新, 2025(2): 122-125.</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[21]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[22] 何立富. 前后端分离环境下Spring Security权限系统构建与实现[J]. 电脑编程技巧与维护, 2025(10): 3-7.</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韩颖霄, 张均胜, 郑明, 等. 一种覆盖所有作者的论文荣誉分配方法——缓解署名分歧的量化锚点[J]. 中国科技资源导刊, 2025(6): 48-63.</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[24] Xu S, Li L, Wang CC, et al. An improved author-topic (AT) model with authorship credit allocation schemes[J]. Journal of Information Science, 2025, 51(1): 184-204.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[25] 蒙立东, 林乃斌, 韦文嵚, 等. 基于JSON的轻量级工作流引擎设计与实现[J]. 大众科技, 2025, 27(2): 20-24.</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[26] 郭圣伟, 张洋. 轻量级工作流系统的设计与应用[J]. 电脑知识与技术, 2025(36): 48-51, 55.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[27] Li HM, Wu S, Li ZP, et al. Enabling high performance and resource utilization in clustered cache via hotness identification, data copying, and instance merging[J]. IEEE Transactions on Computers, 2025, 74(2): 371-385.</w:t>
      </w:r>
    </w:p>
    <w:p w14:paraId="35EAD352">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[28] 卢超, 杨朝树, 姚政竹, 等. 基于持久内存的B+树索引优化综述[J]. 计算机科学, 2026, 53(1): 77-88.</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[29] 吕玉桂. Spring Security+JWT实现微服务架构中的身份验证和授权[J]. 电脑知识与技术, 2024(22): 60-63.</w:t>
      </w:r>
    </w:p>
    <w:p w14:paraId="4DC4DDFD">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[30] Di Meglio S, Starace LLL, Pontillo V, et al. Performance testing in open-source web projects: Adoption, maintenance, and a change taxonomy[C]//Proceedings of the 2025 IEEE International Conference on Software Maintenance and Evolution .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573816315@qq.com。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yangwecy@gmail.com。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收件人：杨文超　联系电话：18351310755　E-mail: 573816315@qq.com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