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34B977D9" w14:textId="77777777" w:rsidR="00F23EB3" w:rsidRDefault="00000000">
      <w:pPr>
        <w:spacing w:afterLines="18" w:after="56" w:line="300" w:lineRule="auto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基于动态积分与标签画像的疾控科研人才评价系统设计与实现</w:t>
      </w:r>
    </w:p>
    <w:p w14:paraId="4A378CC8" w14:textId="77777777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>杨文超</w:t>
      </w:r>
    </w:p>
    <w:p w14:paraId="5020C366" w14:textId="77777777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（南通市疾病预防控制中心，江苏 南通　226001）</w:t>
      </w:r>
    </w:p>
    <w:p w14:paraId="13F50BBB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Implementation of a Research Talent Evaluation System for CDC Institutions Based on Dynamic Points and Tag Profiling</w:t>
      </w:r>
    </w:p>
    <w:p w14:paraId="3ACFB916" w14:textId="77777777" w:rsidR="00F23EB3" w:rsidRDefault="00000000">
      <w:pPr>
        <w:spacing w:afterLines="6" w:after="1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YANG Wenchao</w:t>
      </w:r>
    </w:p>
    <w:p w14:paraId="4DFC44A7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(Nantong Center for Disease Control and Prevention, Nantong 226001, Jiangsu, China)</w:t>
      </w:r>
    </w:p>
    <w:p w14:paraId="61E29554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针对疾控机构科研人才评价精细化程度不足的问题，设计并实现了基于 Spring Boot 与 MyBatis 的四层架构科研积分管理系统。提出面向多作者成果的分段权重积分分配模型，并与均分法、调和计数法作对比；设计基于一阶指数加权移动平均的动态标签权重模型（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0.7），将半衰期约 4.95 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）的指数时间衰减因子前置嵌入行为积分归一化环节，使标签权重、能力维度得分与人才画像构成量纲一致的统一计算链路；基于有限状态机实现无第三方依赖的四级审批工作流引擎。系统在南通市疾病预防控制中心运行 3 个月，覆盖 15 个业务科室、270 名科研人员，审核周期由平均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天缩短至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天，积分核算人为差错率由 5% 降至 0，核心业务平均响应时间为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ms。“积分量化 + 标签画像”双维度模式可为同类公共卫生机构提供参考。</w:t>
      </w:r>
    </w:p>
    <w:p w14:paraId="4C87AF7A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0C63ADBF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TP311.5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文献标识码：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A</w:t>
      </w:r>
    </w:p>
    <w:p w14:paraId="670D245E" w14:textId="77777777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address the insufficient granularity of research talent evaluation in centers for disease control and prevention, a four-layer research points management system based on Spring Boot and MyBatis is designed and implemented. A piecewise weighting model is proposed for allocating points among the multiple authors of a research output and is compared with the equal-sharing and harmonic counting methods. A dynamic tag weight model based on a first-order exponentially weighted moving average is designed, into which an exponential time-decay factor with a half-life of about 4.95 years is embedded ahead of behaviour-score normalization, so that tag weights, capability dimension scores and the talent profile form a single dimensionally consistent computation chain. A lightweight four-level approval workflow engine is implemented as a finite state machine without third-party dependency. Running at Nantong Center for Disease Control and Prevention for three months and covering 15 divisions and 270 researchers, the system shortened the average approval cycle from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 to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days, eliminated manual errors in points accounting, and kept the average response time of core services at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ms. The dual-dimension model of points-based quantification combined with tag profiling provides a reference for research management informatization in comparable public health institutions.</w:t>
      </w:r>
    </w:p>
    <w:p w14:paraId="7E391BE3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>points-based quantitative evaluation; tag weight model; time decay algorithm; workflow engine; front-end and back-end separation architecture</w:t>
      </w:r>
    </w:p>
    <w:p w14:paraId="6FEFC953" w14:textId="77777777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1  引言</w:t>
      </w:r>
    </w:p>
    <w:p w14:paraId="5D0B6AB7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在“科教兴卫、人才强卫”战略指引下，各级疾病预防控制机构日益重视科研能力建设，但基层疾控机构的科研人才评价仍存在方式粗放、“四唯”倾向明显、缺少动态量化手段等问题[1-2]，难以支撑科研梯队建设与精准激励。</w:t>
      </w:r>
    </w:p>
    <w:p w14:paraId="5D0B6AB7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李涛等[1]、沈杨阳[2]与 Amaral 等[3]分别从指标体系、组织机制与经费分配角度探讨了科研评价，但评价对象均为机构而非个人；Lei[4]面向“破五唯”设计的分类绩效指标体系与本文思路接近，但其指标构成与疾控机构以公共卫生服务、现场流行病学调查为主的产出结构差异较大；罗仕鉴等[9]与白菁昊等[10]验证了动态标签刻画能力演进的有效性，但未考虑科研成果的长周期性与时效衰减特征。可见，面向公共卫生领域、同时整合积分量化与人才标签画像的专用系统仍比较少见。为此，本文提出面向多作者成果的分段权重积分分配模型，构建“指数加权移动平均标签权重 + 指数时间衰减”的动态画像模型，并实现无第三方框架依赖的状态机工作流与可配置积分规则引擎。系统面向的南通市疾控中心设有 15 个业务科室、270 名科研人员，科研成果涵盖 12 个大类，核心业务响应时间要求控制在 3 s 以内。</w:t>
      </w:r>
    </w:p>
    <w:p w14:paraId="33088B7A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系统总体架构</w:t>
      </w:r>
    </w:p>
    <w:p w14:paraId="69DB94CB" w14:textId="77777777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系统采用四层架构：表现层由 Spring Boot 的 @RestController 构成，负责接收 HTTP 请求并调用业务服务，实现前后端分离；业务逻辑层由 Service 组件构成，封装积分计算、审核流程控制、画像生成与排行统计等规则并管理事务；数据访问层通过 MyBatis 的 Mapper 接口与 XML 映射文件实现对象关系映射，可在复杂场景下直接优化 SQL[8]；数据层负责持久化与存储管理。前端采用 Vue.js，通过 RESTful API 与后端交互；数据库选用 MySQL 8.0，并引入 Redis 缓存提升查询效率[5-8]。分层架构如图 1 所示。</w:t>
      </w:r>
    </w:p>
    <w:p w14:paraId="27E828E8" w14:textId="77777777" w:rsidR="00555F57" w:rsidRDefault="00000000">
      <w:pPr>
        <w:keepNext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2B65DD1" wp14:editId="7939D2BF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61B1C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1  系统分层架构</w:t>
      </w:r>
    </w:p>
    <w:p w14:paraId="1DFAB7F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核心功能模块设计</w:t>
      </w:r>
    </w:p>
    <w:p w14:paraId="366F9049" w14:textId="77777777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并核算分值、生成积分流水[8-9]；人才画像模块构建涵盖结构化标签（学历、职称、专业）与非结构化能力标签（科研能力、项目管理、数据分析）的动态标签体系，自动关联积分流水与科研成果[9-10]；统计分析模块的“人才晴雨表”仪表盘集成 Apache ECharts，支持多维交叉统计与数据下钻；申报审核模块内置轻量级工作流引擎驱动四级审批；系统管理模块采用 RBAC 模型构建用户—角色—权限三层架构，预设 5 类角色，并承担基础数据维护、规则调整与操作日志审计等职能[11-13]。</w:t>
      </w:r>
    </w:p>
    <w:p w14:paraId="70FF2465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4  关键技术实现</w:t>
      </w:r>
    </w:p>
    <w:p w14:paraId="07243BC5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可配置积分规则引擎</w:t>
      </w:r>
    </w:p>
    <w:p w14:paraId="14159876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传统实现中积分规则的调整需修改代码并重新发布。为此，系统将全部积分规则存入数据库配置表：points_category 存储 12 个成果大类，points_item 定义分值标准、年度上限、有效期与适用职称范围，points_record 记录积分变动明细。管理员在后台修改配置即可实时生效，无需重新编译部署。为确保数据一致性，系统采用 Spring 声明式事务，将成果校验、重复申报拦截、年度上限判断、按作者排序分配、总积分更新与流水生成封装在同一事务中，任一步骤出错即回滚。</w:t>
      </w:r>
    </w:p>
    <w:p w14:paraId="1B869A92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多作者积分权重分配模型</w:t>
      </w:r>
    </w:p>
    <w:p w14:paraId="15E49341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结合该中心的科研管理实践，本文采用基于 Kronecker 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函数的分段权重模型对作者序位与分配系数的映射关系统一建模，如式(1)、式(2)所示。</w:t>
      </w:r>
    </w:p>
    <w:p w14:paraId="7CF1F1A3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68CFEFED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0C343EB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作者获得的积分；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total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为作者总数。展开后第 1、2、3 作者的分配系数分别为 1.0、0.8、0.5，第 4 作者及以后统一按 0.2 计；通讯作者按第 1 作者计，共同第一作者按并列第 1 作者计[9]。</w:t>
      </w:r>
    </w:p>
    <w:p w14:paraId="4B57211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式(1)采用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而非总量守恒制，即各作者所得之和可能大于成果标准积分（4 位作者时为 2.5 倍）。这一设计源于疾控机构鼓励多科室协作攻关的管理导向，其“挂名”风险由两项制度约束控制：points_item 表的年度上限对各类积分累计值封顶；第 4 作者及以后的积分不计入职称评审口径。本文模型与常见守恒型方法的对比如表 1 所示。对需控制积分总量的场景，系统另提供可配置的归一化模式，如式(3)所示。</w:t>
      </w:r>
    </w:p>
    <w:p w14:paraId="689C4531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1  多作者积分权重分配方法对比（以 4 位作者为例）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2B8C51BF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E17559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03B9E8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1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3D99F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2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848EC4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3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09C4AA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4 作者</w:t>
            </w:r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6EA09F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798780B1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8D524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5AE3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9D35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D9C8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9C9E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41A0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7BBD1722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0F3C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B4F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E5C5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A3B5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282F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7373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90ED8D6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D665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算术递减法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CF71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0307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0B39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606E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30F4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2265A09A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A157B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DAFF13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1C6632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2D6158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0581E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55B09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2FCEE985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2FE1684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作者按式(1)得到的原始分配系数。</w:t>
      </w:r>
    </w:p>
    <w:p w14:paraId="756A919B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4.3  动态标签权重模型</w:t>
      </w:r>
    </w:p>
    <w:p w14:paraId="1460E664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构建了基础属性、能力维度与专业方向三维标签体系。考虑到科研贡献具有明显时效性，本文将指数时间衰减因子前置嵌入行为积分的归一化环节（式(4)），标签权重则在此基础上按一阶指数加权移动平均更新（式(5)）。</w:t>
      </w:r>
    </w:p>
    <w:p w14:paraId="64734033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3472D55F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3470661E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1]，与历史权重项保持量纲一致；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570A671C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式(5)是一阶指数加权移动平均，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 对应记忆长度约 1/(1 −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 ≈ 3.3 个周期，即最新一年贡献约占 70%、历史累积约占 30%，既突出近期活跃度也保留资深人员的积累。时间衰减系数取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年，成果权重每年降至上年的 86.9%（年衰减约 13.1%），既避免成果永久有效导致评价僵化，也防止衰减过快挫伤长期积累型科研人员的积极性。</w:t>
      </w:r>
    </w:p>
    <w:p w14:paraId="452291A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标签更新采用双策略：基于 Spring Event 的准实时更新在积分流水生成后 1 s 内触发，异步微调相关权重；每日 2:00 的全量更新批量重算活跃用户近一年的标签权重，并清理权重低于 0.1 的标签。</w:t>
      </w:r>
    </w:p>
    <w:p w14:paraId="5A3BD1B8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多维能力得分与画像渲染</w:t>
      </w:r>
    </w:p>
    <w:p w14:paraId="43E9764E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ℝ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16，即专利发明、成果奖励、成果转换、出版著作、工作文章、技能资质、技术标准、继续教育、荣誉表彰、科普作品、学科团队、学术比赛、学术地位、学术交流、项目课题与发表论文，如图 2 所示）。矩阵元素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用户在各维度上的原始得分为所有标签权重的加权和（式(6)）。由于式(5)已在行为积分层面完成时间衰减修正，式(6)无需再次引入衰减因子，标签权重、能力得分与画像渲染由此构成一条量纲一致的计算链路。</w:t>
      </w:r>
    </w:p>
    <w:p w14:paraId="6E6C6ED7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50E52C82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为消除维度间的量纲差异，对原始得分作归一化处理（式(7)）。</w:t>
      </w:r>
    </w:p>
    <w:p w14:paraId="02E9618E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4E502E6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分别为全中心用户在维度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上的最低与最高原始得分。结果映射至 [20, 100] 而非 [0, 100]，以避免最低分用户恒为 0、雷达图退化为尖刺；当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时直接取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，避免分母为零。因二者随人员流动与年度产出变化，式(7)适用于同一周期内的横向比较，跨年度比较时以上线首年的分布为固定基准。归一化得分直接对应雷达图半径，前端另配积分趋势折线图、团队贡献矩阵与标签云图[10]。</w:t>
      </w:r>
    </w:p>
    <w:p w14:paraId="7510C02B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A56CF97" wp14:editId="2F66A468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1C8C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2  人才画像能力雷达图</w:t>
      </w:r>
    </w:p>
    <w:p w14:paraId="58B8E220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轻量级状态机工作流引擎</w:t>
      </w:r>
    </w:p>
    <w:p w14:paraId="47C7D977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针对疾控中心审核流程相对固定但存在微调需求的特点，本文实现了无第三方框架依赖的状态机工作流引擎。引擎定义草稿、待初审、初审驳回、待复核、复核驳回、待终审与终审通过 7 种状态，以及提交、初审通过/驳回、复核通过/驳回、终审通过/驳回 7 种转换事件：草稿经提交进入待初审，初审与复核通过后依次进入待复核、待终审；任一环节驳回则回退至对应驳回态，修改后重新提交回到待初审。系统通过 workflow_config 表配置每个状态的处理人、处理时限与下一状态；事件触发时引擎依次校验操作权限、更新状态、记录操作日志、通知下一处理人，并在终审通过时触发积分计算。管理员可通过修改配置调整审核环节或处理人，无需重启系统[5]。</w:t>
      </w:r>
    </w:p>
    <w:p w14:paraId="58EE7D06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4.6  性能优化与安全设计</w:t>
      </w:r>
    </w:p>
    <w:p w14:paraId="503F445E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系统引入 Redis 缓存应对高频积分查询，采用 Cache-Aside 模式（写入时先更新数据库再删除缓存），并以空值缓存与分布式锁分别防止缓存穿透与击穿[15]，实测缓存命中率在 50～500 并发下保持在 92.5% 以上（表 3）；数据库层面针对核心查询路径建立联合索引，启用慢查询日志并优化 InnoDB 配置[16]。安全方面整合 Spring Security 与 JWT 实现无状态认证，通过令牌过期与刷新防止会话劫持[14]；系统涉及 270 名科研人员的学历、职称与成果数据，均按《中华人民共和国个人信息保护法》实施最小必要采集与分级授权访问，敏感字段脱敏并留存审计日志。</w:t>
      </w:r>
    </w:p>
    <w:p w14:paraId="262EA749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5  系统测试与应用效果</w:t>
      </w:r>
    </w:p>
    <w:p w14:paraId="66D46CE4" w14:textId="401761FD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测试环境为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核 CPU /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32 GB 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存、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Ubuntu 24.04 LTS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bookmarkStart w:id="1" w:name="OLE_LINK14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OpenJDK </w:t>
      </w:r>
      <w:bookmarkEnd w:id="1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、MySQL 8.0 与 Redis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7.2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，压力测试工具为 Apache JMeter。按五大模块设计的功能测试用例覆盖正常流程、边界条件与异常输入，结果如表 2 所示；核心接口在不同并发下的性能与缓存命中率如表 3 所示。</w:t>
      </w:r>
    </w:p>
    <w:p w14:paraId="7E624AB4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lastRenderedPageBreak/>
        <w:t xml:space="preserve">表 2  功能测试结果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417900E0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D8E07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A27FF7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81121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A0A2C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A906CC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1A9DDA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CA8C42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24C73100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377E0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AB8C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03D95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73DF1" w14:textId="46D4FC0A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024F7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6C61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B0ABA" w14:textId="0838B7A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260</w:t>
            </w:r>
          </w:p>
        </w:tc>
      </w:tr>
      <w:tr w:rsidR="00F23EB3" w14:paraId="65A8C7E3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FA60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0B93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B9E3" w14:textId="46B88BDD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10392" w14:textId="765993B9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2C42B" w14:textId="23A035A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C6E1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7C18A" w14:textId="59B375E1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258</w:t>
            </w:r>
          </w:p>
        </w:tc>
      </w:tr>
      <w:tr w:rsidR="00F23EB3" w14:paraId="4FC243D1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0939F1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通过率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008A4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C664D8" w14:textId="3E10C38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17872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A82D4B" w14:textId="269DCBBB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4DE7F7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CC1EB1" w14:textId="6B162C03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99.23</w:t>
            </w:r>
          </w:p>
        </w:tc>
      </w:tr>
    </w:tbl>
    <w:p w14:paraId="6AB088C2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3  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DB12D13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17B608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533040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平均响应 / ms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12DF9A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响应 / ms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BCF3A3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吞吐量 / (次·s⁻¹)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F9DCF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错误率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79F19E5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缓存命中率 / %</w:t>
            </w:r>
          </w:p>
        </w:tc>
      </w:tr>
      <w:tr w:rsidR="00F23EB3" w14:paraId="09BF0085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B054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714D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6787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7F4E0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9FD1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EE1F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14A9B0F3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3AE9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E444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F2FA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36F2F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385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81CE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732A5CC9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046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326F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A221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A1F0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5072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FC160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5681F72C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366DD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210E2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28AC5C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869161E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2826ECB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0E118D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52F42661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为评价标签准确性，从 270 名科研人员中随机抽取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90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名，由 3 名科研管理专家依据其近三年科研档案独立标注能力标签，以三人一致的结果为金标准与系统输出比对。系统共生成 32 个动态能力标签，准确率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88.0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%、召回率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84.1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%、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值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，专家标注 Kappa 系数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。以上线前后各 3 个月的科研管理台账与系统日志为数据源的应用效果对比如表 4 所示。</w:t>
      </w:r>
    </w:p>
    <w:bookmarkEnd w:id="2"/>
    <w:p w14:paraId="7B7142E8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4  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500"/>
        <w:gridCol w:w="1300"/>
        <w:gridCol w:w="1200"/>
        <w:gridCol w:w="1200"/>
      </w:tblGrid>
      <w:tr w:rsidR="00F23EB3" w14:paraId="6EF123BE" w14:textId="77777777">
        <w:trPr>
          <w:cantSplit/>
          <w:tblHeader/>
          <w:jc w:val="center"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320BF2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A524B8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申报单量 / 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229614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平均审核周期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84A5D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超时未办结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DB484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核算差错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E6FB7F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人均月查询 / 次</w:t>
            </w:r>
          </w:p>
        </w:tc>
      </w:tr>
      <w:tr w:rsidR="00F23EB3" w14:paraId="2B4C8B81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525E3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44AA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 xml:space="preserve">192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6075F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 xml:space="preserve"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5AAA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03B5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0F8FC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</w:t>
            </w:r>
          </w:p>
        </w:tc>
      </w:tr>
      <w:tr w:rsidR="00F23EB3" w14:paraId="3BC653B7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9090E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F14D5B9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 xml:space="preserve">1420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D57FD31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 xml:space="preserve"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98F25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955CD4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6170277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680</w:t>
            </w:r>
          </w:p>
        </w:tc>
      </w:tr>
    </w:tbl>
    <w:p w14:paraId="42866E12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由表 4 可见，系统上线后申报与审核实现全流程线上化，申报单量增至上线前的 7.4 倍，平均审核周期由 7 d 降至 2 d，排行与画像信息的实时可视化也提升了科研人员的参与度。</w:t>
      </w:r>
      <w:bookmarkEnd w:id="0"/>
    </w:p>
    <w:p w14:paraId="3A39732B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6  结论与展望</w:t>
      </w:r>
    </w:p>
    <w:p w14:paraId="49040F2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统一计算链路；基于有限状态机实现了无第三方依赖的审批工作流引擎。系统运行期间审核周期与积分核算差错显著下降，有效支撑了科研人才的精细化评价与激励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的敏感性分析以提升模型稳健性，并与人事、财务等系统实现数据互通。</w:t>
      </w:r>
    </w:p>
    <w:p w14:paraId="3BC6903B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>参考文献</w:t>
      </w:r>
    </w:p>
    <w:p w14:paraId="4B97F655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李涛, 关健, 吴沛新. 卫生政策与管理研究领域科技评价体系的思考和建议[J]. 中华医学科研管理杂志, 2023, 36(4): 259-265.</w:t>
      </w:r>
    </w:p>
    <w:p w14:paraId="1FD1FEF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沈杨阳. 国家科研管理机构组织颠覆性技术创新的实践路径[J]. 中国科技论坛, 2026(5): 1-11.</w:t>
      </w:r>
    </w:p>
    <w:p w14:paraId="562FD6CC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[3] AMARAL P, MAGALHÃES P. Performance-based funding and research productivity: a longitudinal analysis of European universities[J]. Scientometrics, 2024, 129(3): 1587-1612.</w:t>
      </w:r>
    </w:p>
    <w:p w14:paraId="0450345E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[4] LEI F. Design and implementation assurance of a dynamic indicator system for classified faculty performance evaluation in the post-"breaking the five onlys" era[J]. World Journal of Educational Studies, 2025, 3(9): 16-31.</w:t>
      </w:r>
    </w:p>
    <w:p w14:paraId="13F5AEFA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>[5] ZHANG Y, LI H, WANG J. A lightweight microservice orchestration framework based on Spring Boot for edge-cloud collaborative computing in industrial IoT[J]. IEEE Internet of Things Journal, 2025, 12(4): 5821-5834.</w:t>
      </w:r>
    </w:p>
    <w:p w14:paraId="5346627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[6] 刘盛, 王占云. 基于SpringBoot+Vue微服务架构的科研样本库管理系统的设计与实现[J]. 信息系统工程, 2025(4): 4-7.</w:t>
      </w:r>
    </w:p>
    <w:p w14:paraId="4E3C718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[7] 季甜甜, 刘冬冬. 基于Vue前端性能的研究与分析[J]. 阜阳师范大学学报(自然科学版), 2024, 41(1): 15-22.</w:t>
      </w:r>
    </w:p>
    <w:p w14:paraId="7FDC435F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张岩. 基于Spring Boot的公共卫生服务平台设计[J]. 现代信息技术, 2026, 10(1): 105-110, 116.</w:t>
      </w:r>
    </w:p>
    <w:p w14:paraId="401192F7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罗仕鉴, 郭和睿, 钟素萍, 等. 智能体驱动的产品设计用户画像生成方法[J]. 计算机集成制造系统, 2025, 31(11): 3919-3931.</w:t>
      </w:r>
    </w:p>
    <w:p w14:paraId="7D3FE684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[10] 白菁昊, 庄俊玺. 面向学习者画像的时序动态标签构建及预测方法[J]. 计算机科学, 2026, 53(5): 79-89.</w:t>
      </w:r>
    </w:p>
    <w:p w14:paraId="177B5F86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[11] 来天平, 王永超, 罗盘, 等. </w:t>
      </w:r>
      <w:bookmarkStart w:id="3" w:name="OLE_LINK17"/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基于角色资源级别的权限控制模型的设计与应用研究</w:t>
      </w:r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通信学报, 2024, 45(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): 153-159.</w:t>
      </w:r>
    </w:p>
    <w:p w14:paraId="730C5E09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[12] DURDAG O, COŞKUNÇAY A. Reconfiguring role-based access control via role clustering[J].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IEEE Access, 2025, 13: 72984-72993.</w:t>
      </w:r>
    </w:p>
    <w:p w14:paraId="3C806E9D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[13] 魏巍. 基于RBAC模型云资源管理系统访问控制权限的设计与实施[J]. 科学技术创新, 2025(2): 122-125.</w:t>
      </w:r>
    </w:p>
    <w:p w14:paraId="262053E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[14] 何立富. 前后端分离环境下Spring Security权限系统构建与实现[J]. 电脑编程技巧与维护, 2025(10): 3-7.</w:t>
      </w:r>
    </w:p>
    <w:p w14:paraId="413EA63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[15] WANG Y C, YANG J Y, WANG Z L. kRedis: multi-tenant in-memory key-value cache partitioning using efficient random sampling-based LRU model[J]. IEEE Transactions on Cloud Computing, 2023, 11(4): 1-18.</w:t>
      </w:r>
    </w:p>
    <w:p w14:paraId="1B7B9720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[16] 卢超, 杨朝树, 姚政竹, 等. 基于持久内存的B+树索引优化综述[J]. 计算机科学, 2026, 53(1): 77-88.</w:t>
      </w:r>
    </w:p>
    <w:p w14:paraId="6F6165DD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</w:rPr>
      </w:pPr>
    </w:p>
    <w:p w14:paraId="068DB4D1" w14:textId="77777777" w:rsidR="00F23EB3" w:rsidRDefault="00000000">
      <w:pPr>
        <w:spacing w:afterLines="2" w:after="6"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基金项目：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南通市社科研究课题（网信专项）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055E6E33" w14:textId="77777777" w:rsidR="00F23EB3" w:rsidRDefault="00000000">
      <w:pPr>
        <w:spacing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作者简介：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杨文超（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—），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男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江苏如东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人，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高级工程师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硕士研究生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，主要研究方向为科研管理信息化、公共卫生数据分析。E-mail：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573816315@qq.com</w:t>
      </w:r>
    </w:p>
    <w:sectPr w:rsidR="00F23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F956" w14:textId="77777777" w:rsidR="00C01D40" w:rsidRDefault="00C01D40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F5507" w14:textId="77777777" w:rsidR="00C01D40" w:rsidRDefault="00C01D40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579A" w14:textId="77777777" w:rsidR="00C01D40" w:rsidRDefault="00C01D40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DEA99E" w14:textId="77777777" w:rsidR="00C01D40" w:rsidRDefault="00C01D40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21476"/>
    <w:rsid w:val="00030E9E"/>
    <w:rsid w:val="0003457F"/>
    <w:rsid w:val="00047837"/>
    <w:rsid w:val="00083549"/>
    <w:rsid w:val="00086AF0"/>
    <w:rsid w:val="0009541E"/>
    <w:rsid w:val="000A76E1"/>
    <w:rsid w:val="000B2A1D"/>
    <w:rsid w:val="000B2B95"/>
    <w:rsid w:val="000B528F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68A9"/>
    <w:rsid w:val="004A7606"/>
    <w:rsid w:val="004C3455"/>
    <w:rsid w:val="004D2C3A"/>
    <w:rsid w:val="004D47DF"/>
    <w:rsid w:val="004E7822"/>
    <w:rsid w:val="004F0C29"/>
    <w:rsid w:val="004F3A2B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C0270"/>
    <w:rsid w:val="005C08A7"/>
    <w:rsid w:val="005D0273"/>
    <w:rsid w:val="005D183C"/>
    <w:rsid w:val="005D75C4"/>
    <w:rsid w:val="005E7DD3"/>
    <w:rsid w:val="00600D71"/>
    <w:rsid w:val="00667BAE"/>
    <w:rsid w:val="0067117A"/>
    <w:rsid w:val="0068567B"/>
    <w:rsid w:val="006B33D1"/>
    <w:rsid w:val="006B39CC"/>
    <w:rsid w:val="006D3F39"/>
    <w:rsid w:val="006D5CCC"/>
    <w:rsid w:val="006E2399"/>
    <w:rsid w:val="006F38AF"/>
    <w:rsid w:val="00714292"/>
    <w:rsid w:val="007149CA"/>
    <w:rsid w:val="00720321"/>
    <w:rsid w:val="00725CF4"/>
    <w:rsid w:val="007337FF"/>
    <w:rsid w:val="00746169"/>
    <w:rsid w:val="00752232"/>
    <w:rsid w:val="00761940"/>
    <w:rsid w:val="00785AAE"/>
    <w:rsid w:val="007C7F15"/>
    <w:rsid w:val="007E4292"/>
    <w:rsid w:val="007F30F1"/>
    <w:rsid w:val="008165A8"/>
    <w:rsid w:val="008557F7"/>
    <w:rsid w:val="00856FED"/>
    <w:rsid w:val="0087417B"/>
    <w:rsid w:val="00875153"/>
    <w:rsid w:val="008963A2"/>
    <w:rsid w:val="008A1791"/>
    <w:rsid w:val="008B2229"/>
    <w:rsid w:val="008B58C6"/>
    <w:rsid w:val="008C143B"/>
    <w:rsid w:val="008D51EC"/>
    <w:rsid w:val="008D62E4"/>
    <w:rsid w:val="008E3D08"/>
    <w:rsid w:val="008E606E"/>
    <w:rsid w:val="008E74E4"/>
    <w:rsid w:val="009312CD"/>
    <w:rsid w:val="00942F51"/>
    <w:rsid w:val="009731EC"/>
    <w:rsid w:val="009859A3"/>
    <w:rsid w:val="009A549B"/>
    <w:rsid w:val="009B7C32"/>
    <w:rsid w:val="00A25E48"/>
    <w:rsid w:val="00A334E5"/>
    <w:rsid w:val="00A55135"/>
    <w:rsid w:val="00A55145"/>
    <w:rsid w:val="00A93786"/>
    <w:rsid w:val="00AA28B2"/>
    <w:rsid w:val="00AA2A57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62835"/>
    <w:rsid w:val="00B649D3"/>
    <w:rsid w:val="00B73E7B"/>
    <w:rsid w:val="00B87BD5"/>
    <w:rsid w:val="00B92916"/>
    <w:rsid w:val="00BB17A8"/>
    <w:rsid w:val="00BB1B84"/>
    <w:rsid w:val="00BB20B4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45627"/>
    <w:rsid w:val="00D50012"/>
    <w:rsid w:val="00D60DAC"/>
    <w:rsid w:val="00D66A22"/>
    <w:rsid w:val="00D76D93"/>
    <w:rsid w:val="00DA69E2"/>
    <w:rsid w:val="00DE2A7E"/>
    <w:rsid w:val="00DF50EE"/>
    <w:rsid w:val="00E044DE"/>
    <w:rsid w:val="00E06855"/>
    <w:rsid w:val="00E26782"/>
    <w:rsid w:val="00E26FEC"/>
    <w:rsid w:val="00E319C2"/>
    <w:rsid w:val="00E624EF"/>
    <w:rsid w:val="00E92986"/>
    <w:rsid w:val="00E97719"/>
    <w:rsid w:val="00EB170D"/>
    <w:rsid w:val="00EC08BE"/>
    <w:rsid w:val="00EC792E"/>
    <w:rsid w:val="00EF4CC1"/>
    <w:rsid w:val="00F14C49"/>
    <w:rsid w:val="00F23EB3"/>
    <w:rsid w:val="00F255F4"/>
    <w:rsid w:val="00F4510A"/>
    <w:rsid w:val="00F735A6"/>
    <w:rsid w:val="00F80986"/>
    <w:rsid w:val="00F84A46"/>
    <w:rsid w:val="00F85605"/>
    <w:rsid w:val="00F96C39"/>
    <w:rsid w:val="00FA418D"/>
    <w:rsid w:val="00FB3D83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B85ED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8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324</cp:revision>
  <cp:lastPrinted>2026-07-22T04:53:00Z</cp:lastPrinted>
  <dcterms:created xsi:type="dcterms:W3CDTF">2026-07-21T03:04:00Z</dcterms:created>
  <dcterms:modified xsi:type="dcterms:W3CDTF">2026-08-28T03:11:00Z</dcterms:modified>
</cp:coreProperties>
</file>