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30C6" w14:textId="004944DA" w:rsidR="002871D7" w:rsidRDefault="002871D7" w:rsidP="00133B61">
      <w:pPr>
        <w:jc w:val="center"/>
      </w:pPr>
      <w:bookmarkStart w:id="0" w:name="_Hlk23421112"/>
      <w:bookmarkEnd w:id="0"/>
      <w:r>
        <w:rPr>
          <w:noProof/>
        </w:rPr>
        <w:drawing>
          <wp:inline distT="0" distB="0" distL="0" distR="0" wp14:anchorId="458E1A0B" wp14:editId="7789E5FE">
            <wp:extent cx="2882900" cy="844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99" t="14912" r="8654" b="15398"/>
                    <a:stretch/>
                  </pic:blipFill>
                  <pic:spPr bwMode="auto">
                    <a:xfrm>
                      <a:off x="0" y="0"/>
                      <a:ext cx="2902023" cy="849825"/>
                    </a:xfrm>
                    <a:prstGeom prst="rect">
                      <a:avLst/>
                    </a:prstGeom>
                    <a:ln>
                      <a:noFill/>
                    </a:ln>
                    <a:extLst>
                      <a:ext uri="{53640926-AAD7-44D8-BBD7-CCE9431645EC}">
                        <a14:shadowObscured xmlns:a14="http://schemas.microsoft.com/office/drawing/2010/main"/>
                      </a:ext>
                    </a:extLst>
                  </pic:spPr>
                </pic:pic>
              </a:graphicData>
            </a:graphic>
          </wp:inline>
        </w:drawing>
      </w:r>
    </w:p>
    <w:p w14:paraId="4E7406B4" w14:textId="77777777" w:rsidR="002871D7" w:rsidRDefault="002871D7" w:rsidP="00133B61">
      <w:pPr>
        <w:jc w:val="center"/>
      </w:pPr>
    </w:p>
    <w:p w14:paraId="5431FB16" w14:textId="77777777" w:rsidR="002871D7" w:rsidRDefault="002871D7" w:rsidP="00133B61">
      <w:pPr>
        <w:jc w:val="center"/>
      </w:pPr>
    </w:p>
    <w:p w14:paraId="1C7A50B6" w14:textId="77777777" w:rsidR="002871D7" w:rsidRDefault="002871D7" w:rsidP="00133B61">
      <w:pPr>
        <w:jc w:val="center"/>
      </w:pPr>
    </w:p>
    <w:p w14:paraId="1B77282B" w14:textId="77777777" w:rsidR="002871D7" w:rsidRDefault="002871D7" w:rsidP="00133B61">
      <w:pPr>
        <w:jc w:val="center"/>
      </w:pPr>
    </w:p>
    <w:p w14:paraId="454CA920" w14:textId="77777777" w:rsidR="002871D7" w:rsidRDefault="002871D7" w:rsidP="00133B61">
      <w:pPr>
        <w:jc w:val="center"/>
      </w:pPr>
    </w:p>
    <w:p w14:paraId="2901109C" w14:textId="77777777" w:rsidR="002871D7" w:rsidRDefault="002871D7" w:rsidP="00133B61">
      <w:pPr>
        <w:jc w:val="center"/>
      </w:pPr>
    </w:p>
    <w:p w14:paraId="322B6C39" w14:textId="77777777" w:rsidR="009F3BC7" w:rsidRDefault="009F3BC7" w:rsidP="00133B61">
      <w:pPr>
        <w:jc w:val="center"/>
        <w:rPr>
          <w:rFonts w:ascii="Times New Roman" w:hAnsi="Times New Roman" w:cs="Times New Roman"/>
          <w:b/>
          <w:sz w:val="72"/>
        </w:rPr>
      </w:pPr>
      <w:r w:rsidRPr="009F3BC7">
        <w:rPr>
          <w:rFonts w:ascii="Times New Roman" w:hAnsi="Times New Roman" w:cs="Times New Roman"/>
          <w:b/>
          <w:sz w:val="72"/>
        </w:rPr>
        <w:t>Ewing Natural Gas</w:t>
      </w:r>
      <w:r>
        <w:rPr>
          <w:rFonts w:ascii="Times New Roman" w:hAnsi="Times New Roman" w:cs="Times New Roman"/>
          <w:b/>
          <w:sz w:val="72"/>
        </w:rPr>
        <w:t>’s</w:t>
      </w:r>
    </w:p>
    <w:p w14:paraId="40B68A58" w14:textId="27EC9E61" w:rsidR="002871D7" w:rsidRDefault="009F3BC7" w:rsidP="00133B61">
      <w:pPr>
        <w:jc w:val="center"/>
        <w:rPr>
          <w:rFonts w:ascii="Times New Roman" w:hAnsi="Times New Roman" w:cs="Times New Roman"/>
          <w:b/>
          <w:sz w:val="72"/>
        </w:rPr>
      </w:pPr>
      <w:r w:rsidRPr="009F3BC7">
        <w:rPr>
          <w:rFonts w:ascii="Times New Roman" w:hAnsi="Times New Roman" w:cs="Times New Roman"/>
          <w:b/>
          <w:sz w:val="72"/>
        </w:rPr>
        <w:t xml:space="preserve"> </w:t>
      </w:r>
      <w:r>
        <w:rPr>
          <w:rFonts w:ascii="Times New Roman" w:hAnsi="Times New Roman" w:cs="Times New Roman"/>
          <w:b/>
          <w:sz w:val="72"/>
        </w:rPr>
        <w:t>Projection</w:t>
      </w:r>
      <w:r w:rsidR="002871D7" w:rsidRPr="004348AB">
        <w:rPr>
          <w:rFonts w:ascii="Times New Roman" w:hAnsi="Times New Roman" w:cs="Times New Roman"/>
          <w:b/>
          <w:sz w:val="72"/>
        </w:rPr>
        <w:t xml:space="preserve"> Selection</w:t>
      </w:r>
    </w:p>
    <w:p w14:paraId="35E6188D" w14:textId="77777777" w:rsidR="002871D7" w:rsidRDefault="002871D7" w:rsidP="00133B61">
      <w:pPr>
        <w:jc w:val="center"/>
        <w:rPr>
          <w:rFonts w:ascii="Times New Roman" w:hAnsi="Times New Roman" w:cs="Times New Roman"/>
          <w:b/>
          <w:sz w:val="72"/>
        </w:rPr>
      </w:pPr>
      <w:r w:rsidRPr="004348AB">
        <w:rPr>
          <w:rFonts w:ascii="Times New Roman" w:hAnsi="Times New Roman" w:cs="Times New Roman"/>
          <w:b/>
          <w:sz w:val="72"/>
        </w:rPr>
        <w:t>Case Study</w:t>
      </w:r>
    </w:p>
    <w:p w14:paraId="5748B71B" w14:textId="77777777" w:rsidR="002871D7" w:rsidRDefault="002871D7" w:rsidP="00133B61">
      <w:pPr>
        <w:jc w:val="center"/>
        <w:rPr>
          <w:rFonts w:ascii="Times New Roman" w:hAnsi="Times New Roman" w:cs="Times New Roman"/>
          <w:b/>
          <w:sz w:val="72"/>
        </w:rPr>
      </w:pPr>
    </w:p>
    <w:p w14:paraId="1BA57781" w14:textId="77777777" w:rsidR="002871D7" w:rsidRDefault="002871D7" w:rsidP="00133B61">
      <w:pPr>
        <w:jc w:val="center"/>
        <w:rPr>
          <w:rFonts w:ascii="Times New Roman" w:hAnsi="Times New Roman" w:cs="Times New Roman"/>
          <w:b/>
          <w:sz w:val="72"/>
        </w:rPr>
      </w:pPr>
    </w:p>
    <w:p w14:paraId="35E64A88" w14:textId="77777777" w:rsidR="002871D7" w:rsidRDefault="002871D7" w:rsidP="00133B61">
      <w:pPr>
        <w:jc w:val="center"/>
        <w:rPr>
          <w:rFonts w:ascii="Times New Roman" w:hAnsi="Times New Roman" w:cs="Times New Roman"/>
          <w:b/>
          <w:sz w:val="72"/>
        </w:rPr>
      </w:pPr>
    </w:p>
    <w:p w14:paraId="5EC625DC" w14:textId="77777777" w:rsidR="002871D7" w:rsidRDefault="002871D7" w:rsidP="00133B61">
      <w:pPr>
        <w:jc w:val="center"/>
        <w:rPr>
          <w:rFonts w:ascii="Times New Roman" w:hAnsi="Times New Roman" w:cs="Times New Roman"/>
          <w:b/>
          <w:sz w:val="72"/>
        </w:rPr>
      </w:pPr>
    </w:p>
    <w:p w14:paraId="72A75CAF" w14:textId="77777777" w:rsidR="002871D7" w:rsidRPr="003D6A7E" w:rsidRDefault="002871D7" w:rsidP="00133B61">
      <w:pPr>
        <w:jc w:val="center"/>
        <w:rPr>
          <w:rFonts w:ascii="Times New Roman" w:hAnsi="Times New Roman" w:cs="Times New Roman"/>
          <w:b/>
          <w:sz w:val="40"/>
          <w:szCs w:val="40"/>
        </w:rPr>
      </w:pPr>
      <w:r w:rsidRPr="003D6A7E">
        <w:rPr>
          <w:rFonts w:ascii="Times New Roman" w:hAnsi="Times New Roman" w:cs="Times New Roman"/>
          <w:b/>
          <w:sz w:val="40"/>
          <w:szCs w:val="40"/>
        </w:rPr>
        <w:t>SCM518</w:t>
      </w:r>
    </w:p>
    <w:p w14:paraId="199B97C5" w14:textId="77777777" w:rsidR="002871D7" w:rsidRDefault="002871D7" w:rsidP="00133B61">
      <w:pPr>
        <w:jc w:val="center"/>
        <w:rPr>
          <w:rFonts w:ascii="Times New Roman" w:hAnsi="Times New Roman" w:cs="Times New Roman"/>
          <w:b/>
          <w:sz w:val="40"/>
          <w:szCs w:val="40"/>
        </w:rPr>
      </w:pPr>
      <w:r w:rsidRPr="003D6A7E">
        <w:rPr>
          <w:rFonts w:ascii="Times New Roman" w:hAnsi="Times New Roman" w:cs="Times New Roman"/>
          <w:b/>
          <w:sz w:val="40"/>
          <w:szCs w:val="40"/>
        </w:rPr>
        <w:t>Analytical Decision Model</w:t>
      </w:r>
    </w:p>
    <w:p w14:paraId="011A0D27" w14:textId="77777777" w:rsidR="002871D7" w:rsidRDefault="002871D7" w:rsidP="00133B61">
      <w:pPr>
        <w:jc w:val="center"/>
        <w:rPr>
          <w:rFonts w:ascii="Times New Roman" w:hAnsi="Times New Roman" w:cs="Times New Roman"/>
          <w:b/>
        </w:rPr>
      </w:pPr>
    </w:p>
    <w:p w14:paraId="5F774790" w14:textId="77777777" w:rsidR="002871D7" w:rsidRDefault="002871D7" w:rsidP="00133B61">
      <w:pPr>
        <w:jc w:val="center"/>
        <w:rPr>
          <w:rFonts w:ascii="Times New Roman" w:hAnsi="Times New Roman" w:cs="Times New Roman"/>
          <w:b/>
        </w:rPr>
      </w:pPr>
    </w:p>
    <w:p w14:paraId="7E015A91" w14:textId="77777777" w:rsidR="002871D7" w:rsidRDefault="002871D7" w:rsidP="00133B61">
      <w:pPr>
        <w:jc w:val="center"/>
        <w:rPr>
          <w:rFonts w:ascii="Times New Roman" w:hAnsi="Times New Roman" w:cs="Times New Roman"/>
          <w:b/>
        </w:rPr>
      </w:pPr>
    </w:p>
    <w:p w14:paraId="14FC70A1" w14:textId="77777777" w:rsidR="002871D7" w:rsidRDefault="002871D7" w:rsidP="00133B61">
      <w:pPr>
        <w:jc w:val="center"/>
        <w:rPr>
          <w:rFonts w:ascii="Times New Roman" w:hAnsi="Times New Roman" w:cs="Times New Roman"/>
          <w:b/>
        </w:rPr>
      </w:pPr>
    </w:p>
    <w:p w14:paraId="33797F05" w14:textId="77777777" w:rsidR="002871D7" w:rsidRDefault="002871D7" w:rsidP="00133B61">
      <w:pPr>
        <w:jc w:val="center"/>
        <w:rPr>
          <w:rFonts w:ascii="Times New Roman" w:hAnsi="Times New Roman" w:cs="Times New Roman"/>
          <w:b/>
        </w:rPr>
      </w:pPr>
    </w:p>
    <w:p w14:paraId="570AB4F0" w14:textId="60EBB45A" w:rsidR="002871D7" w:rsidRDefault="00F26888" w:rsidP="00133B61">
      <w:pPr>
        <w:jc w:val="right"/>
        <w:rPr>
          <w:rFonts w:ascii="Times New Roman" w:hAnsi="Times New Roman" w:cs="Times New Roman"/>
          <w:b/>
        </w:rPr>
      </w:pPr>
      <w:r>
        <w:rPr>
          <w:rFonts w:ascii="Times New Roman" w:hAnsi="Times New Roman" w:cs="Times New Roman"/>
          <w:b/>
        </w:rPr>
        <w:t>Team C2</w:t>
      </w:r>
    </w:p>
    <w:p w14:paraId="50CC3806" w14:textId="77777777" w:rsidR="002871D7" w:rsidRDefault="002871D7" w:rsidP="00133B61">
      <w:pPr>
        <w:jc w:val="right"/>
      </w:pPr>
      <w:r>
        <w:t>Yi-Wun Chen</w:t>
      </w:r>
      <w:r>
        <w:br/>
        <w:t>Abhijit Chintamani</w:t>
      </w:r>
      <w:r>
        <w:br/>
        <w:t>Sai Shreshta Naskanti</w:t>
      </w:r>
      <w:r>
        <w:br/>
        <w:t>Zining Liu</w:t>
      </w:r>
    </w:p>
    <w:p w14:paraId="0F37CE76" w14:textId="120AD8F5" w:rsidR="002871D7" w:rsidRDefault="002871D7" w:rsidP="00AC1BEB">
      <w:pPr>
        <w:jc w:val="both"/>
        <w:rPr>
          <w:b/>
        </w:rPr>
      </w:pPr>
    </w:p>
    <w:p w14:paraId="5F409EFC" w14:textId="77777777" w:rsidR="00997FAC" w:rsidRDefault="00997FAC" w:rsidP="00AC1BEB">
      <w:pPr>
        <w:jc w:val="both"/>
      </w:pPr>
    </w:p>
    <w:sdt>
      <w:sdtPr>
        <w:rPr>
          <w:rFonts w:asciiTheme="minorHAnsi" w:eastAsiaTheme="minorHAnsi" w:hAnsiTheme="minorHAnsi" w:cstheme="minorBidi"/>
          <w:color w:val="auto"/>
          <w:sz w:val="24"/>
          <w:szCs w:val="24"/>
        </w:rPr>
        <w:id w:val="367498956"/>
        <w:docPartObj>
          <w:docPartGallery w:val="Table of Contents"/>
          <w:docPartUnique/>
        </w:docPartObj>
      </w:sdtPr>
      <w:sdtEndPr>
        <w:rPr>
          <w:rFonts w:eastAsia="PMingLiU"/>
          <w:b/>
          <w:bCs/>
          <w:noProof/>
        </w:rPr>
      </w:sdtEndPr>
      <w:sdtContent>
        <w:p w14:paraId="00B7E544" w14:textId="4A005CC6" w:rsidR="00EB4135" w:rsidRPr="00EB4135" w:rsidRDefault="00EB4135" w:rsidP="00AC1BEB">
          <w:pPr>
            <w:pStyle w:val="TOCHeading"/>
            <w:jc w:val="both"/>
            <w:rPr>
              <w:rFonts w:ascii="Times New Roman" w:hAnsi="Times New Roman" w:cs="Times New Roman"/>
              <w:b/>
              <w:color w:val="auto"/>
              <w:sz w:val="40"/>
            </w:rPr>
          </w:pPr>
          <w:r w:rsidRPr="00EB4135">
            <w:rPr>
              <w:rFonts w:ascii="Times New Roman" w:hAnsi="Times New Roman" w:cs="Times New Roman"/>
              <w:b/>
              <w:color w:val="auto"/>
              <w:sz w:val="40"/>
            </w:rPr>
            <w:t>Contents</w:t>
          </w:r>
        </w:p>
        <w:p w14:paraId="48AE82EC" w14:textId="2EEF38AE" w:rsidR="00E46C33" w:rsidRDefault="00EB4135">
          <w:pPr>
            <w:pStyle w:val="TOC2"/>
            <w:tabs>
              <w:tab w:val="right" w:leader="dot" w:pos="9710"/>
            </w:tabs>
            <w:rPr>
              <w:rFonts w:eastAsiaTheme="minorEastAsia"/>
              <w:noProof/>
              <w:sz w:val="22"/>
              <w:szCs w:val="22"/>
              <w:lang w:eastAsia="zh-TW"/>
            </w:rPr>
          </w:pPr>
          <w:r>
            <w:fldChar w:fldCharType="begin"/>
          </w:r>
          <w:r>
            <w:instrText xml:space="preserve"> TOC \o "1-3" \h \z \u </w:instrText>
          </w:r>
          <w:r>
            <w:fldChar w:fldCharType="separate"/>
          </w:r>
          <w:hyperlink w:anchor="_Toc25237042"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00E46C33">
              <w:rPr>
                <w:noProof/>
                <w:webHidden/>
              </w:rPr>
              <w:tab/>
            </w:r>
            <w:r w:rsidR="00E46C33">
              <w:rPr>
                <w:noProof/>
                <w:webHidden/>
              </w:rPr>
              <w:fldChar w:fldCharType="begin"/>
            </w:r>
            <w:r w:rsidR="00E46C33">
              <w:rPr>
                <w:noProof/>
                <w:webHidden/>
              </w:rPr>
              <w:instrText xml:space="preserve"> PAGEREF _Toc25237042 \h </w:instrText>
            </w:r>
            <w:r w:rsidR="00E46C33">
              <w:rPr>
                <w:noProof/>
                <w:webHidden/>
              </w:rPr>
            </w:r>
            <w:r w:rsidR="00E46C33">
              <w:rPr>
                <w:noProof/>
                <w:webHidden/>
              </w:rPr>
              <w:fldChar w:fldCharType="separate"/>
            </w:r>
            <w:r w:rsidR="00E46C33">
              <w:rPr>
                <w:noProof/>
                <w:webHidden/>
              </w:rPr>
              <w:t>3</w:t>
            </w:r>
            <w:r w:rsidR="00E46C33">
              <w:rPr>
                <w:noProof/>
                <w:webHidden/>
              </w:rPr>
              <w:fldChar w:fldCharType="end"/>
            </w:r>
          </w:hyperlink>
        </w:p>
        <w:p w14:paraId="69E173D2" w14:textId="0D050DBD" w:rsidR="00E46C33" w:rsidRDefault="0007686B">
          <w:pPr>
            <w:pStyle w:val="TOC2"/>
            <w:tabs>
              <w:tab w:val="right" w:leader="dot" w:pos="9710"/>
            </w:tabs>
            <w:rPr>
              <w:rFonts w:eastAsiaTheme="minorEastAsia"/>
              <w:noProof/>
              <w:sz w:val="22"/>
              <w:szCs w:val="22"/>
              <w:lang w:eastAsia="zh-TW"/>
            </w:rPr>
          </w:pPr>
          <w:hyperlink w:anchor="_Toc25237043"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overview</w:t>
            </w:r>
            <w:r w:rsidR="00E46C33">
              <w:rPr>
                <w:noProof/>
                <w:webHidden/>
              </w:rPr>
              <w:tab/>
            </w:r>
            <w:r w:rsidR="00E46C33">
              <w:rPr>
                <w:noProof/>
                <w:webHidden/>
              </w:rPr>
              <w:fldChar w:fldCharType="begin"/>
            </w:r>
            <w:r w:rsidR="00E46C33">
              <w:rPr>
                <w:noProof/>
                <w:webHidden/>
              </w:rPr>
              <w:instrText xml:space="preserve"> PAGEREF _Toc25237043 \h </w:instrText>
            </w:r>
            <w:r w:rsidR="00E46C33">
              <w:rPr>
                <w:noProof/>
                <w:webHidden/>
              </w:rPr>
            </w:r>
            <w:r w:rsidR="00E46C33">
              <w:rPr>
                <w:noProof/>
                <w:webHidden/>
              </w:rPr>
              <w:fldChar w:fldCharType="separate"/>
            </w:r>
            <w:r w:rsidR="00E46C33">
              <w:rPr>
                <w:noProof/>
                <w:webHidden/>
              </w:rPr>
              <w:t>3</w:t>
            </w:r>
            <w:r w:rsidR="00E46C33">
              <w:rPr>
                <w:noProof/>
                <w:webHidden/>
              </w:rPr>
              <w:fldChar w:fldCharType="end"/>
            </w:r>
          </w:hyperlink>
        </w:p>
        <w:p w14:paraId="09252233" w14:textId="337C7C79" w:rsidR="00E46C33" w:rsidRDefault="0007686B">
          <w:pPr>
            <w:pStyle w:val="TOC2"/>
            <w:tabs>
              <w:tab w:val="right" w:leader="dot" w:pos="9710"/>
            </w:tabs>
            <w:rPr>
              <w:rFonts w:eastAsiaTheme="minorEastAsia"/>
              <w:noProof/>
              <w:sz w:val="22"/>
              <w:szCs w:val="22"/>
              <w:lang w:eastAsia="zh-TW"/>
            </w:rPr>
          </w:pPr>
          <w:hyperlink w:anchor="_Toc25237044"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and Assumption</w:t>
            </w:r>
            <w:r w:rsidR="00E46C33">
              <w:rPr>
                <w:noProof/>
                <w:webHidden/>
              </w:rPr>
              <w:tab/>
            </w:r>
            <w:r w:rsidR="00E46C33">
              <w:rPr>
                <w:noProof/>
                <w:webHidden/>
              </w:rPr>
              <w:fldChar w:fldCharType="begin"/>
            </w:r>
            <w:r w:rsidR="00E46C33">
              <w:rPr>
                <w:noProof/>
                <w:webHidden/>
              </w:rPr>
              <w:instrText xml:space="preserve"> PAGEREF _Toc25237044 \h </w:instrText>
            </w:r>
            <w:r w:rsidR="00E46C33">
              <w:rPr>
                <w:noProof/>
                <w:webHidden/>
              </w:rPr>
            </w:r>
            <w:r w:rsidR="00E46C33">
              <w:rPr>
                <w:noProof/>
                <w:webHidden/>
              </w:rPr>
              <w:fldChar w:fldCharType="separate"/>
            </w:r>
            <w:r w:rsidR="00E46C33">
              <w:rPr>
                <w:noProof/>
                <w:webHidden/>
              </w:rPr>
              <w:t>4</w:t>
            </w:r>
            <w:r w:rsidR="00E46C33">
              <w:rPr>
                <w:noProof/>
                <w:webHidden/>
              </w:rPr>
              <w:fldChar w:fldCharType="end"/>
            </w:r>
          </w:hyperlink>
        </w:p>
        <w:p w14:paraId="709DA902" w14:textId="7379836B" w:rsidR="00E46C33" w:rsidRDefault="0007686B">
          <w:pPr>
            <w:pStyle w:val="TOC2"/>
            <w:tabs>
              <w:tab w:val="right" w:leader="dot" w:pos="9710"/>
            </w:tabs>
            <w:rPr>
              <w:rFonts w:eastAsiaTheme="minorEastAsia"/>
              <w:noProof/>
              <w:sz w:val="22"/>
              <w:szCs w:val="22"/>
              <w:lang w:eastAsia="zh-TW"/>
            </w:rPr>
          </w:pPr>
          <w:hyperlink w:anchor="_Toc25237045"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r w:rsidR="00E46C33">
              <w:rPr>
                <w:noProof/>
                <w:webHidden/>
              </w:rPr>
              <w:tab/>
            </w:r>
            <w:r w:rsidR="00E46C33">
              <w:rPr>
                <w:noProof/>
                <w:webHidden/>
              </w:rPr>
              <w:fldChar w:fldCharType="begin"/>
            </w:r>
            <w:r w:rsidR="00E46C33">
              <w:rPr>
                <w:noProof/>
                <w:webHidden/>
              </w:rPr>
              <w:instrText xml:space="preserve"> PAGEREF _Toc25237045 \h </w:instrText>
            </w:r>
            <w:r w:rsidR="00E46C33">
              <w:rPr>
                <w:noProof/>
                <w:webHidden/>
              </w:rPr>
            </w:r>
            <w:r w:rsidR="00E46C33">
              <w:rPr>
                <w:noProof/>
                <w:webHidden/>
              </w:rPr>
              <w:fldChar w:fldCharType="separate"/>
            </w:r>
            <w:r w:rsidR="00E46C33">
              <w:rPr>
                <w:noProof/>
                <w:webHidden/>
              </w:rPr>
              <w:t>6</w:t>
            </w:r>
            <w:r w:rsidR="00E46C33">
              <w:rPr>
                <w:noProof/>
                <w:webHidden/>
              </w:rPr>
              <w:fldChar w:fldCharType="end"/>
            </w:r>
          </w:hyperlink>
        </w:p>
        <w:p w14:paraId="6B69B18D" w14:textId="72E8EF2C" w:rsidR="00E46C33" w:rsidRDefault="0007686B">
          <w:pPr>
            <w:pStyle w:val="TOC2"/>
            <w:tabs>
              <w:tab w:val="right" w:leader="dot" w:pos="9710"/>
            </w:tabs>
            <w:rPr>
              <w:rFonts w:eastAsiaTheme="minorEastAsia"/>
              <w:noProof/>
              <w:sz w:val="22"/>
              <w:szCs w:val="22"/>
              <w:lang w:eastAsia="zh-TW"/>
            </w:rPr>
          </w:pPr>
          <w:hyperlink w:anchor="_Toc25237046"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r w:rsidR="00E46C33">
              <w:rPr>
                <w:noProof/>
                <w:webHidden/>
              </w:rPr>
              <w:tab/>
            </w:r>
            <w:r w:rsidR="00E46C33">
              <w:rPr>
                <w:noProof/>
                <w:webHidden/>
              </w:rPr>
              <w:fldChar w:fldCharType="begin"/>
            </w:r>
            <w:r w:rsidR="00E46C33">
              <w:rPr>
                <w:noProof/>
                <w:webHidden/>
              </w:rPr>
              <w:instrText xml:space="preserve"> PAGEREF _Toc25237046 \h </w:instrText>
            </w:r>
            <w:r w:rsidR="00E46C33">
              <w:rPr>
                <w:noProof/>
                <w:webHidden/>
              </w:rPr>
            </w:r>
            <w:r w:rsidR="00E46C33">
              <w:rPr>
                <w:noProof/>
                <w:webHidden/>
              </w:rPr>
              <w:fldChar w:fldCharType="separate"/>
            </w:r>
            <w:r w:rsidR="00E46C33">
              <w:rPr>
                <w:noProof/>
                <w:webHidden/>
              </w:rPr>
              <w:t>7</w:t>
            </w:r>
            <w:r w:rsidR="00E46C33">
              <w:rPr>
                <w:noProof/>
                <w:webHidden/>
              </w:rPr>
              <w:fldChar w:fldCharType="end"/>
            </w:r>
          </w:hyperlink>
        </w:p>
        <w:p w14:paraId="50CD69EE" w14:textId="721840EC" w:rsidR="00E46C33" w:rsidRDefault="0007686B">
          <w:pPr>
            <w:pStyle w:val="TOC2"/>
            <w:tabs>
              <w:tab w:val="right" w:leader="dot" w:pos="9710"/>
            </w:tabs>
            <w:rPr>
              <w:rFonts w:eastAsiaTheme="minorEastAsia"/>
              <w:noProof/>
              <w:sz w:val="22"/>
              <w:szCs w:val="22"/>
              <w:lang w:eastAsia="zh-TW"/>
            </w:rPr>
          </w:pPr>
          <w:hyperlink w:anchor="_Toc25237047" w:history="1">
            <w:r w:rsidR="00E46C33" w:rsidRPr="00AB19A3">
              <w:rPr>
                <w:rStyle w:val="Hyperlink"/>
                <w:rFonts w:ascii="Times New Roman" w:hAnsi="Times New Roman" w:cs="Times New Roman"/>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w:t>
            </w:r>
            <w:r w:rsidR="00E46C33">
              <w:rPr>
                <w:noProof/>
                <w:webHidden/>
              </w:rPr>
              <w:tab/>
            </w:r>
            <w:r w:rsidR="00E46C33">
              <w:rPr>
                <w:noProof/>
                <w:webHidden/>
              </w:rPr>
              <w:fldChar w:fldCharType="begin"/>
            </w:r>
            <w:r w:rsidR="00E46C33">
              <w:rPr>
                <w:noProof/>
                <w:webHidden/>
              </w:rPr>
              <w:instrText xml:space="preserve"> PAGEREF _Toc25237047 \h </w:instrText>
            </w:r>
            <w:r w:rsidR="00E46C33">
              <w:rPr>
                <w:noProof/>
                <w:webHidden/>
              </w:rPr>
            </w:r>
            <w:r w:rsidR="00E46C33">
              <w:rPr>
                <w:noProof/>
                <w:webHidden/>
              </w:rPr>
              <w:fldChar w:fldCharType="separate"/>
            </w:r>
            <w:r w:rsidR="00E46C33">
              <w:rPr>
                <w:noProof/>
                <w:webHidden/>
              </w:rPr>
              <w:t>9</w:t>
            </w:r>
            <w:r w:rsidR="00E46C33">
              <w:rPr>
                <w:noProof/>
                <w:webHidden/>
              </w:rPr>
              <w:fldChar w:fldCharType="end"/>
            </w:r>
          </w:hyperlink>
        </w:p>
        <w:p w14:paraId="29E3236B" w14:textId="3CE8C3DB" w:rsidR="00EB4135" w:rsidRPr="006A5173" w:rsidRDefault="00EB4135" w:rsidP="006A5173">
          <w:pPr>
            <w:pStyle w:val="TOC2"/>
            <w:tabs>
              <w:tab w:val="right" w:leader="dot" w:pos="9800"/>
            </w:tabs>
            <w:rPr>
              <w:rFonts w:eastAsiaTheme="minorEastAsia"/>
              <w:noProof/>
              <w:sz w:val="22"/>
              <w:szCs w:val="22"/>
              <w:lang w:eastAsia="zh-TW"/>
            </w:rPr>
          </w:pPr>
          <w:r>
            <w:rPr>
              <w:b/>
              <w:bCs/>
              <w:noProof/>
            </w:rPr>
            <w:fldChar w:fldCharType="end"/>
          </w:r>
        </w:p>
      </w:sdtContent>
    </w:sdt>
    <w:p w14:paraId="15AB317F" w14:textId="77777777" w:rsidR="00EB4135" w:rsidRPr="00EB4135" w:rsidRDefault="00EB4135" w:rsidP="00AC1BEB">
      <w:pPr>
        <w:jc w:val="both"/>
      </w:pPr>
    </w:p>
    <w:p w14:paraId="40F8C423" w14:textId="77777777" w:rsidR="00EB4135" w:rsidRDefault="00EB4135" w:rsidP="00AC1BEB">
      <w:pPr>
        <w:jc w:val="both"/>
        <w:rPr>
          <w:rFonts w:ascii="Times New Roman" w:eastAsiaTheme="majorEastAsia" w:hAnsi="Times New Roman" w:cs="Times New Roman"/>
          <w:b/>
          <w:color w:val="2E74B5" w:themeColor="accent5" w:themeShade="B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3BD7A79" w14:textId="77777777" w:rsidR="00A44B7F" w:rsidRPr="00C32057" w:rsidRDefault="00A44B7F" w:rsidP="00A44B7F">
      <w:pPr>
        <w:pStyle w:val="Heading2"/>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25237042"/>
      <w:r w:rsidRPr="00C32057">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bookmarkEnd w:id="1"/>
    </w:p>
    <w:p w14:paraId="47105C08" w14:textId="77777777" w:rsidR="00A44B7F" w:rsidRPr="00C32057" w:rsidRDefault="00A44B7F" w:rsidP="00A44B7F"/>
    <w:p w14:paraId="0A8AB525" w14:textId="72280890" w:rsidR="00A44B7F" w:rsidRDefault="00A44B7F" w:rsidP="00A44B7F">
      <w:pPr>
        <w:spacing w:line="480" w:lineRule="auto"/>
        <w:jc w:val="both"/>
      </w:pPr>
      <w:r>
        <w:t>Ewing Natural Gas is a large energy company with its headquarters in Dallas, Texas. The company has a huge revenue turnover of over $50 billion that it gets from selling various energy products. The CEO has the herculean task of approving projects from a huge pool of proposals and is looking for a way to make the most informed and beneficial decisions that will positively impact the business. The company currently has proposals from three different functional areas FA1, FA2, FA3 and each of these departments are assigned with capital expenditures over the next three years along with an NPV for each project. The company’s discount rate for each project is assigned at 12%. Various factors characterizing the project proposals are partnership share, NPV, functional area and capital expenditures. We have developed an optimization model on spreadsheet using integer values that would help Ewing Natural Gas to find the optimal set of projects that could be approved.</w:t>
      </w:r>
    </w:p>
    <w:p w14:paraId="04DD7494" w14:textId="77777777" w:rsidR="00217A27" w:rsidRPr="002871D7" w:rsidRDefault="00217A27" w:rsidP="00A44B7F">
      <w:pPr>
        <w:spacing w:line="480" w:lineRule="auto"/>
        <w:jc w:val="both"/>
      </w:pPr>
    </w:p>
    <w:p w14:paraId="06541101" w14:textId="77777777" w:rsidR="00A44B7F" w:rsidRPr="00C32057" w:rsidRDefault="00A44B7F" w:rsidP="00A44B7F">
      <w:pPr>
        <w:pStyle w:val="Heading2"/>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25237043"/>
      <w:r w:rsidRPr="00C32057">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overview</w:t>
      </w:r>
      <w:bookmarkEnd w:id="2"/>
    </w:p>
    <w:p w14:paraId="621D0E8E" w14:textId="77777777" w:rsidR="00A44B7F" w:rsidRPr="00D37FA4" w:rsidRDefault="00A44B7F" w:rsidP="00A44B7F"/>
    <w:p w14:paraId="0FC44A76" w14:textId="49ACAF6F" w:rsidR="00A44B7F" w:rsidRDefault="00A44B7F" w:rsidP="00A44B7F">
      <w:pPr>
        <w:spacing w:line="480" w:lineRule="auto"/>
      </w:pPr>
      <w:r>
        <w:t xml:space="preserve">J.R Bayer, the CEO of Ewing Natural gas has 12 projects to choose from and is wary of the risk vs. return for each choice. Each project entails a capital expenditure </w:t>
      </w:r>
      <w:r w:rsidR="00212D8C">
        <w:t>and</w:t>
      </w:r>
      <w:r>
        <w:t xml:space="preserve"> a share with a partner. Expenditure by Ewing </w:t>
      </w:r>
      <w:r w:rsidR="00212D8C">
        <w:t>must</w:t>
      </w:r>
      <w:r>
        <w:t xml:space="preserve"> be restricted, and total returns maximized.</w:t>
      </w:r>
    </w:p>
    <w:p w14:paraId="7869416B" w14:textId="63DA808E" w:rsidR="00377658" w:rsidRDefault="00A44B7F" w:rsidP="00A44B7F">
      <w:pPr>
        <w:spacing w:line="480" w:lineRule="auto"/>
      </w:pPr>
      <w:r>
        <w:t xml:space="preserve">Decision for approving a project is based on what the NPV(Net Present Value) of each project is, because it is a good estimate of what a project might be giving as returns three years down the line. Given all the constraints on capital and functional areas, the best combination for projects is made using </w:t>
      </w:r>
      <w:r w:rsidR="00217A27">
        <w:t>a</w:t>
      </w:r>
      <w:r>
        <w:t xml:space="preserve"> Linear Programming optimization model.</w:t>
      </w:r>
    </w:p>
    <w:p w14:paraId="3CFA0AF2" w14:textId="77777777" w:rsidR="00377658" w:rsidRDefault="00377658">
      <w:r>
        <w:br w:type="page"/>
      </w:r>
    </w:p>
    <w:p w14:paraId="618AF95B" w14:textId="5582A930" w:rsidR="00A44B7F" w:rsidRPr="00C32057" w:rsidRDefault="00A44B7F" w:rsidP="00A44B7F">
      <w:pPr>
        <w:pStyle w:val="Heading2"/>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25237044"/>
      <w:r w:rsidRPr="00C32057">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Model and Assumption</w:t>
      </w:r>
      <w:bookmarkEnd w:id="3"/>
    </w:p>
    <w:p w14:paraId="57DABBF1" w14:textId="5E37C453" w:rsidR="00324A7B" w:rsidRDefault="00324A7B" w:rsidP="00AC1BEB">
      <w:pPr>
        <w:jc w:val="both"/>
      </w:pPr>
    </w:p>
    <w:p w14:paraId="1C739A51" w14:textId="6A73BFE3" w:rsidR="00324A7B" w:rsidRPr="00997FAC" w:rsidRDefault="00324A7B" w:rsidP="00AC1BEB">
      <w:pPr>
        <w:spacing w:line="480" w:lineRule="auto"/>
        <w:jc w:val="both"/>
        <w:rPr>
          <w:b/>
        </w:rPr>
      </w:pPr>
      <w:r w:rsidRPr="00997FAC">
        <w:rPr>
          <w:b/>
        </w:rPr>
        <w:t>Input data given –</w:t>
      </w:r>
    </w:p>
    <w:p w14:paraId="2C614F88" w14:textId="3AB24FE9" w:rsidR="0095523A" w:rsidRDefault="00EE7313" w:rsidP="0061760C">
      <w:pPr>
        <w:pStyle w:val="ListParagraph"/>
        <w:numPr>
          <w:ilvl w:val="0"/>
          <w:numId w:val="1"/>
        </w:numPr>
        <w:spacing w:line="360" w:lineRule="auto"/>
        <w:ind w:left="720"/>
        <w:jc w:val="both"/>
      </w:pPr>
      <w:r>
        <w:t>P</w:t>
      </w:r>
      <w:r w:rsidR="00C96EB8">
        <w:t>roject</w:t>
      </w:r>
      <w:r>
        <w:t xml:space="preserve">s proposed by Ewing looking for approvals.  </w:t>
      </w:r>
      <w:r w:rsidR="00324A7B" w:rsidRPr="005D344D">
        <w:t xml:space="preserve"> (12 </w:t>
      </w:r>
      <w:r w:rsidR="00C96EB8">
        <w:t>projects</w:t>
      </w:r>
      <w:r w:rsidR="00324A7B" w:rsidRPr="005D344D">
        <w:t>)</w:t>
      </w:r>
      <w:r w:rsidR="0095523A">
        <w:t xml:space="preserve"> </w:t>
      </w:r>
    </w:p>
    <w:p w14:paraId="76BE80A4" w14:textId="7167954E" w:rsidR="00324A7B" w:rsidRPr="005D344D" w:rsidRDefault="00FD0D7B" w:rsidP="0061760C">
      <w:pPr>
        <w:pStyle w:val="ListParagraph"/>
        <w:numPr>
          <w:ilvl w:val="0"/>
          <w:numId w:val="1"/>
        </w:numPr>
        <w:spacing w:line="360" w:lineRule="auto"/>
        <w:ind w:left="720"/>
        <w:jc w:val="both"/>
      </w:pPr>
      <w:r>
        <w:t>T</w:t>
      </w:r>
      <w:r w:rsidR="0095523A">
        <w:t xml:space="preserve">he corresponding </w:t>
      </w:r>
      <w:r w:rsidR="0095523A" w:rsidRPr="0095523A">
        <w:t>Functional Area</w:t>
      </w:r>
      <w:r w:rsidR="00076472">
        <w:t xml:space="preserve"> for</w:t>
      </w:r>
      <w:r w:rsidR="0095523A">
        <w:t xml:space="preserve"> each project (3 </w:t>
      </w:r>
      <w:r w:rsidR="0095523A" w:rsidRPr="0095523A">
        <w:t>Functional Area</w:t>
      </w:r>
      <w:r w:rsidR="0095523A">
        <w:t>)</w:t>
      </w:r>
    </w:p>
    <w:p w14:paraId="5C2B4AB0" w14:textId="34B3CABE" w:rsidR="00324A7B" w:rsidRPr="005D344D" w:rsidRDefault="00C660D9" w:rsidP="0061760C">
      <w:pPr>
        <w:pStyle w:val="ListParagraph"/>
        <w:numPr>
          <w:ilvl w:val="0"/>
          <w:numId w:val="1"/>
        </w:numPr>
        <w:spacing w:line="360" w:lineRule="auto"/>
        <w:ind w:left="720"/>
        <w:jc w:val="both"/>
      </w:pPr>
      <w:r w:rsidRPr="00C660D9">
        <w:t>Partnership Percentage</w:t>
      </w:r>
      <w:r w:rsidR="00310118">
        <w:t xml:space="preserve"> </w:t>
      </w:r>
      <w:r>
        <w:t xml:space="preserve">involved by </w:t>
      </w:r>
      <w:r w:rsidRPr="00C660D9">
        <w:t xml:space="preserve">Ewing </w:t>
      </w:r>
      <w:r w:rsidR="00590E13">
        <w:t>for each project</w:t>
      </w:r>
      <w:r w:rsidRPr="00C660D9">
        <w:tab/>
      </w:r>
      <w:r w:rsidRPr="00C660D9">
        <w:tab/>
      </w:r>
    </w:p>
    <w:p w14:paraId="4F6F073A" w14:textId="77777777" w:rsidR="00260CC7" w:rsidRPr="00260CC7" w:rsidRDefault="00590E13" w:rsidP="0061760C">
      <w:pPr>
        <w:pStyle w:val="ListParagraph"/>
        <w:numPr>
          <w:ilvl w:val="0"/>
          <w:numId w:val="1"/>
        </w:numPr>
        <w:spacing w:line="360" w:lineRule="auto"/>
        <w:ind w:left="720"/>
        <w:jc w:val="both"/>
      </w:pPr>
      <w:r>
        <w:t xml:space="preserve">The amount of capital required </w:t>
      </w:r>
      <w:r w:rsidR="003B573D">
        <w:t>for each project</w:t>
      </w:r>
      <w:r w:rsidR="00C9112A">
        <w:t xml:space="preserve"> </w:t>
      </w:r>
      <w:r w:rsidR="00260CC7" w:rsidRPr="00260CC7">
        <w:t>over the next three years</w:t>
      </w:r>
      <w:r w:rsidR="00260CC7" w:rsidRPr="00260CC7">
        <w:rPr>
          <w:u w:val="single"/>
        </w:rPr>
        <w:t xml:space="preserve"> </w:t>
      </w:r>
    </w:p>
    <w:p w14:paraId="570691C8" w14:textId="5599ACEB" w:rsidR="00260CC7" w:rsidRPr="005D344D" w:rsidRDefault="00260CC7" w:rsidP="0061760C">
      <w:pPr>
        <w:pStyle w:val="ListParagraph"/>
        <w:numPr>
          <w:ilvl w:val="0"/>
          <w:numId w:val="1"/>
        </w:numPr>
        <w:spacing w:line="360" w:lineRule="auto"/>
        <w:ind w:left="720"/>
        <w:jc w:val="both"/>
      </w:pPr>
      <w:r>
        <w:t xml:space="preserve">Net Present Value </w:t>
      </w:r>
      <w:r w:rsidRPr="00260CC7">
        <w:t>for each pr</w:t>
      </w:r>
      <w:r>
        <w:t>oject</w:t>
      </w:r>
      <w:r w:rsidR="00FD0D7B">
        <w:t xml:space="preserve">, </w:t>
      </w:r>
      <w:r w:rsidRPr="00260CC7">
        <w:t>using the company’s discount rate of 12%</w:t>
      </w:r>
    </w:p>
    <w:p w14:paraId="5929FCB5" w14:textId="77777777" w:rsidR="0061760C" w:rsidRDefault="0061760C" w:rsidP="0061760C">
      <w:pPr>
        <w:jc w:val="both"/>
        <w:rPr>
          <w:b/>
        </w:rPr>
      </w:pPr>
    </w:p>
    <w:p w14:paraId="4F6E2F6C" w14:textId="39750412" w:rsidR="00446282" w:rsidRPr="00997FAC" w:rsidRDefault="00446282" w:rsidP="0061760C">
      <w:pPr>
        <w:spacing w:line="480" w:lineRule="auto"/>
        <w:jc w:val="both"/>
        <w:rPr>
          <w:b/>
        </w:rPr>
      </w:pPr>
      <w:r w:rsidRPr="00997FAC">
        <w:rPr>
          <w:b/>
        </w:rPr>
        <w:t>Assumptions –</w:t>
      </w:r>
    </w:p>
    <w:p w14:paraId="53246823" w14:textId="5BFDE79E" w:rsidR="00D24620" w:rsidRDefault="00D24620" w:rsidP="0061760C">
      <w:pPr>
        <w:pStyle w:val="ListParagraph"/>
        <w:numPr>
          <w:ilvl w:val="0"/>
          <w:numId w:val="4"/>
        </w:numPr>
        <w:spacing w:line="360" w:lineRule="auto"/>
      </w:pPr>
      <w:bookmarkStart w:id="4" w:name="_Hlk24642903"/>
      <w:r>
        <w:t>P</w:t>
      </w:r>
      <w:r w:rsidRPr="00EE7313">
        <w:t xml:space="preserve">rojects at various stages </w:t>
      </w:r>
      <w:r w:rsidRPr="00076472">
        <w:t>requir</w:t>
      </w:r>
      <w:r>
        <w:t>e</w:t>
      </w:r>
      <w:r w:rsidRPr="00076472">
        <w:t xml:space="preserve"> a wide variety of capital expenditures</w:t>
      </w:r>
      <w:r>
        <w:t xml:space="preserve"> over the three years</w:t>
      </w:r>
    </w:p>
    <w:p w14:paraId="4B723F40" w14:textId="0FC3BEDC" w:rsidR="000A43E5" w:rsidRDefault="000A43E5" w:rsidP="0061760C">
      <w:pPr>
        <w:pStyle w:val="ListParagraph"/>
        <w:numPr>
          <w:ilvl w:val="0"/>
          <w:numId w:val="4"/>
        </w:numPr>
        <w:spacing w:line="360" w:lineRule="auto"/>
      </w:pPr>
      <w:r>
        <w:t xml:space="preserve">The NPV of each project is </w:t>
      </w:r>
      <w:r w:rsidR="00D24620">
        <w:t>generated</w:t>
      </w:r>
      <w:r>
        <w:t xml:space="preserve"> at the end of the third year</w:t>
      </w:r>
      <w:r w:rsidR="00806056">
        <w:t>, using t</w:t>
      </w:r>
      <w:r w:rsidR="00D24620">
        <w:t>he company</w:t>
      </w:r>
      <w:r w:rsidR="00806056">
        <w:t xml:space="preserve">‘s </w:t>
      </w:r>
      <w:r w:rsidR="00D24620">
        <w:t xml:space="preserve">discount rate </w:t>
      </w:r>
      <w:r w:rsidR="00806056">
        <w:t>of</w:t>
      </w:r>
      <w:r w:rsidR="00D24620">
        <w:t xml:space="preserve"> 12%</w:t>
      </w:r>
    </w:p>
    <w:bookmarkEnd w:id="4"/>
    <w:p w14:paraId="35035EE8" w14:textId="35646C29" w:rsidR="00076472" w:rsidRDefault="00076472" w:rsidP="0061760C">
      <w:pPr>
        <w:pStyle w:val="ListParagraph"/>
        <w:numPr>
          <w:ilvl w:val="0"/>
          <w:numId w:val="4"/>
        </w:numPr>
        <w:spacing w:line="360" w:lineRule="auto"/>
      </w:pPr>
      <w:r>
        <w:t>P</w:t>
      </w:r>
      <w:r w:rsidRPr="00EE7313">
        <w:t>rojects promis</w:t>
      </w:r>
      <w:r>
        <w:t xml:space="preserve">e </w:t>
      </w:r>
      <w:r w:rsidRPr="00EE7313">
        <w:t>widely varying future revenue streams and contai</w:t>
      </w:r>
      <w:r>
        <w:t>n</w:t>
      </w:r>
      <w:r w:rsidRPr="00EE7313">
        <w:t xml:space="preserve"> varying degrees of risk. </w:t>
      </w:r>
    </w:p>
    <w:p w14:paraId="77A30021" w14:textId="57FBEFE8" w:rsidR="00446282" w:rsidRDefault="00076472" w:rsidP="0061760C">
      <w:pPr>
        <w:pStyle w:val="ListParagraph"/>
        <w:numPr>
          <w:ilvl w:val="0"/>
          <w:numId w:val="4"/>
        </w:numPr>
        <w:spacing w:line="360" w:lineRule="auto"/>
      </w:pPr>
      <w:r>
        <w:t>Each project would be undert</w:t>
      </w:r>
      <w:r w:rsidR="00D17BFA">
        <w:t>aken</w:t>
      </w:r>
      <w:r>
        <w:t xml:space="preserve"> by one Functional Area</w:t>
      </w:r>
    </w:p>
    <w:p w14:paraId="4144D818" w14:textId="77777777" w:rsidR="0061760C" w:rsidRDefault="0061760C" w:rsidP="0061760C">
      <w:pPr>
        <w:pStyle w:val="ListParagraph"/>
        <w:ind w:hanging="720"/>
        <w:jc w:val="both"/>
        <w:rPr>
          <w:b/>
        </w:rPr>
      </w:pPr>
    </w:p>
    <w:p w14:paraId="4BB3AA96" w14:textId="1069ADFF" w:rsidR="00446282" w:rsidRPr="00997FAC" w:rsidRDefault="002366E8" w:rsidP="0061760C">
      <w:pPr>
        <w:pStyle w:val="ListParagraph"/>
        <w:spacing w:line="480" w:lineRule="auto"/>
        <w:ind w:hanging="720"/>
        <w:jc w:val="both"/>
        <w:rPr>
          <w:b/>
        </w:rPr>
      </w:pPr>
      <w:r w:rsidRPr="00997FAC">
        <w:rPr>
          <w:b/>
        </w:rPr>
        <w:t>Decision Variables</w:t>
      </w:r>
      <w:r w:rsidR="00D71167">
        <w:rPr>
          <w:b/>
        </w:rPr>
        <w:t xml:space="preserve"> </w:t>
      </w:r>
      <w:r w:rsidR="00D71167" w:rsidRPr="00997FAC">
        <w:rPr>
          <w:b/>
        </w:rPr>
        <w:t>–</w:t>
      </w:r>
    </w:p>
    <w:p w14:paraId="5E8B7E99" w14:textId="1B69EA14" w:rsidR="002366E8" w:rsidRDefault="002366E8" w:rsidP="0061760C">
      <w:pPr>
        <w:pStyle w:val="ListParagraph"/>
        <w:spacing w:line="276" w:lineRule="auto"/>
        <w:jc w:val="both"/>
      </w:pPr>
      <w:r>
        <w:t>Let us say –</w:t>
      </w:r>
    </w:p>
    <w:p w14:paraId="3B9433E0" w14:textId="772F77A3" w:rsidR="002366E8" w:rsidRDefault="002366E8" w:rsidP="0061760C">
      <w:pPr>
        <w:pStyle w:val="ListParagraph"/>
        <w:spacing w:line="276" w:lineRule="auto"/>
        <w:jc w:val="both"/>
      </w:pPr>
      <w:r>
        <w:t xml:space="preserve">i </w:t>
      </w:r>
      <w:r w:rsidR="00CE6623">
        <w:t>= [ 1,2,3,4,5,6,7,8,9,10,11,12]</w:t>
      </w:r>
      <w:r w:rsidR="003B7E05">
        <w:t xml:space="preserve"> (Project index)</w:t>
      </w:r>
    </w:p>
    <w:p w14:paraId="0AB00FC7" w14:textId="340B3701" w:rsidR="005822BB" w:rsidRDefault="002366E8" w:rsidP="0061760C">
      <w:pPr>
        <w:pStyle w:val="ListParagraph"/>
        <w:spacing w:line="276" w:lineRule="auto"/>
        <w:jc w:val="both"/>
      </w:pPr>
      <w:r>
        <w:t xml:space="preserve">Each of the </w:t>
      </w:r>
      <w:r w:rsidR="00BE55B2">
        <w:t xml:space="preserve">decision variables </w:t>
      </w:r>
      <w:r w:rsidR="00BE55B2" w:rsidRPr="002D2CDE">
        <w:rPr>
          <w:rFonts w:ascii="Cambria Math" w:hAnsi="Cambria Math"/>
        </w:rPr>
        <w:t>D</w:t>
      </w:r>
      <w:r w:rsidR="003B7E05" w:rsidRPr="002D2CDE">
        <w:rPr>
          <w:rFonts w:ascii="Cambria Math" w:hAnsi="Cambria Math"/>
          <w:vertAlign w:val="subscript"/>
        </w:rPr>
        <w:t>i</w:t>
      </w:r>
      <w:r w:rsidR="00BE55B2">
        <w:t xml:space="preserve"> represents </w:t>
      </w:r>
      <w:r w:rsidR="003B7E05">
        <w:t xml:space="preserve">the decision of approving the project </w:t>
      </w:r>
      <w:r w:rsidR="005822BB" w:rsidRPr="003B7D4D">
        <w:rPr>
          <w:rFonts w:ascii="Cambria Math" w:hAnsi="Cambria Math"/>
        </w:rPr>
        <w:t>i,</w:t>
      </w:r>
      <w:r w:rsidR="005822BB">
        <w:t xml:space="preserve"> which is indicated by </w:t>
      </w:r>
      <w:r w:rsidR="00353068" w:rsidRPr="00353068">
        <w:t>0-1 variable</w:t>
      </w:r>
      <w:r w:rsidR="005822BB">
        <w:t>:</w:t>
      </w:r>
    </w:p>
    <w:p w14:paraId="26C9BF56" w14:textId="218271A1" w:rsidR="003B7E05" w:rsidRDefault="005822BB" w:rsidP="0061760C">
      <w:pPr>
        <w:pStyle w:val="ListParagraph"/>
        <w:spacing w:line="276" w:lineRule="auto"/>
        <w:jc w:val="both"/>
      </w:pPr>
      <w:r>
        <w:t xml:space="preserve">1 indicates that the project i is approved and 0 indicates that the project </w:t>
      </w:r>
      <w:r w:rsidRPr="003B7D4D">
        <w:rPr>
          <w:rFonts w:ascii="Cambria Math" w:hAnsi="Cambria Math"/>
        </w:rPr>
        <w:t>i</w:t>
      </w:r>
      <w:r>
        <w:t xml:space="preserve"> is not approved.</w:t>
      </w:r>
    </w:p>
    <w:p w14:paraId="51FEE9A9" w14:textId="13BCBBBB" w:rsidR="002366E8" w:rsidRDefault="00BE55B2" w:rsidP="0061760C">
      <w:pPr>
        <w:pStyle w:val="ListParagraph"/>
        <w:spacing w:line="276" w:lineRule="auto"/>
        <w:jc w:val="both"/>
      </w:pPr>
      <w:r>
        <w:t>So</w:t>
      </w:r>
      <w:r w:rsidR="00431AEE">
        <w:t>,</w:t>
      </w:r>
      <w:r>
        <w:t xml:space="preserve"> in all we have </w:t>
      </w:r>
      <w:r w:rsidR="005822BB">
        <w:t>12</w:t>
      </w:r>
      <w:r>
        <w:t xml:space="preserve"> Decisions </w:t>
      </w:r>
      <w:r w:rsidR="00431AEE">
        <w:t>variables</w:t>
      </w:r>
      <w:r w:rsidR="005822BB">
        <w:t>.</w:t>
      </w:r>
    </w:p>
    <w:p w14:paraId="4A7AA470" w14:textId="77777777" w:rsidR="0061760C" w:rsidRDefault="0061760C" w:rsidP="0061760C">
      <w:pPr>
        <w:pStyle w:val="ListParagraph"/>
        <w:jc w:val="both"/>
      </w:pPr>
    </w:p>
    <w:p w14:paraId="4810B5E0" w14:textId="65EDF097" w:rsidR="00BE55B2" w:rsidRPr="0061760C" w:rsidRDefault="00BE55B2" w:rsidP="0061760C">
      <w:pPr>
        <w:spacing w:line="480" w:lineRule="auto"/>
      </w:pPr>
      <w:r w:rsidRPr="005822BB">
        <w:rPr>
          <w:b/>
        </w:rPr>
        <w:t>Constraints</w:t>
      </w:r>
      <w:r w:rsidR="00D71167">
        <w:rPr>
          <w:b/>
        </w:rPr>
        <w:t xml:space="preserve"> </w:t>
      </w:r>
      <w:r w:rsidR="00D71167" w:rsidRPr="00997FAC">
        <w:rPr>
          <w:b/>
        </w:rPr>
        <w:t>–</w:t>
      </w:r>
      <w:r w:rsidR="00217A27">
        <w:rPr>
          <w:b/>
        </w:rPr>
        <w:t xml:space="preserve">  </w:t>
      </w:r>
      <w:r w:rsidR="00217A27">
        <w:t>all figures used in the model and the report are in thousands of millions (billions).</w:t>
      </w:r>
    </w:p>
    <w:p w14:paraId="5351651D" w14:textId="038DD472" w:rsidR="00540E90" w:rsidRDefault="00540E90" w:rsidP="0061760C">
      <w:pPr>
        <w:pStyle w:val="ListParagraph"/>
        <w:numPr>
          <w:ilvl w:val="0"/>
          <w:numId w:val="5"/>
        </w:numPr>
        <w:spacing w:line="480" w:lineRule="auto"/>
        <w:ind w:left="630"/>
        <w:jc w:val="both"/>
      </w:pPr>
      <w:r w:rsidRPr="002D2CDE">
        <w:rPr>
          <w:rFonts w:ascii="Cambria Math" w:hAnsi="Cambria Math"/>
        </w:rPr>
        <w:t>D</w:t>
      </w:r>
      <w:r w:rsidRPr="002D2CDE">
        <w:rPr>
          <w:rFonts w:ascii="Cambria Math" w:hAnsi="Cambria Math"/>
          <w:vertAlign w:val="subscript"/>
        </w:rPr>
        <w:t>i</w:t>
      </w:r>
      <w:r>
        <w:t xml:space="preserve"> should be represented as binary variables. </w:t>
      </w:r>
    </w:p>
    <w:p w14:paraId="5CA06C85" w14:textId="7CEAB5E7" w:rsidR="00BE55B2" w:rsidRDefault="00312298" w:rsidP="0028426E">
      <w:pPr>
        <w:pStyle w:val="ListParagraph"/>
        <w:numPr>
          <w:ilvl w:val="0"/>
          <w:numId w:val="5"/>
        </w:numPr>
        <w:spacing w:line="480" w:lineRule="auto"/>
        <w:ind w:left="630"/>
        <w:jc w:val="both"/>
      </w:pPr>
      <w:r>
        <w:t>C</w:t>
      </w:r>
      <w:r w:rsidR="00116700" w:rsidRPr="00116700">
        <w:t xml:space="preserve">apital expenditures over the three years should not exceed $10 billion; </w:t>
      </w:r>
    </w:p>
    <w:bookmarkStart w:id="5" w:name="_Hlk25060913"/>
    <w:p w14:paraId="76554F3F" w14:textId="17A2EE70" w:rsidR="00312298" w:rsidRPr="00F07B6E" w:rsidRDefault="0007686B" w:rsidP="00F07B6E">
      <w:pPr>
        <w:spacing w:line="360" w:lineRule="auto"/>
        <w:jc w:val="both"/>
        <w:rPr>
          <w:rFonts w:eastAsiaTheme="minorEastAsia"/>
        </w:rPr>
      </w:pPr>
      <m:oMathPara>
        <m:oMath>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3</m:t>
              </m:r>
            </m:sup>
            <m:e>
              <m:sSub>
                <m:sSubPr>
                  <m:ctrlPr>
                    <w:rPr>
                      <w:rFonts w:ascii="Cambria Math" w:hAnsi="Cambria Math"/>
                    </w:rPr>
                  </m:ctrlPr>
                </m:sSubPr>
                <m:e>
                  <m:r>
                    <w:rPr>
                      <w:rFonts w:ascii="Cambria Math" w:hAnsi="Cambria Math"/>
                    </w:rPr>
                    <m:t>C</m:t>
                  </m:r>
                </m:e>
                <m:sub>
                  <m:r>
                    <w:rPr>
                      <w:rFonts w:ascii="Cambria Math" w:hAnsi="Cambria Math"/>
                    </w:rPr>
                    <m:t>t</m:t>
                  </m:r>
                </m:sub>
              </m:sSub>
            </m:e>
          </m:nary>
          <w:bookmarkEnd w:id="5"/>
          <m:r>
            <w:rPr>
              <w:rFonts w:ascii="Cambria Math" w:hAnsi="Cambria Math"/>
            </w:rPr>
            <m:t>≤10,000</m:t>
          </m:r>
        </m:oMath>
      </m:oMathPara>
    </w:p>
    <w:p w14:paraId="4EB2EF5A" w14:textId="7398D784" w:rsidR="00312298" w:rsidRDefault="00312298" w:rsidP="0061760C">
      <w:pPr>
        <w:pStyle w:val="ListParagraph"/>
        <w:spacing w:line="360" w:lineRule="auto"/>
      </w:pPr>
      <w:r>
        <w:t xml:space="preserve">, where </w:t>
      </w:r>
      <m:oMath>
        <m:sSub>
          <m:sSubPr>
            <m:ctrlPr>
              <w:rPr>
                <w:rFonts w:ascii="Cambria Math" w:eastAsiaTheme="minorHAnsi" w:hAnsi="Cambria Math"/>
              </w:rPr>
            </m:ctrlPr>
          </m:sSubPr>
          <m:e>
            <m:r>
              <w:rPr>
                <w:rFonts w:ascii="Cambria Math" w:hAnsi="Cambria Math"/>
              </w:rPr>
              <m:t>C</m:t>
            </m:r>
          </m:e>
          <m:sub>
            <m:r>
              <w:rPr>
                <w:rFonts w:ascii="Cambria Math" w:hAnsi="Cambria Math"/>
              </w:rPr>
              <m:t>t</m:t>
            </m:r>
          </m:sub>
        </m:sSub>
      </m:oMath>
      <w:r>
        <w:t xml:space="preserve"> represents the capital expenditure in the </w:t>
      </w:r>
      <w:r w:rsidRPr="002D2CDE">
        <w:rPr>
          <w:rFonts w:ascii="Cambria Math" w:hAnsi="Cambria Math"/>
        </w:rPr>
        <w:t>t</w:t>
      </w:r>
      <w:r w:rsidRPr="002D2CDE">
        <w:rPr>
          <w:rFonts w:ascii="Cambria Math" w:hAnsi="Cambria Math"/>
          <w:vertAlign w:val="superscript"/>
        </w:rPr>
        <w:t>th</w:t>
      </w:r>
      <w:r w:rsidRPr="00312298">
        <w:rPr>
          <w:vertAlign w:val="superscript"/>
        </w:rPr>
        <w:t xml:space="preserve"> </w:t>
      </w:r>
      <w:r>
        <w:t xml:space="preserve"> year</w:t>
      </w:r>
    </w:p>
    <w:p w14:paraId="028C46FD" w14:textId="352C49E8" w:rsidR="00F67634" w:rsidRDefault="00312298" w:rsidP="0028426E">
      <w:pPr>
        <w:pStyle w:val="ListParagraph"/>
        <w:numPr>
          <w:ilvl w:val="0"/>
          <w:numId w:val="5"/>
        </w:numPr>
        <w:spacing w:line="480" w:lineRule="auto"/>
        <w:ind w:left="630"/>
        <w:jc w:val="both"/>
      </w:pPr>
      <w:r>
        <w:lastRenderedPageBreak/>
        <w:t xml:space="preserve"> C</w:t>
      </w:r>
      <w:r w:rsidRPr="00312298">
        <w:t>apital expenditures in any single year should not exceed $4 billion</w:t>
      </w:r>
    </w:p>
    <w:p w14:paraId="5A8C0D42" w14:textId="6E205977" w:rsidR="00F67634" w:rsidRPr="00F07B6E" w:rsidRDefault="0007686B" w:rsidP="00F07B6E">
      <w:pPr>
        <w:spacing w:line="360" w:lineRule="auto"/>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≤4,000</m:t>
          </m:r>
        </m:oMath>
      </m:oMathPara>
    </w:p>
    <w:p w14:paraId="5BFE5D44" w14:textId="41F548CA" w:rsidR="00D84C08" w:rsidRDefault="00D84C08" w:rsidP="00961456">
      <w:pPr>
        <w:pStyle w:val="ListParagraph"/>
        <w:spacing w:line="360" w:lineRule="auto"/>
      </w:pPr>
      <w:bookmarkStart w:id="6" w:name="_Hlk24968136"/>
      <w:r>
        <w:t xml:space="preserve">, where </w:t>
      </w:r>
      <m:oMath>
        <m:sSub>
          <m:sSubPr>
            <m:ctrlPr>
              <w:rPr>
                <w:rFonts w:ascii="Cambria Math" w:eastAsiaTheme="minorHAnsi" w:hAnsi="Cambria Math"/>
              </w:rPr>
            </m:ctrlPr>
          </m:sSubPr>
          <m:e>
            <m:r>
              <w:rPr>
                <w:rFonts w:ascii="Cambria Math" w:hAnsi="Cambria Math"/>
              </w:rPr>
              <m:t>C</m:t>
            </m:r>
          </m:e>
          <m:sub>
            <m:r>
              <w:rPr>
                <w:rFonts w:ascii="Cambria Math" w:hAnsi="Cambria Math"/>
              </w:rPr>
              <m:t>t</m:t>
            </m:r>
          </m:sub>
        </m:sSub>
      </m:oMath>
      <w:r>
        <w:t xml:space="preserve"> represents the capital expenditure in the </w:t>
      </w:r>
      <w:r w:rsidRPr="003B7D4D">
        <w:rPr>
          <w:rFonts w:ascii="Cambria Math" w:hAnsi="Cambria Math"/>
        </w:rPr>
        <w:t>t</w:t>
      </w:r>
      <w:r w:rsidRPr="003B7D4D">
        <w:rPr>
          <w:rFonts w:ascii="Cambria Math" w:hAnsi="Cambria Math"/>
          <w:vertAlign w:val="superscript"/>
        </w:rPr>
        <w:t>th</w:t>
      </w:r>
      <w:r w:rsidRPr="00312298">
        <w:rPr>
          <w:vertAlign w:val="superscript"/>
        </w:rPr>
        <w:t xml:space="preserve"> </w:t>
      </w:r>
      <w:r>
        <w:t xml:space="preserve"> year</w:t>
      </w:r>
      <w:bookmarkEnd w:id="6"/>
    </w:p>
    <w:p w14:paraId="291958D2" w14:textId="34DB5F32" w:rsidR="00D84C08" w:rsidRDefault="00D84C08" w:rsidP="0028426E">
      <w:pPr>
        <w:pStyle w:val="ListParagraph"/>
        <w:numPr>
          <w:ilvl w:val="0"/>
          <w:numId w:val="5"/>
        </w:numPr>
        <w:spacing w:line="480" w:lineRule="auto"/>
        <w:ind w:left="630"/>
        <w:jc w:val="both"/>
      </w:pPr>
      <w:r>
        <w:t>A</w:t>
      </w:r>
      <w:r w:rsidRPr="00D84C08">
        <w:t>t least one project must be approved for each functional area.</w:t>
      </w:r>
    </w:p>
    <w:bookmarkStart w:id="7" w:name="_Hlk25060959"/>
    <w:p w14:paraId="7C2B11D8" w14:textId="259470D6" w:rsidR="00D84C08" w:rsidRPr="00D84C08" w:rsidRDefault="0007686B" w:rsidP="00F07B6E">
      <w:pPr>
        <w:spacing w:line="360" w:lineRule="auto"/>
        <w:jc w:val="cente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nary>
          <m:r>
            <w:rPr>
              <w:rFonts w:ascii="Cambria Math" w:hAnsi="Cambria Math"/>
            </w:rPr>
            <m:t xml:space="preserve"> ≥  1</m:t>
          </m:r>
        </m:oMath>
      </m:oMathPara>
    </w:p>
    <w:bookmarkEnd w:id="7"/>
    <w:p w14:paraId="10B5FFF2" w14:textId="428CD871" w:rsidR="00D84C08" w:rsidRDefault="00D84C08" w:rsidP="00961456">
      <w:pPr>
        <w:pStyle w:val="ListParagraph"/>
        <w:spacing w:line="360" w:lineRule="auto"/>
        <w:ind w:left="630"/>
      </w:pPr>
      <w:r w:rsidRPr="00D84C08">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Pr="00D84C08">
        <w:t xml:space="preserve"> represents </w:t>
      </w:r>
      <w:r w:rsidR="00B01AA1">
        <w:t xml:space="preserve">the </w:t>
      </w:r>
      <w:r w:rsidR="00540E90">
        <w:t xml:space="preserve">total </w:t>
      </w:r>
      <w:r w:rsidR="00B01AA1">
        <w:t xml:space="preserve">number of </w:t>
      </w:r>
      <w:r w:rsidR="00540E90">
        <w:t xml:space="preserve">approved </w:t>
      </w:r>
      <w:r w:rsidR="00B01AA1">
        <w:t>project</w:t>
      </w:r>
      <w:r w:rsidR="00540E90">
        <w:t>s</w:t>
      </w:r>
      <w:r w:rsidR="00B01AA1">
        <w:t xml:space="preserve"> for functional area </w:t>
      </w:r>
      <w:r w:rsidR="00B01AA1" w:rsidRPr="00540E90">
        <w:rPr>
          <w:rFonts w:ascii="Cambria Math" w:hAnsi="Cambria Math"/>
          <w:i/>
        </w:rPr>
        <w:t>j</w:t>
      </w:r>
      <w:r w:rsidR="00B01AA1">
        <w:t xml:space="preserve"> </w:t>
      </w:r>
    </w:p>
    <w:p w14:paraId="6DDCD5B9" w14:textId="73A5925A" w:rsidR="00540E90" w:rsidRDefault="00540E90" w:rsidP="0028426E">
      <w:pPr>
        <w:pStyle w:val="ListParagraph"/>
        <w:numPr>
          <w:ilvl w:val="0"/>
          <w:numId w:val="5"/>
        </w:numPr>
        <w:spacing w:line="480" w:lineRule="auto"/>
        <w:ind w:left="630"/>
        <w:jc w:val="both"/>
      </w:pPr>
      <w:r>
        <w:t>A</w:t>
      </w:r>
      <w:r w:rsidRPr="00D84C08">
        <w:t xml:space="preserve">t least </w:t>
      </w:r>
      <w:r>
        <w:t>two</w:t>
      </w:r>
      <w:r w:rsidRPr="00D84C08">
        <w:t xml:space="preserve"> project</w:t>
      </w:r>
      <w:r>
        <w:t>s</w:t>
      </w:r>
      <w:r w:rsidRPr="00D84C08">
        <w:t xml:space="preserve"> must be approved for each functional area</w:t>
      </w:r>
      <w:r w:rsidRPr="0028426E">
        <w:t xml:space="preserve">. </w:t>
      </w:r>
      <w:r w:rsidRPr="0028426E">
        <w:rPr>
          <w:sz w:val="22"/>
        </w:rPr>
        <w:t>( for modified model</w:t>
      </w:r>
      <w:r w:rsidR="006767F9">
        <w:rPr>
          <w:sz w:val="22"/>
        </w:rPr>
        <w:t xml:space="preserve"> </w:t>
      </w:r>
      <w:r w:rsidR="00DB413D">
        <w:rPr>
          <w:sz w:val="22"/>
        </w:rPr>
        <w:t>1</w:t>
      </w:r>
      <w:r w:rsidRPr="0028426E">
        <w:rPr>
          <w:sz w:val="22"/>
        </w:rPr>
        <w:t xml:space="preserve"> ) </w:t>
      </w:r>
    </w:p>
    <w:p w14:paraId="4C001756" w14:textId="54499FDE" w:rsidR="00540E90" w:rsidRPr="00D84C08" w:rsidRDefault="0007686B" w:rsidP="00F07B6E">
      <w:pPr>
        <w:spacing w:line="360" w:lineRule="auto"/>
        <w:jc w:val="cente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nary>
          <m:r>
            <w:rPr>
              <w:rFonts w:ascii="Cambria Math" w:hAnsi="Cambria Math"/>
            </w:rPr>
            <m:t xml:space="preserve"> ≥  2</m:t>
          </m:r>
        </m:oMath>
      </m:oMathPara>
    </w:p>
    <w:p w14:paraId="3A8C2545" w14:textId="77777777" w:rsidR="00540E90" w:rsidRDefault="00540E90" w:rsidP="00961456">
      <w:pPr>
        <w:pStyle w:val="ListParagraph"/>
        <w:spacing w:line="360" w:lineRule="auto"/>
        <w:ind w:left="630"/>
      </w:pPr>
      <w:r w:rsidRPr="00D84C08">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Pr="00D84C08">
        <w:t xml:space="preserve"> represents </w:t>
      </w:r>
      <w:r>
        <w:t xml:space="preserve">the total number of approved projects for functional area </w:t>
      </w:r>
      <w:r w:rsidRPr="00540E90">
        <w:rPr>
          <w:rFonts w:ascii="Cambria Math" w:hAnsi="Cambria Math"/>
          <w:i/>
        </w:rPr>
        <w:t>j</w:t>
      </w:r>
      <w:r>
        <w:t xml:space="preserve"> </w:t>
      </w:r>
    </w:p>
    <w:p w14:paraId="305849A8" w14:textId="5839CBBC" w:rsidR="00540E90" w:rsidRPr="00353068" w:rsidRDefault="00540E90" w:rsidP="00961456">
      <w:pPr>
        <w:pStyle w:val="ListParagraph"/>
        <w:numPr>
          <w:ilvl w:val="0"/>
          <w:numId w:val="5"/>
        </w:numPr>
        <w:spacing w:line="360" w:lineRule="auto"/>
        <w:ind w:left="630"/>
      </w:pPr>
      <w:r>
        <w:t xml:space="preserve">The company </w:t>
      </w:r>
      <w:r w:rsidRPr="00540E90">
        <w:t>limit</w:t>
      </w:r>
      <w:r>
        <w:t>s</w:t>
      </w:r>
      <w:r w:rsidRPr="00540E90">
        <w:t xml:space="preserve"> the number of joint partnerships to n, where n can vary from 3 to 6.</w:t>
      </w:r>
      <w:r w:rsidRPr="0028426E">
        <w:t xml:space="preserve"> </w:t>
      </w:r>
      <w:r w:rsidR="00353068" w:rsidRPr="0028426E">
        <w:br/>
      </w:r>
      <w:r w:rsidRPr="00353068">
        <w:rPr>
          <w:sz w:val="22"/>
        </w:rPr>
        <w:t xml:space="preserve">( for modified model </w:t>
      </w:r>
      <w:r w:rsidR="00DB413D">
        <w:rPr>
          <w:sz w:val="22"/>
        </w:rPr>
        <w:t xml:space="preserve">2 </w:t>
      </w:r>
      <w:r w:rsidRPr="00353068">
        <w:rPr>
          <w:sz w:val="22"/>
        </w:rPr>
        <w:t>)</w:t>
      </w:r>
    </w:p>
    <w:p w14:paraId="64E8D2D3" w14:textId="45AADB57" w:rsidR="00353068" w:rsidRPr="00353068" w:rsidRDefault="0007686B" w:rsidP="00961456">
      <w:pPr>
        <w:spacing w:line="360" w:lineRule="auto"/>
        <w:jc w:val="center"/>
        <w:rPr>
          <w:rFonts w:eastAsiaTheme="minorEastAsia"/>
        </w:rPr>
      </w:pPr>
      <m:oMathPara>
        <m:oMath>
          <m:nary>
            <m:naryPr>
              <m:chr m:val="∑"/>
              <m:limLoc m:val="undOvr"/>
              <m:ctrlPr>
                <w:rPr>
                  <w:rFonts w:ascii="Cambria Math" w:hAnsi="Cambria Math"/>
                  <w:i/>
                </w:rPr>
              </m:ctrlPr>
            </m:naryPr>
            <m:sub>
              <m:r>
                <w:rPr>
                  <w:rFonts w:ascii="Cambria Math" w:hAnsi="Cambria Math"/>
                </w:rPr>
                <m:t>p= 2</m:t>
              </m:r>
            </m:sub>
            <m:sup>
              <m:r>
                <w:rPr>
                  <w:rFonts w:ascii="Cambria Math" w:hAnsi="Cambria Math"/>
                </w:rPr>
                <m:t>11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nary>
          <m:r>
            <w:rPr>
              <w:rFonts w:ascii="Cambria Math" w:hAnsi="Cambria Math"/>
            </w:rPr>
            <m:t xml:space="preserve"> ≥  3,4,5,6</m:t>
          </m:r>
        </m:oMath>
      </m:oMathPara>
    </w:p>
    <w:p w14:paraId="74601E86" w14:textId="075413D6" w:rsidR="00C2565A" w:rsidRPr="00C2565A" w:rsidRDefault="00353068" w:rsidP="00961456">
      <w:pPr>
        <w:spacing w:line="360" w:lineRule="auto"/>
        <w:ind w:firstLine="90"/>
        <w:rPr>
          <w:rFonts w:eastAsiaTheme="minorEastAsia"/>
        </w:rPr>
      </w:pPr>
      <w:r>
        <w:rPr>
          <w:rFonts w:eastAsiaTheme="minorEastAsia"/>
        </w:rPr>
        <w:t xml:space="preserve">,where </w:t>
      </w:r>
      <w:r w:rsidRPr="00B165D8">
        <w:rPr>
          <w:rFonts w:ascii="Cambria Math" w:eastAsiaTheme="minorEastAsia" w:hAnsi="Cambria Math"/>
        </w:rPr>
        <w:t>p</w:t>
      </w:r>
      <w:r>
        <w:rPr>
          <w:rFonts w:eastAsiaTheme="minorEastAsia"/>
        </w:rPr>
        <w:t xml:space="preserve"> = [ the project 2, the project 3, the project5, the project 6, the project 9, the project 11 ]</w:t>
      </w:r>
    </w:p>
    <w:p w14:paraId="470B883D" w14:textId="75EE77F1" w:rsidR="00C2565A" w:rsidRPr="00C2565A" w:rsidRDefault="00C2565A" w:rsidP="006767F9">
      <w:pPr>
        <w:pStyle w:val="ListParagraph"/>
        <w:numPr>
          <w:ilvl w:val="0"/>
          <w:numId w:val="5"/>
        </w:numPr>
        <w:spacing w:line="480" w:lineRule="auto"/>
        <w:ind w:left="630"/>
        <w:rPr>
          <w:rFonts w:eastAsiaTheme="minorEastAsia"/>
        </w:rPr>
      </w:pPr>
      <w:r>
        <w:rPr>
          <w:rFonts w:ascii="Calibri" w:hAnsi="Calibri" w:cs="Calibri"/>
          <w:color w:val="000000"/>
        </w:rPr>
        <w:t>No more than 2 of projects 3,6 and 11 should not be selected</w:t>
      </w:r>
      <w:r w:rsidRPr="00C2565A">
        <w:rPr>
          <w:rFonts w:ascii="Calibri" w:hAnsi="Calibri" w:cs="Calibri"/>
          <w:color w:val="000000"/>
        </w:rPr>
        <w:t xml:space="preserve"> </w:t>
      </w:r>
      <w:r w:rsidRPr="00353068">
        <w:rPr>
          <w:sz w:val="22"/>
        </w:rPr>
        <w:t xml:space="preserve">( for modified model </w:t>
      </w:r>
      <w:r w:rsidR="00DB413D">
        <w:rPr>
          <w:sz w:val="22"/>
        </w:rPr>
        <w:t xml:space="preserve">3 </w:t>
      </w:r>
      <w:r w:rsidRPr="00353068">
        <w:rPr>
          <w:sz w:val="22"/>
        </w:rPr>
        <w:t>)</w:t>
      </w:r>
      <m:oMath>
        <m:r>
          <m:rPr>
            <m:sty m:val="p"/>
          </m:rPr>
          <w:rPr>
            <w:rFonts w:ascii="Cambria Math" w:hAnsi="Cambria Math"/>
          </w:rPr>
          <w:br/>
        </m:r>
      </m:oMath>
      <m:oMathPara>
        <m:oMath>
          <m:sSub>
            <m:sSubPr>
              <m:ctrlPr>
                <w:rPr>
                  <w:rFonts w:ascii="Cambria Math" w:eastAsiaTheme="minorHAnsi"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eastAsiaTheme="minorHAnsi" w:hAnsi="Cambria Math"/>
                  <w:i/>
                </w:rPr>
              </m:ctrlPr>
            </m:sSubPr>
            <m:e>
              <m:r>
                <w:rPr>
                  <w:rFonts w:ascii="Cambria Math" w:hAnsi="Cambria Math"/>
                </w:rPr>
                <m:t>D</m:t>
              </m:r>
            </m:e>
            <m:sub>
              <m:r>
                <w:rPr>
                  <w:rFonts w:ascii="Cambria Math" w:hAnsi="Cambria Math"/>
                </w:rPr>
                <m:t>6</m:t>
              </m:r>
            </m:sub>
          </m:sSub>
          <m:sSub>
            <m:sSubPr>
              <m:ctrlPr>
                <w:rPr>
                  <w:rFonts w:ascii="Cambria Math" w:eastAsiaTheme="minorHAnsi" w:hAnsi="Cambria Math"/>
                  <w:i/>
                </w:rPr>
              </m:ctrlPr>
            </m:sSubPr>
            <m:e>
              <m:r>
                <w:rPr>
                  <w:rFonts w:ascii="Cambria Math" w:hAnsi="Cambria Math"/>
                </w:rPr>
                <m:t>+D</m:t>
              </m:r>
            </m:e>
            <m:sub>
              <m:r>
                <w:rPr>
                  <w:rFonts w:ascii="Cambria Math" w:hAnsi="Cambria Math"/>
                </w:rPr>
                <m:t>11</m:t>
              </m:r>
            </m:sub>
          </m:sSub>
          <m:r>
            <w:rPr>
              <w:rFonts w:ascii="Cambria Math" w:hAnsi="Cambria Math"/>
            </w:rPr>
            <m:t xml:space="preserve"> ≤ 2 </m:t>
          </m:r>
        </m:oMath>
      </m:oMathPara>
    </w:p>
    <w:p w14:paraId="06C6DD54" w14:textId="68A27EF3" w:rsidR="00C2565A" w:rsidRDefault="00C2565A" w:rsidP="0028426E">
      <w:pPr>
        <w:pStyle w:val="ListParagraph"/>
        <w:numPr>
          <w:ilvl w:val="0"/>
          <w:numId w:val="5"/>
        </w:numPr>
        <w:spacing w:line="480" w:lineRule="auto"/>
        <w:ind w:left="630"/>
        <w:rPr>
          <w:rFonts w:eastAsiaTheme="minorEastAsia"/>
        </w:rPr>
      </w:pPr>
      <w:r>
        <w:rPr>
          <w:rFonts w:eastAsiaTheme="minorEastAsia"/>
        </w:rPr>
        <w:t>B</w:t>
      </w:r>
      <w:r w:rsidRPr="00C2565A">
        <w:rPr>
          <w:rFonts w:eastAsiaTheme="minorEastAsia"/>
        </w:rPr>
        <w:t>oth projects 2 and 9 must be selected if either is selected</w:t>
      </w:r>
      <w:r>
        <w:rPr>
          <w:rFonts w:eastAsiaTheme="minorEastAsia"/>
        </w:rPr>
        <w:t xml:space="preserve"> </w:t>
      </w:r>
      <w:r w:rsidRPr="00353068">
        <w:rPr>
          <w:sz w:val="22"/>
        </w:rPr>
        <w:t xml:space="preserve">( for modified model </w:t>
      </w:r>
      <w:r w:rsidR="00DB413D">
        <w:rPr>
          <w:sz w:val="22"/>
        </w:rPr>
        <w:t xml:space="preserve"> 4 </w:t>
      </w:r>
      <w:r w:rsidRPr="00353068">
        <w:rPr>
          <w:sz w:val="22"/>
        </w:rPr>
        <w:t>)</w:t>
      </w:r>
    </w:p>
    <w:p w14:paraId="53BD3294" w14:textId="77777777" w:rsidR="0061760C" w:rsidRDefault="0007686B" w:rsidP="0061760C">
      <w:pPr>
        <w:spacing w:line="360" w:lineRule="auto"/>
        <w:ind w:left="27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9</m:t>
              </m:r>
            </m:sub>
          </m:sSub>
          <m:r>
            <w:rPr>
              <w:rFonts w:ascii="Cambria Math" w:hAnsi="Cambria Math"/>
            </w:rPr>
            <m:t>)/2 ≤ 1</m:t>
          </m:r>
        </m:oMath>
      </m:oMathPara>
    </w:p>
    <w:p w14:paraId="27A9EB8B" w14:textId="78E7127D" w:rsidR="00F67634" w:rsidRPr="0061760C" w:rsidRDefault="00285BC5" w:rsidP="0061760C">
      <w:pPr>
        <w:spacing w:line="360" w:lineRule="auto"/>
        <w:ind w:left="270"/>
        <w:rPr>
          <w:rFonts w:eastAsiaTheme="minorEastAsia"/>
        </w:rPr>
      </w:pPr>
      <w:r w:rsidRPr="000714C6">
        <w:rPr>
          <w:rFonts w:eastAsiaTheme="minorEastAsia"/>
          <w:b/>
        </w:rPr>
        <w:t>Objective</w:t>
      </w:r>
    </w:p>
    <w:p w14:paraId="546C103A" w14:textId="392B12A5" w:rsidR="00353068" w:rsidRDefault="0074582B" w:rsidP="00961456">
      <w:pPr>
        <w:pStyle w:val="ListParagraph"/>
        <w:spacing w:line="360" w:lineRule="auto"/>
        <w:jc w:val="both"/>
        <w:rPr>
          <w:rFonts w:eastAsiaTheme="minorEastAsia"/>
        </w:rPr>
      </w:pPr>
      <w:r>
        <w:rPr>
          <w:rFonts w:eastAsiaTheme="minorEastAsia"/>
        </w:rPr>
        <w:t>M</w:t>
      </w:r>
      <w:r w:rsidR="00353068" w:rsidRPr="00353068">
        <w:rPr>
          <w:rFonts w:eastAsiaTheme="minorEastAsia"/>
        </w:rPr>
        <w:t>aximize the total NPV from the approved projects</w:t>
      </w:r>
      <w:r w:rsidR="00353068">
        <w:rPr>
          <w:rFonts w:eastAsiaTheme="minorEastAsia"/>
        </w:rPr>
        <w:t xml:space="preserve"> </w:t>
      </w:r>
    </w:p>
    <w:p w14:paraId="4667F281" w14:textId="24F7C4F7" w:rsidR="00310118" w:rsidRPr="0074582B" w:rsidRDefault="00310118" w:rsidP="00961456">
      <w:pPr>
        <w:pStyle w:val="ListParagraph"/>
        <w:spacing w:line="360" w:lineRule="auto"/>
        <w:jc w:val="both"/>
        <w:rPr>
          <w:rFonts w:eastAsiaTheme="minorEastAsia"/>
        </w:rPr>
      </w:pPr>
      <m:oMathPara>
        <m:oMath>
          <m:r>
            <m:rPr>
              <m:sty m:val="bi"/>
            </m:rPr>
            <w:rPr>
              <w:rFonts w:ascii="Cambria Math" w:hAnsi="Cambria Math"/>
            </w:rPr>
            <m:t>Z</m:t>
          </m:r>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12</m:t>
              </m:r>
            </m:sup>
            <m:e>
              <m:sSub>
                <m:sSubPr>
                  <m:ctrlPr>
                    <w:rPr>
                      <w:rFonts w:ascii="Cambria Math" w:eastAsiaTheme="minorEastAsia" w:hAnsi="Cambria Math"/>
                      <w:i/>
                    </w:rPr>
                  </m:ctrlPr>
                </m:sSubPr>
                <m:e>
                  <m:r>
                    <w:rPr>
                      <w:rFonts w:ascii="Cambria Math" w:eastAsiaTheme="minorEastAsia" w:hAnsi="Cambria Math"/>
                    </w:rPr>
                    <m:t>NPV</m:t>
                  </m:r>
                </m:e>
                <m:sub>
                  <m:r>
                    <w:rPr>
                      <w:rFonts w:ascii="Cambria Math" w:eastAsiaTheme="minorEastAsia" w:hAnsi="Cambria Math"/>
                    </w:rPr>
                    <m:t>i</m:t>
                  </m:r>
                </m:sub>
              </m:sSub>
            </m:e>
          </m:nary>
        </m:oMath>
      </m:oMathPara>
    </w:p>
    <w:p w14:paraId="0A6F32A3" w14:textId="4F5419D7" w:rsidR="00EA383C" w:rsidRDefault="0074582B" w:rsidP="009A44A3">
      <w:pPr>
        <w:pStyle w:val="ListParagraph"/>
        <w:spacing w:line="360" w:lineRule="auto"/>
        <w:ind w:left="630"/>
        <w:rPr>
          <w:rFonts w:ascii="Cambria Math" w:hAnsi="Cambria Math"/>
        </w:rPr>
      </w:pPr>
      <w:r w:rsidRPr="00D84C08">
        <w:t xml:space="preserve">, where </w:t>
      </w:r>
      <m:oMath>
        <m:sSub>
          <m:sSubPr>
            <m:ctrlPr>
              <w:rPr>
                <w:rFonts w:ascii="Cambria Math" w:eastAsiaTheme="minorEastAsia" w:hAnsi="Cambria Math"/>
                <w:i/>
              </w:rPr>
            </m:ctrlPr>
          </m:sSubPr>
          <m:e>
            <m:r>
              <w:rPr>
                <w:rFonts w:ascii="Cambria Math" w:eastAsiaTheme="minorEastAsia" w:hAnsi="Cambria Math"/>
              </w:rPr>
              <m:t>NPV</m:t>
            </m:r>
          </m:e>
          <m:sub>
            <m:r>
              <w:rPr>
                <w:rFonts w:ascii="Cambria Math" w:eastAsiaTheme="minorEastAsia" w:hAnsi="Cambria Math"/>
              </w:rPr>
              <m:t>i</m:t>
            </m:r>
          </m:sub>
        </m:sSub>
      </m:oMath>
      <w:r w:rsidRPr="00D84C08">
        <w:t xml:space="preserve"> represents </w:t>
      </w:r>
      <w:r>
        <w:t>the NPV at the end of the 3</w:t>
      </w:r>
      <w:r w:rsidRPr="0074582B">
        <w:rPr>
          <w:vertAlign w:val="superscript"/>
        </w:rPr>
        <w:t>rd</w:t>
      </w:r>
      <w:r>
        <w:t xml:space="preserve">  year from the project </w:t>
      </w:r>
      <w:r w:rsidRPr="008509BE">
        <w:rPr>
          <w:rFonts w:ascii="Cambria Math" w:hAnsi="Cambria Math"/>
        </w:rPr>
        <w:t xml:space="preserve">i  </w:t>
      </w:r>
    </w:p>
    <w:p w14:paraId="333014F3" w14:textId="637946B0" w:rsidR="00CC4440" w:rsidRDefault="00CC4440">
      <w:pPr>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CC0A81B" w14:textId="4640184D" w:rsidR="00CC4440" w:rsidRDefault="00CC4440" w:rsidP="009C60FB">
      <w:pPr>
        <w:pStyle w:val="Heading2"/>
        <w:spacing w:line="480" w:lineRule="auto"/>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25237045"/>
      <w:r w:rsidRPr="00A44B7F">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w:t>
      </w:r>
      <w:bookmarkEnd w:id="8"/>
    </w:p>
    <w:p w14:paraId="387357E9" w14:textId="2474DF5D" w:rsidR="00CC4440" w:rsidRDefault="00CC4440" w:rsidP="009C60FB">
      <w:pPr>
        <w:spacing w:line="480" w:lineRule="auto"/>
        <w:jc w:val="both"/>
      </w:pPr>
      <w:r>
        <w:t xml:space="preserve">Using the optimization model, </w:t>
      </w:r>
      <w:r w:rsidR="00357085">
        <w:t xml:space="preserve">an optimal NPV of </w:t>
      </w:r>
      <w:r>
        <w:t>$1,769 million at the end of Year 3</w:t>
      </w:r>
      <w:r w:rsidR="00357085">
        <w:t xml:space="preserve"> is obtained</w:t>
      </w:r>
      <w:r>
        <w:t xml:space="preserve"> </w:t>
      </w:r>
      <w:r w:rsidRPr="00B358C0">
        <w:t xml:space="preserve">and </w:t>
      </w:r>
      <w:r>
        <w:t xml:space="preserve">also </w:t>
      </w:r>
      <w:r w:rsidR="00357085">
        <w:t xml:space="preserve">determined </w:t>
      </w:r>
      <w:r w:rsidRPr="00B358C0">
        <w:t>the optimal set of approv</w:t>
      </w:r>
      <w:r>
        <w:t>ed</w:t>
      </w:r>
      <w:r w:rsidRPr="00B358C0">
        <w:t xml:space="preserve"> projects, which </w:t>
      </w:r>
      <w:r>
        <w:t xml:space="preserve">excludes projects </w:t>
      </w:r>
      <w:r w:rsidRPr="00B358C0">
        <w:t>3,</w:t>
      </w:r>
      <w:r w:rsidR="00357085">
        <w:t xml:space="preserve"> </w:t>
      </w:r>
      <w:r w:rsidRPr="00B358C0">
        <w:t>6</w:t>
      </w:r>
      <w:r w:rsidR="00357085">
        <w:t xml:space="preserve"> </w:t>
      </w:r>
      <w:r w:rsidRPr="00B358C0">
        <w:t>and 12</w:t>
      </w:r>
      <w:r>
        <w:t>.</w:t>
      </w:r>
      <w:r w:rsidRPr="00B358C0">
        <w:t xml:space="preserve"> </w:t>
      </w:r>
      <w:r>
        <w:t>In addition, the total expenditures spent over the three years has been utilized to the maximum constraint level and the sum of expenditures for each year has been utilized within the given constraint level</w:t>
      </w:r>
      <w:r w:rsidR="00284141">
        <w:t xml:space="preserve"> </w:t>
      </w:r>
      <w:r>
        <w:t>(refer to Appendix 1)</w:t>
      </w:r>
      <w:r w:rsidR="00284141">
        <w:t>. C</w:t>
      </w:r>
      <w:r w:rsidR="00284141">
        <w:rPr>
          <w:rFonts w:cstheme="minorHAnsi"/>
          <w:color w:val="000000" w:themeColor="text1"/>
        </w:rPr>
        <w:t xml:space="preserve">onsidering NPV for the company at the end of year 3 – NPV is the estimated index for this problem – from the sensitivity report of </w:t>
      </w:r>
      <w:proofErr w:type="spellStart"/>
      <w:r w:rsidR="00284141">
        <w:rPr>
          <w:rFonts w:cstheme="minorHAnsi"/>
          <w:color w:val="000000" w:themeColor="text1"/>
        </w:rPr>
        <w:t>SolverTable</w:t>
      </w:r>
      <w:proofErr w:type="spellEnd"/>
      <w:r w:rsidR="00284141">
        <w:rPr>
          <w:rFonts w:cstheme="minorHAnsi"/>
          <w:color w:val="000000" w:themeColor="text1"/>
        </w:rPr>
        <w:t>, we could say that NPV initially decreases for each project 5% to 30%, while the project allocation for the company remains same as the basic optimization model ( refer Appendix 2 and 3 ).</w:t>
      </w:r>
    </w:p>
    <w:p w14:paraId="1149DEDB" w14:textId="7EECA6E3" w:rsidR="00357085" w:rsidRDefault="00CC4440" w:rsidP="00357085">
      <w:pPr>
        <w:spacing w:line="480" w:lineRule="auto"/>
        <w:jc w:val="both"/>
      </w:pPr>
      <w:r>
        <w:t xml:space="preserve">In the modified model 1, each functional area </w:t>
      </w:r>
      <w:r w:rsidR="00284141">
        <w:t>is to</w:t>
      </w:r>
      <w:r>
        <w:t xml:space="preserve"> be allotted at least 2 projects for the approval. The output shows that the optimal NPV and the allocation of optimal set of projects for the company has remained same as the previous model. Further, limited the number of </w:t>
      </w:r>
      <w:r w:rsidR="00531601">
        <w:t>partnership</w:t>
      </w:r>
      <w:r>
        <w:t xml:space="preserve"> projects that the company must go for - in modified model 2 - to see how that is going to affect the NPV. </w:t>
      </w:r>
    </w:p>
    <w:p w14:paraId="7F8B1397" w14:textId="7555D185" w:rsidR="00357085" w:rsidRDefault="00284141" w:rsidP="00357085">
      <w:pPr>
        <w:spacing w:line="480" w:lineRule="auto"/>
        <w:jc w:val="both"/>
      </w:pPr>
      <w:r>
        <w:t xml:space="preserve">In the modified model </w:t>
      </w:r>
      <w:r>
        <w:t xml:space="preserve">2, </w:t>
      </w:r>
      <w:r w:rsidR="00357085">
        <w:rPr>
          <w:rFonts w:cstheme="minorHAnsi"/>
          <w:color w:val="000000" w:themeColor="text1"/>
        </w:rPr>
        <w:t xml:space="preserve">the constraints for the </w:t>
      </w:r>
      <w:r>
        <w:rPr>
          <w:rFonts w:cstheme="minorHAnsi"/>
          <w:color w:val="000000" w:themeColor="text1"/>
        </w:rPr>
        <w:t xml:space="preserve">total projects with partnerships have been limited to 3-6; </w:t>
      </w:r>
      <w:r w:rsidR="00357085">
        <w:rPr>
          <w:rFonts w:cstheme="minorHAnsi"/>
          <w:color w:val="000000" w:themeColor="text1"/>
        </w:rPr>
        <w:t xml:space="preserve">having 3 projects with a partnership gives a total of $1709.6M and having 4 or more projects gives an NPV of $1769M; an increase of 59.4M </w:t>
      </w:r>
      <w:r w:rsidR="00357085">
        <w:t>(refer to Appendix 4).</w:t>
      </w:r>
    </w:p>
    <w:p w14:paraId="73CF3B90" w14:textId="22116093" w:rsidR="00CC4440" w:rsidRDefault="00F11152" w:rsidP="00522372">
      <w:pPr>
        <w:spacing w:line="480" w:lineRule="auto"/>
        <w:jc w:val="both"/>
      </w:pPr>
      <w:r>
        <w:t>C</w:t>
      </w:r>
      <w:r w:rsidR="00CC4440">
        <w:t>onsider</w:t>
      </w:r>
      <w:r>
        <w:t>ing</w:t>
      </w:r>
      <w:bookmarkStart w:id="9" w:name="_GoBack"/>
      <w:bookmarkEnd w:id="9"/>
      <w:r w:rsidR="00CC4440">
        <w:t xml:space="preserve"> that the projects 3,6</w:t>
      </w:r>
      <w:r w:rsidR="00284141">
        <w:t xml:space="preserve"> and </w:t>
      </w:r>
      <w:r w:rsidR="00CC4440">
        <w:t>11 were undertaken by the same outside firms - for question a – an</w:t>
      </w:r>
      <w:r w:rsidR="009C60FB">
        <w:t>d</w:t>
      </w:r>
      <w:r w:rsidR="00CC4440">
        <w:t xml:space="preserve"> limited the project approval among these projects to be no more than 2. We can see that the NPV and the optimal allocation of the projects remain same as that of the basic optimization model. For question b, if we limit that either of the projects 2, 9 - which share the same partner under the common contract – are to be selected by the company,</w:t>
      </w:r>
      <w:r w:rsidR="009C60FB">
        <w:t xml:space="preserve"> in which case both must be selected,</w:t>
      </w:r>
      <w:r w:rsidR="00CC4440">
        <w:t xml:space="preserve"> we see that there is no change in the project allocation and in the total NPV made at the end of 3 years. </w:t>
      </w:r>
    </w:p>
    <w:p w14:paraId="08D8BD1E" w14:textId="559A1309" w:rsidR="00CC4440" w:rsidRDefault="00CC4440" w:rsidP="00522372">
      <w:pPr>
        <w:pStyle w:val="Heading2"/>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25237046"/>
      <w:r w:rsidRPr="00522372">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Recommendations</w:t>
      </w:r>
      <w:bookmarkEnd w:id="10"/>
    </w:p>
    <w:p w14:paraId="54321C74" w14:textId="77777777" w:rsidR="00522372" w:rsidRPr="00522372" w:rsidRDefault="00522372" w:rsidP="00522372"/>
    <w:p w14:paraId="7944A379" w14:textId="0E02C297" w:rsidR="00CC4440" w:rsidRDefault="00CC4440" w:rsidP="00522372">
      <w:pPr>
        <w:spacing w:line="480" w:lineRule="auto"/>
        <w:jc w:val="both"/>
        <w:rPr>
          <w:rFonts w:cstheme="minorHAnsi"/>
          <w:color w:val="000000" w:themeColor="text1"/>
        </w:rPr>
      </w:pPr>
      <w:r>
        <w:rPr>
          <w:rFonts w:cstheme="minorHAnsi"/>
          <w:color w:val="000000" w:themeColor="text1"/>
        </w:rPr>
        <w:t xml:space="preserve">Since NPV is an indirect measure of discount rates, we recommend the company to </w:t>
      </w:r>
      <w:r w:rsidR="00DC1332">
        <w:rPr>
          <w:rFonts w:cstheme="minorHAnsi"/>
          <w:color w:val="000000" w:themeColor="text1"/>
        </w:rPr>
        <w:t xml:space="preserve">think of ways to </w:t>
      </w:r>
      <w:r>
        <w:rPr>
          <w:rFonts w:cstheme="minorHAnsi"/>
          <w:color w:val="000000" w:themeColor="text1"/>
        </w:rPr>
        <w:t xml:space="preserve">decrease the discount rates for each project </w:t>
      </w:r>
      <w:r w:rsidR="00531601">
        <w:rPr>
          <w:rFonts w:cstheme="minorHAnsi"/>
          <w:color w:val="000000" w:themeColor="text1"/>
        </w:rPr>
        <w:t xml:space="preserve">(which could include re-designing their investment strategies or negotiating rate of returns with capital investors) </w:t>
      </w:r>
      <w:r>
        <w:rPr>
          <w:rFonts w:cstheme="minorHAnsi"/>
          <w:color w:val="000000" w:themeColor="text1"/>
        </w:rPr>
        <w:t>which could result in increase in the overall NPV for the company after three years (refer appendix 5). Also, we recommend Ewing Natural Gas Company to increase their allocated annual capital expenditure over three years to $11,000M, since this would increase the NPV by $70M (from $1769M to $1,839M)</w:t>
      </w:r>
      <w:r w:rsidR="00DC1332">
        <w:rPr>
          <w:rFonts w:cstheme="minorHAnsi"/>
          <w:color w:val="000000" w:themeColor="text1"/>
        </w:rPr>
        <w:t>, se</w:t>
      </w:r>
      <w:r>
        <w:rPr>
          <w:rFonts w:cstheme="minorHAnsi"/>
          <w:color w:val="000000" w:themeColor="text1"/>
        </w:rPr>
        <w:t>e</w:t>
      </w:r>
      <w:r w:rsidR="00DC1332">
        <w:rPr>
          <w:rFonts w:cstheme="minorHAnsi"/>
          <w:color w:val="000000" w:themeColor="text1"/>
        </w:rPr>
        <w:t>n</w:t>
      </w:r>
      <w:r>
        <w:rPr>
          <w:rFonts w:cstheme="minorHAnsi"/>
          <w:color w:val="000000" w:themeColor="text1"/>
        </w:rPr>
        <w:t xml:space="preserve"> in </w:t>
      </w:r>
      <w:r w:rsidR="00DC1332">
        <w:rPr>
          <w:rFonts w:cstheme="minorHAnsi"/>
          <w:color w:val="000000" w:themeColor="text1"/>
        </w:rPr>
        <w:t>A</w:t>
      </w:r>
      <w:r>
        <w:rPr>
          <w:rFonts w:cstheme="minorHAnsi"/>
          <w:color w:val="000000" w:themeColor="text1"/>
        </w:rPr>
        <w:t xml:space="preserve">ppendix 6 below.  </w:t>
      </w:r>
    </w:p>
    <w:p w14:paraId="59404048" w14:textId="5FFA8DF4" w:rsidR="00CC4440" w:rsidRDefault="00CC4440" w:rsidP="00522372">
      <w:pPr>
        <w:spacing w:line="480" w:lineRule="auto"/>
        <w:jc w:val="both"/>
      </w:pPr>
      <w:r>
        <w:rPr>
          <w:rFonts w:cstheme="minorHAnsi"/>
          <w:color w:val="000000" w:themeColor="text1"/>
        </w:rPr>
        <w:t xml:space="preserve">However, if the company is capable of increasing both the total capital expenditure over three years and one of the yearly expenditures, we recommend them to increase the capital expenditure of year </w:t>
      </w:r>
      <w:r w:rsidRPr="00207EFD">
        <w:rPr>
          <w:rFonts w:cstheme="minorHAnsi"/>
        </w:rPr>
        <w:t>1 to $</w:t>
      </w:r>
      <w:r w:rsidR="00207EFD" w:rsidRPr="00207EFD">
        <w:rPr>
          <w:rFonts w:cstheme="minorHAnsi"/>
        </w:rPr>
        <w:t>5</w:t>
      </w:r>
      <w:r w:rsidRPr="00207EFD">
        <w:rPr>
          <w:rFonts w:cstheme="minorHAnsi"/>
        </w:rPr>
        <w:t>,</w:t>
      </w:r>
      <w:r w:rsidR="00207EFD" w:rsidRPr="00207EFD">
        <w:rPr>
          <w:rFonts w:cstheme="minorHAnsi"/>
        </w:rPr>
        <w:t>8</w:t>
      </w:r>
      <w:r w:rsidRPr="00207EFD">
        <w:rPr>
          <w:rFonts w:cstheme="minorHAnsi"/>
        </w:rPr>
        <w:t>00M and the total expenditure to $1</w:t>
      </w:r>
      <w:r w:rsidR="00207EFD" w:rsidRPr="00207EFD">
        <w:rPr>
          <w:rFonts w:cstheme="minorHAnsi"/>
          <w:lang w:eastAsia="zh-TW"/>
        </w:rPr>
        <w:t>3,6</w:t>
      </w:r>
      <w:r w:rsidRPr="00207EFD">
        <w:rPr>
          <w:rFonts w:cstheme="minorHAnsi"/>
        </w:rPr>
        <w:t xml:space="preserve">00M. This </w:t>
      </w:r>
      <w:r>
        <w:rPr>
          <w:rFonts w:cstheme="minorHAnsi"/>
          <w:color w:val="000000" w:themeColor="text1"/>
        </w:rPr>
        <w:t xml:space="preserve">could increase the Net Present Value from $1,769M to $2,239M (refer </w:t>
      </w:r>
      <w:r w:rsidR="00DC1332">
        <w:rPr>
          <w:rFonts w:cstheme="minorHAnsi"/>
          <w:color w:val="000000" w:themeColor="text1"/>
        </w:rPr>
        <w:t>A</w:t>
      </w:r>
      <w:r>
        <w:rPr>
          <w:rFonts w:cstheme="minorHAnsi"/>
          <w:color w:val="000000" w:themeColor="text1"/>
        </w:rPr>
        <w:t xml:space="preserve">ppendix 7) – which is increase in NPV by $470M. This would increase the NPV by a huge amount when compared to change in other combinations (change in Year1 exp + Overall exp, change in Year2 exp + Overall exp) – refer </w:t>
      </w:r>
      <w:r w:rsidR="00DC1332">
        <w:rPr>
          <w:rFonts w:cstheme="minorHAnsi"/>
          <w:color w:val="000000" w:themeColor="text1"/>
        </w:rPr>
        <w:t>A</w:t>
      </w:r>
      <w:r>
        <w:rPr>
          <w:rFonts w:cstheme="minorHAnsi"/>
          <w:color w:val="000000" w:themeColor="text1"/>
        </w:rPr>
        <w:t>ppendix 8</w:t>
      </w:r>
      <w:r w:rsidR="00DC1332">
        <w:rPr>
          <w:rFonts w:cstheme="minorHAnsi"/>
          <w:color w:val="000000" w:themeColor="text1"/>
        </w:rPr>
        <w:t xml:space="preserve"> and </w:t>
      </w:r>
      <w:r>
        <w:rPr>
          <w:rFonts w:cstheme="minorHAnsi"/>
          <w:color w:val="000000" w:themeColor="text1"/>
        </w:rPr>
        <w:t xml:space="preserve">9. </w:t>
      </w:r>
    </w:p>
    <w:p w14:paraId="3A765F3D" w14:textId="19D6D313" w:rsidR="00CC4440" w:rsidRDefault="009C60FB" w:rsidP="00522372">
      <w:pPr>
        <w:spacing w:line="480" w:lineRule="auto"/>
        <w:jc w:val="both"/>
      </w:pPr>
      <w:r>
        <w:t>The three recommendations summarized would be -</w:t>
      </w:r>
    </w:p>
    <w:p w14:paraId="6A3067F9" w14:textId="0269E304" w:rsidR="00CC4440" w:rsidRDefault="00CC4440" w:rsidP="004B46BE">
      <w:pPr>
        <w:pStyle w:val="ListParagraph"/>
        <w:numPr>
          <w:ilvl w:val="0"/>
          <w:numId w:val="6"/>
        </w:numPr>
        <w:spacing w:line="480" w:lineRule="auto"/>
        <w:ind w:left="450" w:hanging="450"/>
      </w:pPr>
      <w:r>
        <w:t>Increasing the NPV percentage for each project by 30% which would increase the optimal NPV to $2,299.7M</w:t>
      </w:r>
      <w:r w:rsidR="00212D8C">
        <w:t xml:space="preserve"> (A</w:t>
      </w:r>
      <w:r w:rsidR="00212D8C">
        <w:rPr>
          <w:rFonts w:cstheme="minorHAnsi"/>
          <w:color w:val="000000" w:themeColor="text1"/>
        </w:rPr>
        <w:t xml:space="preserve">ppendix </w:t>
      </w:r>
      <w:r w:rsidR="00DC1332">
        <w:rPr>
          <w:rFonts w:cstheme="minorHAnsi"/>
          <w:color w:val="000000" w:themeColor="text1"/>
        </w:rPr>
        <w:t>5</w:t>
      </w:r>
      <w:r w:rsidR="00212D8C">
        <w:t>)</w:t>
      </w:r>
    </w:p>
    <w:p w14:paraId="5E1199DD" w14:textId="730B0897" w:rsidR="00CC4440" w:rsidRDefault="00CC4440" w:rsidP="004B46BE">
      <w:pPr>
        <w:pStyle w:val="ListParagraph"/>
        <w:numPr>
          <w:ilvl w:val="0"/>
          <w:numId w:val="6"/>
        </w:numPr>
        <w:spacing w:line="480" w:lineRule="auto"/>
        <w:ind w:left="450" w:hanging="450"/>
      </w:pPr>
      <w:r>
        <w:t>Increasing the total capital expenditure for three years to $11,000M which would increase the optimal NPV to $1,83</w:t>
      </w:r>
      <w:r w:rsidR="00212D8C">
        <w:t>9</w:t>
      </w:r>
      <w:r>
        <w:t>M</w:t>
      </w:r>
    </w:p>
    <w:p w14:paraId="634CEDA8" w14:textId="6911B42A" w:rsidR="00CC4440" w:rsidRDefault="00CC4440" w:rsidP="00320219">
      <w:pPr>
        <w:pStyle w:val="ListParagraph"/>
        <w:numPr>
          <w:ilvl w:val="0"/>
          <w:numId w:val="6"/>
        </w:numPr>
        <w:spacing w:line="480" w:lineRule="auto"/>
        <w:ind w:left="450" w:hanging="450"/>
        <w:jc w:val="both"/>
      </w:pPr>
      <w:r>
        <w:t>Increase the maximum capital expenditure of year1 to $</w:t>
      </w:r>
      <w:r w:rsidR="00212D8C">
        <w:t>5,800</w:t>
      </w:r>
      <w:r>
        <w:t>M and the total capital expenditure for three years to $14</w:t>
      </w:r>
      <w:r w:rsidR="00212D8C">
        <w:t>3,600</w:t>
      </w:r>
      <w:r>
        <w:t>M which would increase the optimal NPV to $2,239M</w:t>
      </w:r>
    </w:p>
    <w:p w14:paraId="5F3987D8" w14:textId="43799C71" w:rsidR="006947F1" w:rsidRDefault="006947F1">
      <w:r>
        <w:br w:type="page"/>
      </w:r>
    </w:p>
    <w:p w14:paraId="67A98966" w14:textId="0CC12F38" w:rsidR="002D5FB5" w:rsidRDefault="002D5FB5" w:rsidP="006947F1">
      <w:pPr>
        <w:pStyle w:val="Heading2"/>
        <w:jc w:val="both"/>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25237047"/>
      <w:r w:rsidRPr="006947F1">
        <w:rPr>
          <w:rFonts w:ascii="Times New Roman" w:hAnsi="Times New Roman" w:cs="Times New Roman"/>
          <w:b/>
          <w:color w:val="2E74B5" w:themeColor="accent5" w:themeShade="BF"/>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Appendix</w:t>
      </w:r>
      <w:bookmarkEnd w:id="11"/>
    </w:p>
    <w:p w14:paraId="6A3D1EAE" w14:textId="45CEE0E9" w:rsidR="00217A27" w:rsidRDefault="00217A27" w:rsidP="00217A27"/>
    <w:p w14:paraId="2C973379" w14:textId="22FE59B8" w:rsidR="00217A27" w:rsidRPr="00217A27" w:rsidRDefault="00217A27" w:rsidP="00217A27">
      <w:r>
        <w:t>Note: all figures used in the model and the report are in millions (</w:t>
      </w:r>
      <w:r w:rsidR="009C60FB">
        <w:t xml:space="preserve">thousand </w:t>
      </w:r>
      <w:proofErr w:type="gramStart"/>
      <w:r w:rsidR="009C60FB">
        <w:t>millions</w:t>
      </w:r>
      <w:proofErr w:type="gramEnd"/>
      <w:r w:rsidR="009C60FB">
        <w:t xml:space="preserve"> makes a </w:t>
      </w:r>
      <w:r>
        <w:t>billion).</w:t>
      </w:r>
    </w:p>
    <w:p w14:paraId="225E6C05" w14:textId="77777777" w:rsidR="00CC4440" w:rsidRPr="00CC4440" w:rsidRDefault="00CC4440" w:rsidP="00CC4440"/>
    <w:p w14:paraId="1D97E2F2" w14:textId="6B586246" w:rsidR="003C7EE7" w:rsidRDefault="003C7EE7" w:rsidP="006947F1">
      <w:pPr>
        <w:rPr>
          <w:b/>
          <w:i/>
        </w:rPr>
      </w:pPr>
      <w:r w:rsidRPr="006947F1">
        <w:rPr>
          <w:b/>
          <w:i/>
        </w:rPr>
        <w:t>Appendix 1</w:t>
      </w:r>
      <w:r w:rsidR="00C4781F" w:rsidRPr="006947F1">
        <w:rPr>
          <w:b/>
          <w:i/>
        </w:rPr>
        <w:t xml:space="preserve"> (The basic model)</w:t>
      </w:r>
    </w:p>
    <w:p w14:paraId="38BF0114" w14:textId="77777777" w:rsidR="00485B08" w:rsidRPr="006947F1" w:rsidRDefault="00485B08" w:rsidP="006947F1">
      <w:pPr>
        <w:rPr>
          <w:b/>
          <w:i/>
        </w:rPr>
      </w:pPr>
    </w:p>
    <w:p w14:paraId="0BC0C088" w14:textId="77777777" w:rsidR="006947F1" w:rsidRDefault="00AF4B24" w:rsidP="006947F1">
      <w:pPr>
        <w:spacing w:line="480" w:lineRule="auto"/>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g">
            <w:drawing>
              <wp:anchor distT="0" distB="0" distL="114300" distR="114300" simplePos="0" relativeHeight="251663360" behindDoc="0" locked="0" layoutInCell="1" allowOverlap="1" wp14:anchorId="33571E9B" wp14:editId="42D46038">
                <wp:simplePos x="0" y="0"/>
                <wp:positionH relativeFrom="column">
                  <wp:posOffset>1111250</wp:posOffset>
                </wp:positionH>
                <wp:positionV relativeFrom="paragraph">
                  <wp:posOffset>98425</wp:posOffset>
                </wp:positionV>
                <wp:extent cx="2597150" cy="267335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97150" cy="2673350"/>
                          <a:chOff x="0" y="0"/>
                          <a:chExt cx="2597150" cy="2673350"/>
                        </a:xfrm>
                      </wpg:grpSpPr>
                      <wps:wsp>
                        <wps:cNvPr id="2" name="Oval 2"/>
                        <wps:cNvSpPr/>
                        <wps:spPr>
                          <a:xfrm>
                            <a:off x="0" y="0"/>
                            <a:ext cx="641350" cy="1168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101850" y="1244600"/>
                            <a:ext cx="495300" cy="2730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73050" y="1936750"/>
                            <a:ext cx="2101850" cy="736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2AEBE5" id="Group 5" o:spid="_x0000_s1026" style="position:absolute;margin-left:87.5pt;margin-top:7.75pt;width:204.5pt;height:210.5pt;z-index:251663360" coordsize="25971,2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">
                <v:oval id="Oval 2" o:spid="_x0000_s1027" style="position:absolute;width:6413;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" filled="f" strokecolor="red" strokeweight="1.5pt">
                  <v:stroke joinstyle="miter"/>
                </v:oval>
                <v:oval id="Oval 3" o:spid="_x0000_s1028" style="position:absolute;left:21018;top:12446;width:4953;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" filled="f" strokecolor="red" strokeweight="1.5pt">
                  <v:stroke joinstyle="miter"/>
                </v:oval>
                <v:oval id="Oval 4" o:spid="_x0000_s1029" style="position:absolute;left:2730;top:19367;width:2101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" filled="f" strokecolor="red" strokeweight="1.5pt">
                  <v:stroke joinstyle="miter"/>
                </v:oval>
              </v:group>
            </w:pict>
          </mc:Fallback>
        </mc:AlternateContent>
      </w:r>
      <w:r w:rsidR="00183621">
        <w:rPr>
          <w:noProof/>
        </w:rPr>
        <w:drawing>
          <wp:inline distT="0" distB="0" distL="0" distR="0" wp14:anchorId="17C3EBB2" wp14:editId="1B57B5CB">
            <wp:extent cx="6229350" cy="3294829"/>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632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3294829"/>
                    </a:xfrm>
                    <a:prstGeom prst="rect">
                      <a:avLst/>
                    </a:prstGeom>
                    <a:ln w="12700">
                      <a:solidFill>
                        <a:schemeClr val="tx1"/>
                      </a:solidFill>
                    </a:ln>
                  </pic:spPr>
                </pic:pic>
              </a:graphicData>
            </a:graphic>
          </wp:inline>
        </w:drawing>
      </w:r>
      <w:bookmarkStart w:id="12" w:name="_Toc25225946"/>
    </w:p>
    <w:p w14:paraId="28B48318" w14:textId="77777777" w:rsidR="006947F1" w:rsidRDefault="006947F1" w:rsidP="006947F1">
      <w:pPr>
        <w:spacing w:line="480" w:lineRule="auto"/>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8B65BA" w14:textId="451BF33E" w:rsidR="003C7EE7" w:rsidRPr="006947F1" w:rsidRDefault="003C7EE7" w:rsidP="006947F1">
      <w:pPr>
        <w:rPr>
          <w:b/>
          <w:i/>
        </w:rPr>
      </w:pPr>
      <w:r w:rsidRPr="006947F1">
        <w:rPr>
          <w:b/>
          <w:i/>
        </w:rPr>
        <w:t>Appendix 2</w:t>
      </w:r>
      <w:bookmarkEnd w:id="12"/>
    </w:p>
    <w:p w14:paraId="5C4F6A16" w14:textId="77777777" w:rsidR="006947F1" w:rsidRPr="006947F1" w:rsidRDefault="006947F1" w:rsidP="006947F1">
      <w:pPr>
        <w:rPr>
          <w:b/>
          <w:u w:val="single"/>
        </w:rPr>
      </w:pPr>
    </w:p>
    <w:p w14:paraId="779E24C8" w14:textId="174F0966" w:rsidR="006947F1" w:rsidRDefault="007F42FC" w:rsidP="007F42FC">
      <w:pPr>
        <w:spacing w:line="480" w:lineRule="auto"/>
      </w:pPr>
      <w:r>
        <w:rPr>
          <w:noProof/>
        </w:rPr>
        <w:drawing>
          <wp:inline distT="0" distB="0" distL="0" distR="0" wp14:anchorId="2C4F3D3F" wp14:editId="680D8FF4">
            <wp:extent cx="6174293" cy="1708485"/>
            <wp:effectExtent l="19050" t="19050" r="1714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509C0D.tmp"/>
                    <pic:cNvPicPr/>
                  </pic:nvPicPr>
                  <pic:blipFill>
                    <a:blip r:embed="rId10">
                      <a:extLst>
                        <a:ext uri="{28A0092B-C50C-407E-A947-70E740481C1C}">
                          <a14:useLocalDpi xmlns:a14="http://schemas.microsoft.com/office/drawing/2010/main" val="0"/>
                        </a:ext>
                      </a:extLst>
                    </a:blip>
                    <a:stretch>
                      <a:fillRect/>
                    </a:stretch>
                  </pic:blipFill>
                  <pic:spPr>
                    <a:xfrm>
                      <a:off x="0" y="0"/>
                      <a:ext cx="6194000" cy="1713938"/>
                    </a:xfrm>
                    <a:prstGeom prst="rect">
                      <a:avLst/>
                    </a:prstGeom>
                    <a:ln w="12700">
                      <a:solidFill>
                        <a:schemeClr val="tx1"/>
                      </a:solidFill>
                    </a:ln>
                  </pic:spPr>
                </pic:pic>
              </a:graphicData>
            </a:graphic>
          </wp:inline>
        </w:drawing>
      </w:r>
    </w:p>
    <w:p w14:paraId="4E2850F7" w14:textId="77777777" w:rsidR="006947F1" w:rsidRDefault="006947F1">
      <w:r>
        <w:br w:type="page"/>
      </w:r>
    </w:p>
    <w:p w14:paraId="4420CBDB" w14:textId="772A2ABA" w:rsidR="00B76430" w:rsidRPr="006947F1" w:rsidRDefault="007F42FC" w:rsidP="006947F1">
      <w:pPr>
        <w:rPr>
          <w:b/>
        </w:rPr>
      </w:pPr>
      <w:bookmarkStart w:id="13" w:name="_Toc25225947"/>
      <w:r w:rsidRPr="006947F1">
        <w:rPr>
          <w:b/>
          <w:i/>
        </w:rPr>
        <w:lastRenderedPageBreak/>
        <w:t>Appendix 3</w:t>
      </w:r>
      <w:bookmarkEnd w:id="13"/>
    </w:p>
    <w:p w14:paraId="27B62466" w14:textId="77777777" w:rsidR="003F4049" w:rsidRPr="003F4049" w:rsidRDefault="003F4049" w:rsidP="003F4049"/>
    <w:p w14:paraId="27003C54" w14:textId="4D7D6F00" w:rsidR="00B76430" w:rsidRDefault="007F42FC" w:rsidP="006947F1">
      <w:pPr>
        <w:spacing w:line="480" w:lineRule="auto"/>
        <w:jc w:val="center"/>
      </w:pPr>
      <w:r>
        <w:rPr>
          <w:noProof/>
        </w:rPr>
        <w:drawing>
          <wp:inline distT="0" distB="0" distL="0" distR="0" wp14:anchorId="26C8A7BA" wp14:editId="1FF6054B">
            <wp:extent cx="3720319" cy="3615202"/>
            <wp:effectExtent l="19050" t="19050" r="13970"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09DA6.tmp"/>
                    <pic:cNvPicPr/>
                  </pic:nvPicPr>
                  <pic:blipFill>
                    <a:blip r:embed="rId11">
                      <a:extLst>
                        <a:ext uri="{28A0092B-C50C-407E-A947-70E740481C1C}">
                          <a14:useLocalDpi xmlns:a14="http://schemas.microsoft.com/office/drawing/2010/main" val="0"/>
                        </a:ext>
                      </a:extLst>
                    </a:blip>
                    <a:stretch>
                      <a:fillRect/>
                    </a:stretch>
                  </pic:blipFill>
                  <pic:spPr>
                    <a:xfrm>
                      <a:off x="0" y="0"/>
                      <a:ext cx="3741315" cy="3635605"/>
                    </a:xfrm>
                    <a:prstGeom prst="rect">
                      <a:avLst/>
                    </a:prstGeom>
                    <a:ln w="12700">
                      <a:solidFill>
                        <a:schemeClr val="tx1"/>
                      </a:solidFill>
                    </a:ln>
                  </pic:spPr>
                </pic:pic>
              </a:graphicData>
            </a:graphic>
          </wp:inline>
        </w:drawing>
      </w:r>
    </w:p>
    <w:p w14:paraId="60183BAC" w14:textId="77777777" w:rsidR="006947F1" w:rsidRDefault="006947F1" w:rsidP="006947F1">
      <w:pPr>
        <w:spacing w:line="480" w:lineRule="auto"/>
        <w:jc w:val="center"/>
      </w:pPr>
    </w:p>
    <w:p w14:paraId="6BC8F06C" w14:textId="541BF80E" w:rsidR="006947F1" w:rsidRPr="006947F1" w:rsidRDefault="006947F1" w:rsidP="006947F1">
      <w:pPr>
        <w:rPr>
          <w:b/>
        </w:rPr>
      </w:pPr>
      <w:r w:rsidRPr="006947F1">
        <w:rPr>
          <w:b/>
          <w:i/>
        </w:rPr>
        <w:t xml:space="preserve">Appendix </w:t>
      </w:r>
      <w:r>
        <w:rPr>
          <w:b/>
          <w:i/>
        </w:rPr>
        <w:t>4</w:t>
      </w:r>
    </w:p>
    <w:p w14:paraId="38B8A824" w14:textId="4EEAE1EA" w:rsidR="007F42FC" w:rsidRPr="007F42FC" w:rsidRDefault="007F42FC" w:rsidP="006947F1">
      <w:pPr>
        <w:jc w:val="center"/>
      </w:pPr>
      <w:r>
        <w:rPr>
          <w:noProof/>
        </w:rPr>
        <w:drawing>
          <wp:inline distT="0" distB="0" distL="0" distR="0" wp14:anchorId="59E8E815" wp14:editId="51285921">
            <wp:extent cx="3662613" cy="3287922"/>
            <wp:effectExtent l="19050" t="19050" r="1460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0CC54.tmp"/>
                    <pic:cNvPicPr/>
                  </pic:nvPicPr>
                  <pic:blipFill>
                    <a:blip r:embed="rId12">
                      <a:extLst>
                        <a:ext uri="{28A0092B-C50C-407E-A947-70E740481C1C}">
                          <a14:useLocalDpi xmlns:a14="http://schemas.microsoft.com/office/drawing/2010/main" val="0"/>
                        </a:ext>
                      </a:extLst>
                    </a:blip>
                    <a:stretch>
                      <a:fillRect/>
                    </a:stretch>
                  </pic:blipFill>
                  <pic:spPr>
                    <a:xfrm>
                      <a:off x="0" y="0"/>
                      <a:ext cx="3681148" cy="3304561"/>
                    </a:xfrm>
                    <a:prstGeom prst="rect">
                      <a:avLst/>
                    </a:prstGeom>
                    <a:ln w="12700">
                      <a:solidFill>
                        <a:schemeClr val="tx1"/>
                      </a:solidFill>
                    </a:ln>
                  </pic:spPr>
                </pic:pic>
              </a:graphicData>
            </a:graphic>
          </wp:inline>
        </w:drawing>
      </w:r>
    </w:p>
    <w:p w14:paraId="5BE89BB4" w14:textId="4275DFB8" w:rsidR="00F22BFD" w:rsidRPr="006947F1" w:rsidRDefault="006947F1" w:rsidP="006947F1">
      <w:pPr>
        <w:rPr>
          <w:b/>
        </w:rPr>
      </w:pPr>
      <w:bookmarkStart w:id="14" w:name="_Toc25225949"/>
      <w:r w:rsidRPr="00485B08">
        <w:rPr>
          <w:b/>
          <w:i/>
        </w:rPr>
        <w:lastRenderedPageBreak/>
        <w:t>Appendix</w:t>
      </w:r>
      <w:r w:rsidR="007F42FC" w:rsidRPr="006947F1">
        <w:rPr>
          <w:b/>
        </w:rPr>
        <w:t xml:space="preserve"> 5</w:t>
      </w:r>
      <w:bookmarkEnd w:id="14"/>
    </w:p>
    <w:p w14:paraId="7A5CCA48" w14:textId="1A00D045" w:rsidR="00485B08" w:rsidRDefault="007F42FC" w:rsidP="00485B08">
      <w:pPr>
        <w:jc w:val="center"/>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7925836" wp14:editId="116B242B">
            <wp:extent cx="3742152" cy="3742152"/>
            <wp:effectExtent l="19050" t="19050" r="10795"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503ADE.tmp"/>
                    <pic:cNvPicPr/>
                  </pic:nvPicPr>
                  <pic:blipFill>
                    <a:blip r:embed="rId13">
                      <a:extLst>
                        <a:ext uri="{28A0092B-C50C-407E-A947-70E740481C1C}">
                          <a14:useLocalDpi xmlns:a14="http://schemas.microsoft.com/office/drawing/2010/main" val="0"/>
                        </a:ext>
                      </a:extLst>
                    </a:blip>
                    <a:stretch>
                      <a:fillRect/>
                    </a:stretch>
                  </pic:blipFill>
                  <pic:spPr>
                    <a:xfrm>
                      <a:off x="0" y="0"/>
                      <a:ext cx="3746755" cy="3746755"/>
                    </a:xfrm>
                    <a:prstGeom prst="rect">
                      <a:avLst/>
                    </a:prstGeom>
                    <a:ln w="12700">
                      <a:solidFill>
                        <a:schemeClr val="tx1"/>
                      </a:solidFill>
                    </a:ln>
                  </pic:spPr>
                </pic:pic>
              </a:graphicData>
            </a:graphic>
          </wp:inline>
        </w:drawing>
      </w:r>
      <w:bookmarkStart w:id="15" w:name="_Toc25225950"/>
    </w:p>
    <w:p w14:paraId="2C429D17" w14:textId="77777777" w:rsidR="00485B08" w:rsidRDefault="00485B08" w:rsidP="00485B08">
      <w:pPr>
        <w:jc w:val="center"/>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5E8DFE" w14:textId="77777777" w:rsidR="007F42FC" w:rsidRPr="00485B08" w:rsidRDefault="007F42FC" w:rsidP="00485B08">
      <w:pPr>
        <w:rPr>
          <w:b/>
          <w:i/>
        </w:rPr>
      </w:pPr>
      <w:r w:rsidRPr="00485B08">
        <w:rPr>
          <w:b/>
          <w:i/>
        </w:rPr>
        <w:t>Appendix 6</w:t>
      </w:r>
      <w:bookmarkEnd w:id="15"/>
      <w:r w:rsidR="003F4049" w:rsidRPr="00485B08">
        <w:rPr>
          <w:b/>
          <w:i/>
        </w:rPr>
        <w:t xml:space="preserve"> </w:t>
      </w:r>
    </w:p>
    <w:p w14:paraId="441EAF27" w14:textId="7C08F1B3" w:rsidR="007F42FC" w:rsidRDefault="007F42FC" w:rsidP="0056421E">
      <w:pPr>
        <w:jc w:val="center"/>
        <w:rPr>
          <w:rFonts w:ascii="Times New Roman" w:hAnsi="Times New Roman" w:cs="Times New Roman"/>
          <w:b/>
          <w:color w:val="2E74B5" w:themeColor="accent5"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25225951"/>
      <w:r>
        <w:rPr>
          <w:noProof/>
        </w:rPr>
        <w:drawing>
          <wp:inline distT="0" distB="0" distL="0" distR="0" wp14:anchorId="6443FE0E" wp14:editId="2D4E72B0">
            <wp:extent cx="3643582" cy="3578268"/>
            <wp:effectExtent l="19050" t="19050" r="23495"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0101C.tmp"/>
                    <pic:cNvPicPr/>
                  </pic:nvPicPr>
                  <pic:blipFill>
                    <a:blip r:embed="rId14">
                      <a:extLst>
                        <a:ext uri="{28A0092B-C50C-407E-A947-70E740481C1C}">
                          <a14:useLocalDpi xmlns:a14="http://schemas.microsoft.com/office/drawing/2010/main" val="0"/>
                        </a:ext>
                      </a:extLst>
                    </a:blip>
                    <a:stretch>
                      <a:fillRect/>
                    </a:stretch>
                  </pic:blipFill>
                  <pic:spPr>
                    <a:xfrm>
                      <a:off x="0" y="0"/>
                      <a:ext cx="3643582" cy="3578268"/>
                    </a:xfrm>
                    <a:prstGeom prst="rect">
                      <a:avLst/>
                    </a:prstGeom>
                    <a:ln w="12700">
                      <a:solidFill>
                        <a:schemeClr val="tx1"/>
                      </a:solidFill>
                    </a:ln>
                  </pic:spPr>
                </pic:pic>
              </a:graphicData>
            </a:graphic>
          </wp:inline>
        </w:drawing>
      </w:r>
      <w:bookmarkEnd w:id="16"/>
    </w:p>
    <w:p w14:paraId="7E2D6938" w14:textId="77777777" w:rsidR="007F42FC" w:rsidRPr="007F42FC" w:rsidRDefault="007F42FC" w:rsidP="007F42FC"/>
    <w:p w14:paraId="18DF3E1C" w14:textId="6B031337" w:rsidR="007F42FC" w:rsidRDefault="007F42FC" w:rsidP="00485B08">
      <w:pPr>
        <w:rPr>
          <w:b/>
          <w:i/>
        </w:rPr>
      </w:pPr>
      <w:bookmarkStart w:id="17" w:name="_Toc25225952"/>
      <w:r w:rsidRPr="00485B08">
        <w:rPr>
          <w:b/>
          <w:i/>
        </w:rPr>
        <w:lastRenderedPageBreak/>
        <w:t>Appendix 7</w:t>
      </w:r>
      <w:bookmarkEnd w:id="17"/>
      <w:r w:rsidR="00B97607" w:rsidRPr="00485B08">
        <w:rPr>
          <w:b/>
          <w:i/>
        </w:rPr>
        <w:t xml:space="preserve"> </w:t>
      </w:r>
      <w:r w:rsidR="00B76430" w:rsidRPr="00485B08">
        <w:rPr>
          <w:b/>
          <w:i/>
        </w:rPr>
        <w:t xml:space="preserve"> </w:t>
      </w:r>
    </w:p>
    <w:p w14:paraId="700512AD" w14:textId="77777777" w:rsidR="00485B08" w:rsidRPr="00485B08" w:rsidRDefault="00485B08" w:rsidP="00485B08">
      <w:pPr>
        <w:rPr>
          <w:b/>
          <w:i/>
        </w:rPr>
      </w:pPr>
    </w:p>
    <w:p w14:paraId="0CE3AA8D" w14:textId="5E82916D" w:rsidR="00FA56FA" w:rsidRDefault="00B76430" w:rsidP="007F42FC">
      <w:r>
        <w:t xml:space="preserve">Row label: the </w:t>
      </w:r>
      <w:r w:rsidR="00212D8C">
        <w:t>upper bound</w:t>
      </w:r>
      <w:r w:rsidR="00FA56FA">
        <w:t xml:space="preserve"> of </w:t>
      </w:r>
      <w:r w:rsidR="00FC354A">
        <w:t>the expenditure for the 1</w:t>
      </w:r>
      <w:r w:rsidR="00FC354A" w:rsidRPr="00FC354A">
        <w:rPr>
          <w:vertAlign w:val="superscript"/>
        </w:rPr>
        <w:t>st</w:t>
      </w:r>
      <w:r w:rsidR="00FC354A">
        <w:t xml:space="preserve"> year</w:t>
      </w:r>
    </w:p>
    <w:p w14:paraId="460239ED" w14:textId="653BDEAB" w:rsidR="00FA56FA" w:rsidRDefault="00FA56FA" w:rsidP="007F42FC">
      <w:r>
        <w:t xml:space="preserve">Column label: the </w:t>
      </w:r>
      <w:r w:rsidR="00212D8C">
        <w:t>upper bound</w:t>
      </w:r>
      <w:r>
        <w:t xml:space="preserve"> of the total expenditures over the three years</w:t>
      </w:r>
    </w:p>
    <w:p w14:paraId="5CF93658" w14:textId="5AB99599" w:rsidR="007F42FC" w:rsidRPr="007F42FC" w:rsidRDefault="00782847" w:rsidP="007F42FC">
      <w:r>
        <w:rPr>
          <w:noProof/>
        </w:rPr>
        <w:drawing>
          <wp:inline distT="0" distB="0" distL="0" distR="0" wp14:anchorId="1CACE3A1" wp14:editId="17E0E1BC">
            <wp:extent cx="6284106" cy="2155574"/>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0096" cy="2167919"/>
                    </a:xfrm>
                    <a:prstGeom prst="rect">
                      <a:avLst/>
                    </a:prstGeom>
                    <a:ln w="12700">
                      <a:solidFill>
                        <a:schemeClr val="tx1"/>
                      </a:solidFill>
                    </a:ln>
                  </pic:spPr>
                </pic:pic>
              </a:graphicData>
            </a:graphic>
          </wp:inline>
        </w:drawing>
      </w:r>
    </w:p>
    <w:p w14:paraId="2946BE54" w14:textId="77777777" w:rsidR="007F42FC" w:rsidRPr="007F42FC" w:rsidRDefault="007F42FC" w:rsidP="007F42FC"/>
    <w:p w14:paraId="1A006B91" w14:textId="2FFFC91A" w:rsidR="007F42FC" w:rsidRDefault="007F42FC" w:rsidP="00485B08">
      <w:pPr>
        <w:rPr>
          <w:b/>
          <w:i/>
        </w:rPr>
      </w:pPr>
      <w:bookmarkStart w:id="18" w:name="_Toc25225953"/>
      <w:r w:rsidRPr="00485B08">
        <w:rPr>
          <w:b/>
          <w:i/>
        </w:rPr>
        <w:t>Appendix 8</w:t>
      </w:r>
      <w:bookmarkEnd w:id="18"/>
    </w:p>
    <w:p w14:paraId="02D2C603" w14:textId="77777777" w:rsidR="00485B08" w:rsidRPr="00485B08" w:rsidRDefault="00485B08" w:rsidP="00485B08">
      <w:pPr>
        <w:rPr>
          <w:rFonts w:eastAsiaTheme="majorEastAsia"/>
          <w:b/>
          <w:i/>
          <w:sz w:val="26"/>
          <w:szCs w:val="26"/>
        </w:rPr>
      </w:pPr>
    </w:p>
    <w:p w14:paraId="4383BAB1" w14:textId="12799337" w:rsidR="00FC354A" w:rsidRDefault="00FC354A" w:rsidP="00FC354A">
      <w:r>
        <w:t xml:space="preserve">Row label: the </w:t>
      </w:r>
      <w:r w:rsidR="00212D8C">
        <w:t>upper bound</w:t>
      </w:r>
      <w:r>
        <w:t xml:space="preserve"> of the expenditure for the 2</w:t>
      </w:r>
      <w:r>
        <w:rPr>
          <w:vertAlign w:val="superscript"/>
        </w:rPr>
        <w:t>nd</w:t>
      </w:r>
      <w:r>
        <w:t xml:space="preserve"> year</w:t>
      </w:r>
    </w:p>
    <w:p w14:paraId="2F9DF0DE" w14:textId="7957B58B" w:rsidR="00FC354A" w:rsidRDefault="00FC354A" w:rsidP="00FC354A">
      <w:r>
        <w:t xml:space="preserve">Column label: the </w:t>
      </w:r>
      <w:r w:rsidR="00212D8C">
        <w:t>upper bound</w:t>
      </w:r>
      <w:r>
        <w:t xml:space="preserve"> of the total expenditures over the three years</w:t>
      </w:r>
    </w:p>
    <w:p w14:paraId="4A8DF884" w14:textId="77777777" w:rsidR="00FC354A" w:rsidRPr="00FC354A" w:rsidRDefault="00FC354A" w:rsidP="00FC354A"/>
    <w:p w14:paraId="50BA66DB" w14:textId="5011B18C" w:rsidR="007F42FC" w:rsidRDefault="0059658C" w:rsidP="00643AAE">
      <w:pPr>
        <w:jc w:val="center"/>
      </w:pPr>
      <w:r>
        <w:rPr>
          <w:noProof/>
        </w:rPr>
        <w:drawing>
          <wp:inline distT="0" distB="0" distL="0" distR="0" wp14:anchorId="6C97E4C9" wp14:editId="4307D256">
            <wp:extent cx="4108661" cy="1308167"/>
            <wp:effectExtent l="19050" t="19050" r="25400"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50AA36.tmp"/>
                    <pic:cNvPicPr/>
                  </pic:nvPicPr>
                  <pic:blipFill>
                    <a:blip r:embed="rId16">
                      <a:extLst>
                        <a:ext uri="{28A0092B-C50C-407E-A947-70E740481C1C}">
                          <a14:useLocalDpi xmlns:a14="http://schemas.microsoft.com/office/drawing/2010/main" val="0"/>
                        </a:ext>
                      </a:extLst>
                    </a:blip>
                    <a:stretch>
                      <a:fillRect/>
                    </a:stretch>
                  </pic:blipFill>
                  <pic:spPr>
                    <a:xfrm>
                      <a:off x="0" y="0"/>
                      <a:ext cx="4108661" cy="1308167"/>
                    </a:xfrm>
                    <a:prstGeom prst="rect">
                      <a:avLst/>
                    </a:prstGeom>
                    <a:ln w="12700">
                      <a:solidFill>
                        <a:schemeClr val="tx1"/>
                      </a:solidFill>
                    </a:ln>
                  </pic:spPr>
                </pic:pic>
              </a:graphicData>
            </a:graphic>
          </wp:inline>
        </w:drawing>
      </w:r>
    </w:p>
    <w:p w14:paraId="51D52DE9" w14:textId="7A4F2C9E" w:rsidR="0059658C" w:rsidRDefault="0059658C" w:rsidP="007F42FC"/>
    <w:p w14:paraId="4A6F9598" w14:textId="7FE75AB0" w:rsidR="0059658C" w:rsidRDefault="0059658C" w:rsidP="00485B08">
      <w:pPr>
        <w:rPr>
          <w:b/>
          <w:i/>
        </w:rPr>
      </w:pPr>
      <w:bookmarkStart w:id="19" w:name="_Toc25225954"/>
      <w:r w:rsidRPr="00485B08">
        <w:rPr>
          <w:b/>
          <w:i/>
        </w:rPr>
        <w:t>Appendix 9</w:t>
      </w:r>
      <w:bookmarkEnd w:id="19"/>
    </w:p>
    <w:p w14:paraId="698F0D58" w14:textId="77777777" w:rsidR="00485B08" w:rsidRPr="00485B08" w:rsidRDefault="00485B08" w:rsidP="00485B08">
      <w:pPr>
        <w:rPr>
          <w:b/>
          <w:i/>
        </w:rPr>
      </w:pPr>
    </w:p>
    <w:p w14:paraId="0B9E7D75" w14:textId="7B0BD52F" w:rsidR="00FC354A" w:rsidRDefault="00FC354A" w:rsidP="00FC354A">
      <w:r>
        <w:t xml:space="preserve">Row label: the </w:t>
      </w:r>
      <w:r w:rsidR="00212D8C">
        <w:t>upper bound</w:t>
      </w:r>
      <w:r>
        <w:t xml:space="preserve"> of the expenditure for the 3</w:t>
      </w:r>
      <w:r>
        <w:rPr>
          <w:vertAlign w:val="superscript"/>
        </w:rPr>
        <w:t>rd</w:t>
      </w:r>
      <w:r>
        <w:t xml:space="preserve"> year</w:t>
      </w:r>
    </w:p>
    <w:p w14:paraId="5A3F9F95" w14:textId="0C1C25FE" w:rsidR="00FC354A" w:rsidRDefault="00FC354A" w:rsidP="00FC354A">
      <w:r>
        <w:t xml:space="preserve">Column label: the </w:t>
      </w:r>
      <w:r w:rsidR="00212D8C">
        <w:t>upper bound</w:t>
      </w:r>
      <w:r>
        <w:t xml:space="preserve"> of the total expenditures over the three years</w:t>
      </w:r>
    </w:p>
    <w:p w14:paraId="78590EEC" w14:textId="77777777" w:rsidR="00FC354A" w:rsidRPr="00FC354A" w:rsidRDefault="00FC354A" w:rsidP="00FC354A"/>
    <w:p w14:paraId="7F29B2D1" w14:textId="2E4997D3" w:rsidR="0059658C" w:rsidRPr="0059658C" w:rsidRDefault="0059658C" w:rsidP="00643AAE">
      <w:pPr>
        <w:jc w:val="center"/>
      </w:pPr>
      <w:r>
        <w:rPr>
          <w:noProof/>
        </w:rPr>
        <w:drawing>
          <wp:inline distT="0" distB="0" distL="0" distR="0" wp14:anchorId="585252D1" wp14:editId="55E2804F">
            <wp:extent cx="4108661" cy="1339919"/>
            <wp:effectExtent l="19050" t="19050" r="254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50EE55.tmp"/>
                    <pic:cNvPicPr/>
                  </pic:nvPicPr>
                  <pic:blipFill>
                    <a:blip r:embed="rId17">
                      <a:extLst>
                        <a:ext uri="{28A0092B-C50C-407E-A947-70E740481C1C}">
                          <a14:useLocalDpi xmlns:a14="http://schemas.microsoft.com/office/drawing/2010/main" val="0"/>
                        </a:ext>
                      </a:extLst>
                    </a:blip>
                    <a:stretch>
                      <a:fillRect/>
                    </a:stretch>
                  </pic:blipFill>
                  <pic:spPr>
                    <a:xfrm>
                      <a:off x="0" y="0"/>
                      <a:ext cx="4108661" cy="1339919"/>
                    </a:xfrm>
                    <a:prstGeom prst="rect">
                      <a:avLst/>
                    </a:prstGeom>
                    <a:ln w="12700">
                      <a:solidFill>
                        <a:schemeClr val="tx1"/>
                      </a:solidFill>
                    </a:ln>
                  </pic:spPr>
                </pic:pic>
              </a:graphicData>
            </a:graphic>
          </wp:inline>
        </w:drawing>
      </w:r>
    </w:p>
    <w:p w14:paraId="452AF42E" w14:textId="761607A5" w:rsidR="00F22BFD" w:rsidRPr="005D344D" w:rsidRDefault="00F22BFD" w:rsidP="007F42FC">
      <w:pPr>
        <w:spacing w:line="480" w:lineRule="auto"/>
      </w:pPr>
    </w:p>
    <w:sectPr w:rsidR="00F22BFD" w:rsidRPr="005D344D" w:rsidSect="00212D8C">
      <w:headerReference w:type="default" r:id="rId18"/>
      <w:footerReference w:type="default" r:id="rId19"/>
      <w:pgSz w:w="12240" w:h="15840"/>
      <w:pgMar w:top="1620" w:right="1170" w:bottom="990" w:left="135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4860A" w14:textId="77777777" w:rsidR="0007686B" w:rsidRDefault="0007686B" w:rsidP="00693D65">
      <w:r>
        <w:separator/>
      </w:r>
    </w:p>
  </w:endnote>
  <w:endnote w:type="continuationSeparator" w:id="0">
    <w:p w14:paraId="75268907" w14:textId="77777777" w:rsidR="0007686B" w:rsidRDefault="0007686B" w:rsidP="00693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74590"/>
      <w:docPartObj>
        <w:docPartGallery w:val="Page Numbers (Bottom of Page)"/>
        <w:docPartUnique/>
      </w:docPartObj>
    </w:sdtPr>
    <w:sdtEndPr>
      <w:rPr>
        <w:noProof/>
      </w:rPr>
    </w:sdtEndPr>
    <w:sdtContent>
      <w:p w14:paraId="79C21EA0" w14:textId="3DFAA1DF" w:rsidR="0018722A" w:rsidRDefault="0018722A">
        <w:pPr>
          <w:pStyle w:val="Footer"/>
        </w:pPr>
        <w:r>
          <w:fldChar w:fldCharType="begin"/>
        </w:r>
        <w:r>
          <w:instrText xml:space="preserve"> PAGE   \* MERGEFORMAT </w:instrText>
        </w:r>
        <w:r>
          <w:fldChar w:fldCharType="separate"/>
        </w:r>
        <w:r>
          <w:rPr>
            <w:noProof/>
          </w:rPr>
          <w:t>2</w:t>
        </w:r>
        <w:r>
          <w:rPr>
            <w:noProof/>
          </w:rPr>
          <w:fldChar w:fldCharType="end"/>
        </w:r>
      </w:p>
    </w:sdtContent>
  </w:sdt>
  <w:p w14:paraId="60431134" w14:textId="59D2743D" w:rsidR="00EB4135" w:rsidRDefault="00EB4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824B5" w14:textId="77777777" w:rsidR="0007686B" w:rsidRDefault="0007686B" w:rsidP="00693D65">
      <w:r>
        <w:separator/>
      </w:r>
    </w:p>
  </w:footnote>
  <w:footnote w:type="continuationSeparator" w:id="0">
    <w:p w14:paraId="7FC789B3" w14:textId="77777777" w:rsidR="0007686B" w:rsidRDefault="0007686B" w:rsidP="00693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DF6A" w14:textId="5C4AF490" w:rsidR="00EB4135" w:rsidRDefault="00C96EB8" w:rsidP="00EB4135">
    <w:pPr>
      <w:pStyle w:val="Header"/>
      <w:tabs>
        <w:tab w:val="left" w:pos="3960"/>
      </w:tabs>
    </w:pPr>
    <w:r w:rsidRPr="00C96EB8">
      <w:t>Ewing Natural Gas</w:t>
    </w:r>
    <w:r w:rsidR="00EB4135" w:rsidRPr="00EB4135">
      <w:t xml:space="preserve"> Company</w:t>
    </w:r>
    <w:r w:rsidR="00EB4135">
      <w:ptab w:relativeTo="margin" w:alignment="center" w:leader="none"/>
    </w:r>
    <w:r w:rsidR="00EB4135">
      <w:ptab w:relativeTo="margin" w:alignment="right" w:leader="none"/>
    </w:r>
    <w:r w:rsidR="00EB4135">
      <w:t xml:space="preserve"> </w:t>
    </w:r>
    <w:r>
      <w:t xml:space="preserve">Project </w:t>
    </w:r>
    <w:r w:rsidR="00EB4135">
      <w:t>Selection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8326E"/>
    <w:multiLevelType w:val="hybridMultilevel"/>
    <w:tmpl w:val="DA826C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1741073"/>
    <w:multiLevelType w:val="hybridMultilevel"/>
    <w:tmpl w:val="6186AF8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79415D1"/>
    <w:multiLevelType w:val="hybridMultilevel"/>
    <w:tmpl w:val="754E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AF4836"/>
    <w:multiLevelType w:val="hybridMultilevel"/>
    <w:tmpl w:val="86421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86E02"/>
    <w:multiLevelType w:val="hybridMultilevel"/>
    <w:tmpl w:val="32F0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1E76C1"/>
    <w:multiLevelType w:val="hybridMultilevel"/>
    <w:tmpl w:val="183ACC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MjcyMDAzNzE3MDFW0lEKTi0uzszPAykwrQUA0CiC8ywAAAA="/>
  </w:docVars>
  <w:rsids>
    <w:rsidRoot w:val="00FC6F5B"/>
    <w:rsid w:val="00013020"/>
    <w:rsid w:val="00015D5B"/>
    <w:rsid w:val="000714C6"/>
    <w:rsid w:val="00076472"/>
    <w:rsid w:val="0007686B"/>
    <w:rsid w:val="000967CE"/>
    <w:rsid w:val="000A43E5"/>
    <w:rsid w:val="000B08F2"/>
    <w:rsid w:val="000B5BAE"/>
    <w:rsid w:val="000B683C"/>
    <w:rsid w:val="000D33EE"/>
    <w:rsid w:val="000E4332"/>
    <w:rsid w:val="001019A7"/>
    <w:rsid w:val="00114D0F"/>
    <w:rsid w:val="00116700"/>
    <w:rsid w:val="00133B61"/>
    <w:rsid w:val="00160F4B"/>
    <w:rsid w:val="00177446"/>
    <w:rsid w:val="00183621"/>
    <w:rsid w:val="00186C68"/>
    <w:rsid w:val="0018722A"/>
    <w:rsid w:val="00191348"/>
    <w:rsid w:val="00194730"/>
    <w:rsid w:val="00196D58"/>
    <w:rsid w:val="00196FE9"/>
    <w:rsid w:val="001B7EDE"/>
    <w:rsid w:val="001C4745"/>
    <w:rsid w:val="001D72CA"/>
    <w:rsid w:val="002043B1"/>
    <w:rsid w:val="00207EFD"/>
    <w:rsid w:val="00212D8C"/>
    <w:rsid w:val="00217A27"/>
    <w:rsid w:val="002366E8"/>
    <w:rsid w:val="00260CC7"/>
    <w:rsid w:val="00262921"/>
    <w:rsid w:val="0026393D"/>
    <w:rsid w:val="00265D48"/>
    <w:rsid w:val="0027319B"/>
    <w:rsid w:val="0027770D"/>
    <w:rsid w:val="00284141"/>
    <w:rsid w:val="0028426E"/>
    <w:rsid w:val="00285BC5"/>
    <w:rsid w:val="002871D7"/>
    <w:rsid w:val="002B1921"/>
    <w:rsid w:val="002C3394"/>
    <w:rsid w:val="002C49F5"/>
    <w:rsid w:val="002D2CDE"/>
    <w:rsid w:val="002D41BE"/>
    <w:rsid w:val="002D5FB5"/>
    <w:rsid w:val="002F0D8D"/>
    <w:rsid w:val="002F7032"/>
    <w:rsid w:val="00310118"/>
    <w:rsid w:val="00312298"/>
    <w:rsid w:val="00317C97"/>
    <w:rsid w:val="00320219"/>
    <w:rsid w:val="00321B86"/>
    <w:rsid w:val="00324A7B"/>
    <w:rsid w:val="00352F2B"/>
    <w:rsid w:val="00353068"/>
    <w:rsid w:val="00357085"/>
    <w:rsid w:val="00377658"/>
    <w:rsid w:val="003B190B"/>
    <w:rsid w:val="003B573D"/>
    <w:rsid w:val="003B7D4D"/>
    <w:rsid w:val="003B7E05"/>
    <w:rsid w:val="003C2155"/>
    <w:rsid w:val="003C7EE7"/>
    <w:rsid w:val="003D7C89"/>
    <w:rsid w:val="003E3E3E"/>
    <w:rsid w:val="003F372A"/>
    <w:rsid w:val="003F4049"/>
    <w:rsid w:val="0040205D"/>
    <w:rsid w:val="00431AEE"/>
    <w:rsid w:val="00446282"/>
    <w:rsid w:val="0046507C"/>
    <w:rsid w:val="00465940"/>
    <w:rsid w:val="00483CE5"/>
    <w:rsid w:val="00484F95"/>
    <w:rsid w:val="00485B08"/>
    <w:rsid w:val="004A23D4"/>
    <w:rsid w:val="004A7DC5"/>
    <w:rsid w:val="004B46BE"/>
    <w:rsid w:val="00507003"/>
    <w:rsid w:val="00513500"/>
    <w:rsid w:val="00522372"/>
    <w:rsid w:val="00531601"/>
    <w:rsid w:val="005343B3"/>
    <w:rsid w:val="00540E90"/>
    <w:rsid w:val="0056421E"/>
    <w:rsid w:val="005822BB"/>
    <w:rsid w:val="00590E13"/>
    <w:rsid w:val="0059658C"/>
    <w:rsid w:val="00596B69"/>
    <w:rsid w:val="005D1FF4"/>
    <w:rsid w:val="005D344D"/>
    <w:rsid w:val="005F08ED"/>
    <w:rsid w:val="00604F78"/>
    <w:rsid w:val="006064AC"/>
    <w:rsid w:val="0061760C"/>
    <w:rsid w:val="006220DE"/>
    <w:rsid w:val="00633262"/>
    <w:rsid w:val="00643AAE"/>
    <w:rsid w:val="006767F9"/>
    <w:rsid w:val="00693D65"/>
    <w:rsid w:val="006947F1"/>
    <w:rsid w:val="006A5173"/>
    <w:rsid w:val="007223B3"/>
    <w:rsid w:val="007244E1"/>
    <w:rsid w:val="0073602C"/>
    <w:rsid w:val="0074582B"/>
    <w:rsid w:val="00777293"/>
    <w:rsid w:val="00782847"/>
    <w:rsid w:val="007E5E39"/>
    <w:rsid w:val="007E63AE"/>
    <w:rsid w:val="007F42FC"/>
    <w:rsid w:val="00806056"/>
    <w:rsid w:val="00840F79"/>
    <w:rsid w:val="0084119F"/>
    <w:rsid w:val="008436F0"/>
    <w:rsid w:val="008477DE"/>
    <w:rsid w:val="008509BE"/>
    <w:rsid w:val="00863A4E"/>
    <w:rsid w:val="00886375"/>
    <w:rsid w:val="00897192"/>
    <w:rsid w:val="008D65A3"/>
    <w:rsid w:val="008E1ADD"/>
    <w:rsid w:val="00902D8E"/>
    <w:rsid w:val="009148C8"/>
    <w:rsid w:val="00922C0D"/>
    <w:rsid w:val="00926DF4"/>
    <w:rsid w:val="00926F2C"/>
    <w:rsid w:val="009350DB"/>
    <w:rsid w:val="0095523A"/>
    <w:rsid w:val="00961456"/>
    <w:rsid w:val="009636D6"/>
    <w:rsid w:val="009837B9"/>
    <w:rsid w:val="00986637"/>
    <w:rsid w:val="00986683"/>
    <w:rsid w:val="00997FAC"/>
    <w:rsid w:val="009A44A3"/>
    <w:rsid w:val="009C3C22"/>
    <w:rsid w:val="009C60FB"/>
    <w:rsid w:val="009C747E"/>
    <w:rsid w:val="009E6C99"/>
    <w:rsid w:val="009F3BC7"/>
    <w:rsid w:val="009F59B8"/>
    <w:rsid w:val="00A1729D"/>
    <w:rsid w:val="00A3007E"/>
    <w:rsid w:val="00A44B7F"/>
    <w:rsid w:val="00A50F0C"/>
    <w:rsid w:val="00A54011"/>
    <w:rsid w:val="00A562B8"/>
    <w:rsid w:val="00A7768F"/>
    <w:rsid w:val="00A93EE4"/>
    <w:rsid w:val="00A97E2C"/>
    <w:rsid w:val="00AC1BEB"/>
    <w:rsid w:val="00AE748A"/>
    <w:rsid w:val="00AF4B24"/>
    <w:rsid w:val="00B01AA1"/>
    <w:rsid w:val="00B165D8"/>
    <w:rsid w:val="00B205B0"/>
    <w:rsid w:val="00B358C0"/>
    <w:rsid w:val="00B74F22"/>
    <w:rsid w:val="00B76430"/>
    <w:rsid w:val="00B82398"/>
    <w:rsid w:val="00B86F84"/>
    <w:rsid w:val="00B87D8A"/>
    <w:rsid w:val="00B90E77"/>
    <w:rsid w:val="00B97607"/>
    <w:rsid w:val="00BB213C"/>
    <w:rsid w:val="00BE55B2"/>
    <w:rsid w:val="00C2004B"/>
    <w:rsid w:val="00C23AA1"/>
    <w:rsid w:val="00C2565A"/>
    <w:rsid w:val="00C4781F"/>
    <w:rsid w:val="00C660D9"/>
    <w:rsid w:val="00C7151A"/>
    <w:rsid w:val="00C71CE4"/>
    <w:rsid w:val="00C76523"/>
    <w:rsid w:val="00C9112A"/>
    <w:rsid w:val="00C96EB8"/>
    <w:rsid w:val="00CB2319"/>
    <w:rsid w:val="00CC4440"/>
    <w:rsid w:val="00CD5D17"/>
    <w:rsid w:val="00CD736B"/>
    <w:rsid w:val="00CE6623"/>
    <w:rsid w:val="00CF6870"/>
    <w:rsid w:val="00D17BFA"/>
    <w:rsid w:val="00D24620"/>
    <w:rsid w:val="00D537D3"/>
    <w:rsid w:val="00D71167"/>
    <w:rsid w:val="00D84C08"/>
    <w:rsid w:val="00DB413D"/>
    <w:rsid w:val="00DC1332"/>
    <w:rsid w:val="00DD2FEA"/>
    <w:rsid w:val="00E0328F"/>
    <w:rsid w:val="00E3627A"/>
    <w:rsid w:val="00E43C46"/>
    <w:rsid w:val="00E46C33"/>
    <w:rsid w:val="00E6067D"/>
    <w:rsid w:val="00E612A5"/>
    <w:rsid w:val="00E701C2"/>
    <w:rsid w:val="00E97FF5"/>
    <w:rsid w:val="00EA383C"/>
    <w:rsid w:val="00EA38C4"/>
    <w:rsid w:val="00EB4135"/>
    <w:rsid w:val="00EC2FC2"/>
    <w:rsid w:val="00EC5810"/>
    <w:rsid w:val="00EE1B2B"/>
    <w:rsid w:val="00EE7313"/>
    <w:rsid w:val="00EF5003"/>
    <w:rsid w:val="00F07B6E"/>
    <w:rsid w:val="00F07F97"/>
    <w:rsid w:val="00F11152"/>
    <w:rsid w:val="00F16781"/>
    <w:rsid w:val="00F22BFD"/>
    <w:rsid w:val="00F26888"/>
    <w:rsid w:val="00F5362E"/>
    <w:rsid w:val="00F63FB8"/>
    <w:rsid w:val="00F67634"/>
    <w:rsid w:val="00FA53A3"/>
    <w:rsid w:val="00FA56FA"/>
    <w:rsid w:val="00FB1648"/>
    <w:rsid w:val="00FC354A"/>
    <w:rsid w:val="00FC6F5B"/>
    <w:rsid w:val="00FD0D7B"/>
    <w:rsid w:val="00FE78B2"/>
    <w:rsid w:val="00FF2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1A3F2"/>
  <w15:chartTrackingRefBased/>
  <w15:docId w15:val="{3A3A0702-9720-714B-B125-3D86E457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1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7B"/>
    <w:pPr>
      <w:ind w:left="720"/>
      <w:contextualSpacing/>
    </w:pPr>
  </w:style>
  <w:style w:type="table" w:styleId="TableGrid">
    <w:name w:val="Table Grid"/>
    <w:basedOn w:val="TableNormal"/>
    <w:uiPriority w:val="39"/>
    <w:rsid w:val="005D3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55B2"/>
    <w:rPr>
      <w:color w:val="808080"/>
    </w:rPr>
  </w:style>
  <w:style w:type="paragraph" w:styleId="BalloonText">
    <w:name w:val="Balloon Text"/>
    <w:basedOn w:val="Normal"/>
    <w:link w:val="BalloonTextChar"/>
    <w:uiPriority w:val="99"/>
    <w:semiHidden/>
    <w:unhideWhenUsed/>
    <w:rsid w:val="00196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FE9"/>
    <w:rPr>
      <w:rFonts w:ascii="Segoe UI" w:hAnsi="Segoe UI" w:cs="Segoe UI"/>
      <w:sz w:val="18"/>
      <w:szCs w:val="18"/>
    </w:rPr>
  </w:style>
  <w:style w:type="character" w:customStyle="1" w:styleId="Heading1Char">
    <w:name w:val="Heading 1 Char"/>
    <w:basedOn w:val="DefaultParagraphFont"/>
    <w:link w:val="Heading1"/>
    <w:uiPriority w:val="9"/>
    <w:rsid w:val="002871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1D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3D65"/>
    <w:pPr>
      <w:tabs>
        <w:tab w:val="center" w:pos="4680"/>
        <w:tab w:val="right" w:pos="9360"/>
      </w:tabs>
    </w:pPr>
  </w:style>
  <w:style w:type="character" w:customStyle="1" w:styleId="HeaderChar">
    <w:name w:val="Header Char"/>
    <w:basedOn w:val="DefaultParagraphFont"/>
    <w:link w:val="Header"/>
    <w:uiPriority w:val="99"/>
    <w:rsid w:val="00693D65"/>
  </w:style>
  <w:style w:type="paragraph" w:styleId="Footer">
    <w:name w:val="footer"/>
    <w:basedOn w:val="Normal"/>
    <w:link w:val="FooterChar"/>
    <w:uiPriority w:val="99"/>
    <w:unhideWhenUsed/>
    <w:rsid w:val="00693D65"/>
    <w:pPr>
      <w:tabs>
        <w:tab w:val="center" w:pos="4680"/>
        <w:tab w:val="right" w:pos="9360"/>
      </w:tabs>
    </w:pPr>
  </w:style>
  <w:style w:type="character" w:customStyle="1" w:styleId="FooterChar">
    <w:name w:val="Footer Char"/>
    <w:basedOn w:val="DefaultParagraphFont"/>
    <w:link w:val="Footer"/>
    <w:uiPriority w:val="99"/>
    <w:rsid w:val="00693D65"/>
  </w:style>
  <w:style w:type="paragraph" w:styleId="TOCHeading">
    <w:name w:val="TOC Heading"/>
    <w:basedOn w:val="Heading1"/>
    <w:next w:val="Normal"/>
    <w:uiPriority w:val="39"/>
    <w:unhideWhenUsed/>
    <w:qFormat/>
    <w:rsid w:val="00EB4135"/>
    <w:pPr>
      <w:spacing w:line="259" w:lineRule="auto"/>
      <w:outlineLvl w:val="9"/>
    </w:pPr>
  </w:style>
  <w:style w:type="paragraph" w:styleId="TOC2">
    <w:name w:val="toc 2"/>
    <w:basedOn w:val="Normal"/>
    <w:next w:val="Normal"/>
    <w:autoRedefine/>
    <w:uiPriority w:val="39"/>
    <w:unhideWhenUsed/>
    <w:rsid w:val="00EB4135"/>
    <w:pPr>
      <w:spacing w:after="100"/>
      <w:ind w:left="240"/>
    </w:pPr>
  </w:style>
  <w:style w:type="character" w:styleId="Hyperlink">
    <w:name w:val="Hyperlink"/>
    <w:basedOn w:val="DefaultParagraphFont"/>
    <w:uiPriority w:val="99"/>
    <w:unhideWhenUsed/>
    <w:rsid w:val="00EB4135"/>
    <w:rPr>
      <w:color w:val="0563C1" w:themeColor="hyperlink"/>
      <w:u w:val="single"/>
    </w:rPr>
  </w:style>
  <w:style w:type="paragraph" w:customStyle="1" w:styleId="Default">
    <w:name w:val="Default"/>
    <w:rsid w:val="009F3BC7"/>
    <w:pPr>
      <w:autoSpaceDE w:val="0"/>
      <w:autoSpaceDN w:val="0"/>
      <w:adjustRightInd w:val="0"/>
    </w:pPr>
    <w:rPr>
      <w:rFonts w:ascii="Times New Roman" w:hAnsi="Times New Roman" w:cs="Times New Roman"/>
      <w:color w:val="000000"/>
    </w:rPr>
  </w:style>
  <w:style w:type="character" w:customStyle="1" w:styleId="highlight">
    <w:name w:val="highlight"/>
    <w:basedOn w:val="DefaultParagraphFont"/>
    <w:rsid w:val="00FD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76924">
      <w:bodyDiv w:val="1"/>
      <w:marLeft w:val="0"/>
      <w:marRight w:val="0"/>
      <w:marTop w:val="0"/>
      <w:marBottom w:val="0"/>
      <w:divBdr>
        <w:top w:val="none" w:sz="0" w:space="0" w:color="auto"/>
        <w:left w:val="none" w:sz="0" w:space="0" w:color="auto"/>
        <w:bottom w:val="none" w:sz="0" w:space="0" w:color="auto"/>
        <w:right w:val="none" w:sz="0" w:space="0" w:color="auto"/>
      </w:divBdr>
    </w:div>
    <w:div w:id="747113751">
      <w:bodyDiv w:val="1"/>
      <w:marLeft w:val="0"/>
      <w:marRight w:val="0"/>
      <w:marTop w:val="0"/>
      <w:marBottom w:val="0"/>
      <w:divBdr>
        <w:top w:val="none" w:sz="0" w:space="0" w:color="auto"/>
        <w:left w:val="none" w:sz="0" w:space="0" w:color="auto"/>
        <w:bottom w:val="none" w:sz="0" w:space="0" w:color="auto"/>
        <w:right w:val="none" w:sz="0" w:space="0" w:color="auto"/>
      </w:divBdr>
    </w:div>
    <w:div w:id="1576428116">
      <w:bodyDiv w:val="1"/>
      <w:marLeft w:val="0"/>
      <w:marRight w:val="0"/>
      <w:marTop w:val="0"/>
      <w:marBottom w:val="0"/>
      <w:divBdr>
        <w:top w:val="none" w:sz="0" w:space="0" w:color="auto"/>
        <w:left w:val="none" w:sz="0" w:space="0" w:color="auto"/>
        <w:bottom w:val="none" w:sz="0" w:space="0" w:color="auto"/>
        <w:right w:val="none" w:sz="0" w:space="0" w:color="auto"/>
      </w:divBdr>
      <w:divsChild>
        <w:div w:id="1624078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4D11-7EDB-4094-AF04-4DDA09FA6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Shreshta Naskanti (Student)</dc:creator>
  <cp:keywords/>
  <dc:description/>
  <cp:lastModifiedBy>Abhijit Chintamani (Student)</cp:lastModifiedBy>
  <cp:revision>5</cp:revision>
  <dcterms:created xsi:type="dcterms:W3CDTF">2019-11-21T21:07:00Z</dcterms:created>
  <dcterms:modified xsi:type="dcterms:W3CDTF">2019-11-21T22:49:00Z</dcterms:modified>
</cp:coreProperties>
</file>