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15" w:rsidRDefault="00807415"/>
    <w:p w:rsidR="00807415" w:rsidRDefault="00807415"/>
    <w:p w:rsidR="00807415" w:rsidRDefault="00807415"/>
    <w:p w:rsidR="00807415" w:rsidRDefault="00807415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807415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807415" w:rsidRDefault="00807415">
            <w:pPr>
              <w:rPr>
                <w:sz w:val="44"/>
                <w:szCs w:val="44"/>
              </w:rPr>
            </w:pPr>
          </w:p>
          <w:p w:rsidR="00807415" w:rsidRDefault="00807415">
            <w:pPr>
              <w:rPr>
                <w:sz w:val="44"/>
                <w:szCs w:val="44"/>
              </w:rPr>
            </w:pPr>
          </w:p>
        </w:tc>
      </w:tr>
      <w:tr w:rsidR="00807415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807415" w:rsidRDefault="006133DB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 xml:space="preserve">[23년도 K카드사 개인정보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점검 프로젝트]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07415" w:rsidRDefault="0080741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07415" w:rsidRDefault="0080741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07415" w:rsidRDefault="0080741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07415" w:rsidRDefault="0080741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80741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807415" w:rsidRDefault="006133DB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C데이타시스템</w:t>
            </w:r>
          </w:p>
          <w:p w:rsidR="00807415" w:rsidRDefault="006133DB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점검 결과보고서</w:t>
            </w:r>
          </w:p>
        </w:tc>
      </w:tr>
      <w:tr w:rsidR="0080741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807415" w:rsidRDefault="006133DB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807415"/>
    <w:p w:rsidR="00807415" w:rsidRDefault="006133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807415" w:rsidRDefault="00807415"/>
    <w:p w:rsidR="00807415" w:rsidRDefault="00807415"/>
    <w:p w:rsidR="00807415" w:rsidRDefault="006133DB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8074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415" w:rsidRDefault="006133DB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제·개정 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807415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1271509208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457707274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203033000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58909899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171252963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939910831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80741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DE4230">
              <w:rPr>
                <w:rFonts w:ascii="Arial" w:eastAsia="Arial" w:hAnsi="Arial" w:cs="Arial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2093848451"/>
              </w:sdtPr>
              <w:sdtEndPr/>
              <w:sdtContent>
                <w:proofErr w:type="spellStart"/>
                <w:r w:rsidR="006133DB"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590705511"/>
              </w:sdtPr>
              <w:sdtEndPr/>
              <w:sdtContent>
                <w:proofErr w:type="spellStart"/>
                <w:r w:rsidR="006133DB"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 w:rsidR="006133DB"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점검 보고서 서식 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536710367"/>
              </w:sdtPr>
              <w:sdtEndPr/>
              <w:sdtContent>
                <w:proofErr w:type="spellStart"/>
                <w:r w:rsidR="006133DB">
                  <w:rPr>
                    <w:rFonts w:ascii="Arial Unicode MS" w:eastAsia="Arial Unicode MS" w:hAnsi="Arial Unicode MS" w:cs="Arial Unicode MS"/>
                  </w:rPr>
                  <w:t>양우성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80741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DE4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</w:t>
            </w:r>
            <w:r w:rsidR="006133DB">
              <w:rPr>
                <w:rFonts w:ascii="Arial" w:eastAsia="Arial" w:hAnsi="Arial" w:cs="Arial"/>
              </w:rPr>
              <w:t>3-12-16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9"/>
                <w:id w:val="-1320025831"/>
              </w:sdtPr>
              <w:sdtEndPr/>
              <w:sdtContent>
                <w:proofErr w:type="spellStart"/>
                <w:r w:rsidR="006133DB">
                  <w:rPr>
                    <w:rFonts w:ascii="Arial Unicode MS" w:eastAsia="Arial Unicode MS" w:hAnsi="Arial Unicode MS" w:cs="Arial Unicode MS"/>
                  </w:rPr>
                  <w:t>수정작성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0"/>
                <w:id w:val="1668058407"/>
              </w:sdtPr>
              <w:sdtEndPr/>
              <w:sdtContent>
                <w:r w:rsidR="006133DB">
                  <w:rPr>
                    <w:rFonts w:ascii="Arial Unicode MS" w:eastAsia="Arial Unicode MS" w:hAnsi="Arial Unicode MS" w:cs="Arial Unicode MS"/>
                  </w:rPr>
                  <w:t>세부사항 수정 작성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7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1"/>
                <w:id w:val="1975716657"/>
              </w:sdtPr>
              <w:sdtEndPr/>
              <w:sdtContent>
                <w:proofErr w:type="spellStart"/>
                <w:r w:rsidR="006133DB">
                  <w:rPr>
                    <w:rFonts w:ascii="Arial Unicode MS" w:eastAsia="Arial Unicode MS" w:hAnsi="Arial Unicode MS" w:cs="Arial Unicode MS"/>
                  </w:rPr>
                  <w:t>정민식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07415" w:rsidRDefault="00807415">
      <w:pPr>
        <w:spacing w:before="0" w:after="0"/>
        <w:rPr>
          <w:b/>
          <w:sz w:val="48"/>
          <w:szCs w:val="48"/>
        </w:rPr>
      </w:pPr>
    </w:p>
    <w:p w:rsidR="00807415" w:rsidRDefault="006133DB">
      <w:r>
        <w:br w:type="page"/>
      </w:r>
    </w:p>
    <w:p w:rsidR="00807415" w:rsidRDefault="006133DB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목적</w:t>
      </w:r>
    </w:p>
    <w:p w:rsidR="00807415" w:rsidRDefault="006133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K카드사</w:t>
      </w:r>
      <w:r>
        <w:rPr>
          <w:color w:val="000000"/>
        </w:rPr>
        <w:t xml:space="preserve">의 개인정보처리 업무를 위탁 수행하는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개인정보 보호수준을 파악하여, </w:t>
      </w:r>
      <w:r>
        <w:t>K카드사</w:t>
      </w:r>
      <w:r>
        <w:rPr>
          <w:color w:val="000000"/>
        </w:rPr>
        <w:t xml:space="preserve"> 고객정보의 안전한 처리 여부를 확인하고, 식별한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대해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현황에 맞는 개선방안을 수립하여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정보보호수준 향상을 도모함에 목적이 있음</w:t>
      </w: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정보 및 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807415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 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 업무</w:t>
            </w:r>
          </w:p>
        </w:tc>
      </w:tr>
      <w:tr w:rsidR="00807415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03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C데이타시스템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단말기반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IT도급업무 계약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방식 및 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807415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사업장 주소</w:t>
            </w:r>
          </w:p>
        </w:tc>
      </w:tr>
      <w:tr w:rsidR="0080741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 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2023년 11월 29일</w:t>
            </w:r>
          </w:p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14:00 ~ 17:00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서울 영등포구 </w:t>
            </w:r>
            <w:proofErr w:type="spellStart"/>
            <w:r>
              <w:t>국제금융로</w:t>
            </w:r>
            <w:proofErr w:type="spellEnd"/>
            <w:r>
              <w:t xml:space="preserve"> 8길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 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807415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계약 부서 / 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전화번호 / 이메일 주소</w:t>
            </w:r>
          </w:p>
        </w:tc>
      </w:tr>
      <w:tr w:rsidR="00807415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그룹사</w:t>
            </w:r>
            <w:proofErr w:type="spellEnd"/>
            <w:r>
              <w:t xml:space="preserve"> IT운영부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  <w:tr w:rsidR="00807415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 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807415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 주소</w:t>
            </w:r>
          </w:p>
        </w:tc>
      </w:tr>
      <w:tr w:rsidR="0080741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양우성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  <w:tr w:rsidR="0080741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ㅇㅇㅇ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807415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 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수량</w:t>
            </w:r>
          </w:p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개인정보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 솔루션 및 보호조치</w:t>
            </w:r>
          </w:p>
        </w:tc>
      </w:tr>
      <w:tr w:rsidR="0080741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  <w:tr w:rsidR="0080741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 개인정보</w:t>
            </w:r>
          </w:p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 운용 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저장 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80741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80741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 개인정보 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80741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80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개요</w:t>
      </w:r>
    </w:p>
    <w:p w:rsidR="00807415" w:rsidRDefault="006133DB">
      <w:pPr>
        <w:spacing w:before="0" w:after="0"/>
      </w:pPr>
      <w:r>
        <w:br w:type="page"/>
      </w: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1406525</wp:posOffset>
                </wp:positionH>
                <wp:positionV relativeFrom="page">
                  <wp:posOffset>3624263</wp:posOffset>
                </wp:positionV>
                <wp:extent cx="4086225" cy="1355479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475" y="4588428"/>
                          <a:ext cx="3913200" cy="128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7415" w:rsidRDefault="006133DB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개인정보취급사항 없음</w:t>
                            </w:r>
                          </w:p>
                        </w:txbxContent>
                      </wps:txbx>
                      <wps:bodyPr spcFirstLastPara="1" wrap="square" lIns="0" tIns="45700" rIns="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1406525</wp:posOffset>
                </wp:positionH>
                <wp:positionV relativeFrom="page">
                  <wp:posOffset>3624263</wp:posOffset>
                </wp:positionV>
                <wp:extent cx="4086225" cy="135547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355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 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807415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807415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807415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[정보주체]</w:t>
            </w:r>
          </w:p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고객/임직원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807415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t>K카드사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807415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t>C데이터시스템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807415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807415" w:rsidRDefault="0080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807415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807415" w:rsidRDefault="00807415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807415" w:rsidRDefault="00807415"/>
    <w:p w:rsidR="00807415" w:rsidRDefault="00807415"/>
    <w:p w:rsidR="00807415" w:rsidRDefault="006133DB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 결과</w:t>
      </w: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807415" w:rsidRDefault="006133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 xml:space="preserve">C데이타시스템은 </w:t>
      </w:r>
      <w:proofErr w:type="spellStart"/>
      <w:r>
        <w:t>단말기반</w:t>
      </w:r>
      <w:proofErr w:type="spellEnd"/>
      <w:r>
        <w:t xml:space="preserve"> 유형의 </w:t>
      </w:r>
      <w:proofErr w:type="spellStart"/>
      <w:r>
        <w:t>수탁사로서</w:t>
      </w:r>
      <w:proofErr w:type="spellEnd"/>
      <w:r>
        <w:t xml:space="preserve">, 최초 </w:t>
      </w:r>
      <w:r w:rsidR="00C146EF">
        <w:t>69</w:t>
      </w:r>
      <w:r>
        <w:t>개 점검기준으로 점검을 수행함</w:t>
      </w:r>
    </w:p>
    <w:p w:rsidR="00807415" w:rsidRDefault="006133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 C데이타시스템은 시스템 권한을 최소한으로 부여하고, 1인1계정과 같은 양호한 보안수준을 유지하고 있으나, 정보보안서약서를 정기적으로 </w:t>
      </w:r>
      <w:proofErr w:type="spellStart"/>
      <w:r>
        <w:t>징구하지</w:t>
      </w:r>
      <w:proofErr w:type="spellEnd"/>
      <w:r>
        <w:t xml:space="preserve"> 않고, </w:t>
      </w:r>
      <w:proofErr w:type="spellStart"/>
      <w:r>
        <w:t>퇴사자의</w:t>
      </w:r>
      <w:proofErr w:type="spellEnd"/>
      <w:r>
        <w:t xml:space="preserve"> 계정 존재와 같은 </w:t>
      </w:r>
      <w:proofErr w:type="spellStart"/>
      <w:r>
        <w:t>미흡사항이</w:t>
      </w:r>
      <w:proofErr w:type="spellEnd"/>
      <w:r>
        <w:t xml:space="preserve"> 식별되어 정보보호서약서를 정기적으로 </w:t>
      </w:r>
      <w:proofErr w:type="spellStart"/>
      <w:r>
        <w:t>징구하고</w:t>
      </w:r>
      <w:proofErr w:type="spellEnd"/>
      <w:r>
        <w:t xml:space="preserve">, 권한 관리에 많은 관심을 갖는 등의 개선방안을 수립하고 </w:t>
      </w:r>
      <w:proofErr w:type="spellStart"/>
      <w:r>
        <w:t>이행조치</w:t>
      </w:r>
      <w:proofErr w:type="spellEnd"/>
      <w:r>
        <w:t xml:space="preserve"> 계획을 수립함</w:t>
      </w: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결과</w:t>
      </w:r>
    </w:p>
    <w:p w:rsidR="00807415" w:rsidRDefault="006133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 결과에 대한 판단 기준과 보안준수율에 대한 산정 기준은 아래와 같음</w:t>
      </w: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807415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 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 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80741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구현되어 실행되고 있는 상태</w:t>
            </w:r>
          </w:p>
        </w:tc>
      </w:tr>
      <w:tr w:rsidR="0080741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일부만 적용되어 있는 상태</w:t>
            </w:r>
          </w:p>
        </w:tc>
      </w:tr>
      <w:tr w:rsidR="0080741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이루어지지 않는 상태</w:t>
            </w:r>
          </w:p>
        </w:tc>
      </w:tr>
      <w:tr w:rsidR="0080741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 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415" w:rsidRDefault="006133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진단 항목에 해당사항 없음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807415">
        <w:trPr>
          <w:trHeight w:val="818"/>
        </w:trPr>
        <w:tc>
          <w:tcPr>
            <w:tcW w:w="997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124311" cy="414292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311" cy="4142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807415" w:rsidRDefault="006133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 결과</w:t>
      </w:r>
      <w:r>
        <w:t xml:space="preserve"> C데이타시스템은 보</w:t>
      </w:r>
      <w:r>
        <w:rPr>
          <w:color w:val="000000"/>
        </w:rPr>
        <w:t xml:space="preserve">안준수율이 </w:t>
      </w:r>
      <w:r>
        <w:t>66.67</w:t>
      </w:r>
      <w:r>
        <w:rPr>
          <w:color w:val="000000"/>
        </w:rPr>
        <w:t xml:space="preserve">%로 </w:t>
      </w:r>
      <w:proofErr w:type="spellStart"/>
      <w:r>
        <w:t>미흡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3</w:t>
      </w:r>
      <w:r>
        <w:rPr>
          <w:color w:val="000000"/>
        </w:rPr>
        <w:t xml:space="preserve">개의 양호(Y), </w:t>
      </w:r>
      <w:r>
        <w:t>6</w:t>
      </w:r>
      <w:r>
        <w:rPr>
          <w:color w:val="000000"/>
        </w:rPr>
        <w:t>개의 미흡(P), 0개의 취약(N)으로 식별되었습니다.</w:t>
      </w:r>
    </w:p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807415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 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 결과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 목록을 관리하고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개인정보취급자를 대상으로 개인정보보호서약서를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개인정보보호교육을 정기적(연 1회 이상)으로 시행하고 관련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보관하고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계정(1인1계정)을 부여하여 관리하고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lastRenderedPageBreak/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 제외한 계정의 권한은 최소한으로 제한하여 부여하고 있는가?</w:t>
            </w:r>
          </w:p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및 관련 백업 시스템 등에 대해 권한 없는 자가 내/외부에서 접근 불가능한가?</w:t>
            </w:r>
          </w:p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사용자 계정 및 접근권한을 관리하고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퇴직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부여 권한을 즉시 회수하고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 이상 업무처리를 하지 않는 경우, 화면보호기 설정이 적용되어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 및 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개발 및 테스트 시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아닌 별도의 테스트 데이터를 사용하는가?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 소프트웨어를 설치 및 운영하고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통제하고 있는가?</w:t>
            </w:r>
          </w:p>
        </w:tc>
        <w:tc>
          <w:tcPr>
            <w:tcW w:w="1190" w:type="dxa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807415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66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67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807415" w:rsidRDefault="00613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주요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및 보호대책 수립 현황</w:t>
      </w:r>
    </w:p>
    <w:tbl>
      <w:tblPr>
        <w:tblStyle w:val="af0"/>
        <w:tblW w:w="996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6285"/>
      </w:tblGrid>
      <w:tr w:rsidR="00807415">
        <w:trPr>
          <w:trHeight w:val="524"/>
          <w:tblHeader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항목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807415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  <w:proofErr w:type="gramStart"/>
            <w:r>
              <w:rPr>
                <w:sz w:val="16"/>
                <w:szCs w:val="16"/>
              </w:rPr>
              <w:t>.개인정보취급자를</w:t>
            </w:r>
            <w:proofErr w:type="gramEnd"/>
            <w:r>
              <w:rPr>
                <w:sz w:val="16"/>
                <w:szCs w:val="16"/>
              </w:rPr>
              <w:t xml:space="preserve"> 대상으로 개인정보보호서약서를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정보보호서약서를 정기적으로 </w:t>
            </w:r>
            <w:proofErr w:type="spellStart"/>
            <w:r>
              <w:rPr>
                <w:sz w:val="16"/>
                <w:szCs w:val="16"/>
              </w:rPr>
              <w:t>징구해야</w:t>
            </w:r>
            <w:proofErr w:type="spellEnd"/>
            <w:r>
              <w:rPr>
                <w:sz w:val="16"/>
                <w:szCs w:val="16"/>
              </w:rPr>
              <w:t xml:space="preserve"> 함.</w:t>
            </w:r>
          </w:p>
        </w:tc>
      </w:tr>
      <w:tr w:rsidR="00807415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proofErr w:type="gramStart"/>
            <w:r>
              <w:rPr>
                <w:sz w:val="16"/>
                <w:szCs w:val="16"/>
              </w:rPr>
              <w:t>.개인정보보호교육을</w:t>
            </w:r>
            <w:proofErr w:type="gramEnd"/>
            <w:r>
              <w:rPr>
                <w:sz w:val="16"/>
                <w:szCs w:val="16"/>
              </w:rPr>
              <w:t xml:space="preserve"> 정기적(연 1회 이상)으로 시행하고 관련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보관하고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미이수자들에 대한 관리 </w:t>
            </w:r>
            <w:proofErr w:type="spellStart"/>
            <w:r>
              <w:rPr>
                <w:sz w:val="16"/>
                <w:szCs w:val="16"/>
              </w:rPr>
              <w:t>감독를</w:t>
            </w:r>
            <w:proofErr w:type="spellEnd"/>
            <w:r>
              <w:rPr>
                <w:sz w:val="16"/>
                <w:szCs w:val="16"/>
              </w:rPr>
              <w:t xml:space="preserve"> 해야 함.</w:t>
            </w:r>
          </w:p>
        </w:tc>
      </w:tr>
      <w:tr w:rsidR="00807415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  <w:proofErr w:type="gramStart"/>
            <w:r>
              <w:rPr>
                <w:sz w:val="16"/>
                <w:szCs w:val="16"/>
              </w:rPr>
              <w:t>.퇴직</w:t>
            </w:r>
            <w:proofErr w:type="gramEnd"/>
            <w:r>
              <w:rPr>
                <w:sz w:val="16"/>
                <w:szCs w:val="16"/>
              </w:rPr>
              <w:t xml:space="preserve">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부여 권한을 즉시 회수하고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퇴직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권한 관리 이행을 잘 지켜야 함.</w:t>
            </w:r>
          </w:p>
        </w:tc>
      </w:tr>
      <w:tr w:rsidR="00807415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proofErr w:type="gramStart"/>
            <w:r>
              <w:rPr>
                <w:sz w:val="16"/>
                <w:szCs w:val="16"/>
              </w:rPr>
              <w:t>.일정시간</w:t>
            </w:r>
            <w:proofErr w:type="gramEnd"/>
            <w:r>
              <w:rPr>
                <w:sz w:val="16"/>
                <w:szCs w:val="16"/>
              </w:rPr>
              <w:t xml:space="preserve"> 이상 업무처리를 하지 않는 경우, 화면보호기 설정이 적용되어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다시 시작할 때 로그인 화면 표시 체크되어 있는지 확인해야 함.</w:t>
            </w:r>
          </w:p>
        </w:tc>
      </w:tr>
      <w:tr w:rsidR="00807415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 안티바이러스 소프트웨어를 설치 및 운영하고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widowControl w:val="0"/>
              <w:spacing w:before="0" w:after="0" w:line="276" w:lineRule="auto"/>
            </w:pPr>
            <w:r>
              <w:rPr>
                <w:sz w:val="16"/>
                <w:szCs w:val="16"/>
              </w:rPr>
              <w:t>자동 업데이트 기능을 사용하여 일 1회 이상 업데이트 설정을 해야 함.</w:t>
            </w:r>
          </w:p>
        </w:tc>
      </w:tr>
      <w:tr w:rsidR="0080741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10. 보조저장매체를 허가없이 사용 할 수 없도록 통제하고 있는가?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 제어 솔루션을 사용해야 함. (읽기, 쓰기에 대한 사용 여부 체크)</w:t>
            </w:r>
          </w:p>
          <w:p w:rsidR="00807415" w:rsidRDefault="006133D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 스티커, USB 포트 등 물리적 보안 통제를 해야 함.</w:t>
            </w:r>
          </w:p>
        </w:tc>
      </w:tr>
    </w:tbl>
    <w:p w:rsidR="00807415" w:rsidRDefault="0080741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807415">
      <w:headerReference w:type="default" r:id="rId18"/>
      <w:footerReference w:type="default" r:id="rId19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2C3" w:rsidRDefault="006133DB">
      <w:pPr>
        <w:spacing w:before="0" w:after="0"/>
      </w:pPr>
      <w:r>
        <w:separator/>
      </w:r>
    </w:p>
  </w:endnote>
  <w:endnote w:type="continuationSeparator" w:id="0">
    <w:p w:rsidR="006C22C3" w:rsidRDefault="006133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30" w:rsidRDefault="00DE4230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15" w:rsidRDefault="008074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807415" w:rsidRDefault="008074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30" w:rsidRDefault="00DE4230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15" w:rsidRDefault="006133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DE4230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DE4230">
      <w:rPr>
        <w:rFonts w:ascii="가을체" w:eastAsia="가을체" w:hAnsi="가을체" w:cs="가을체"/>
        <w:noProof/>
        <w:color w:val="7F7F7F"/>
        <w:sz w:val="24"/>
        <w:szCs w:val="24"/>
      </w:rPr>
      <w:t>7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7415" w:rsidRDefault="006133D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C146EF">
                            <w:rPr>
                              <w:color w:val="000000"/>
                            </w:rPr>
                            <w:t>K</w:t>
                          </w:r>
                          <w:r w:rsidR="00C146EF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C146EF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bookmarkStart w:id="1" w:name="_GoBack"/>
                          <w:bookmarkEnd w:id="1"/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8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6IRzQEAAHcDAAAOAAAAZHJzL2Uyb0RvYy54bWysU8lu2zAQvRfoPxC8x1psOZJgOggauCgQ&#10;tAbSfgBNkRYBcSlJW/Lfd0jZSdreil7o2fzmvZnR5mFSAzpz56XRBBeLHCOumemkPhL84/vursbI&#10;B6o7OhjNCb5wjx+2Hz9sRtvy0vRm6LhDAKJ9O1qC+xBsm2We9VxRvzCWa0gK4xQN4Lpj1jk6Aroa&#10;sjLP19loXGedYdx7iD7NSbxN+EJwFr4J4XlAA8HALaTXpfcQ32y7oe3RUdtLdqVB/4GFolJD01eo&#10;JxooOjn5F5SSzBlvRFgwozIjhGQ8aQA1Rf6HmpeeWp60wHC8fR2T/3+w7Ot575DsCF5hpKmCFcWZ&#10;jNa3kHqxe3f1PJhR4CScir9AHU3wr7pZF/kSowvBy/WyqqtqnimfAmJQUDfNfVNhxKCgrOuySTPP&#10;3oCs8+EzNwpFg2AHK0uTpOdnH6A5lN5KYl9tdnIY0toG/VsACmMki9xnttEK02FK+pY3XQfTXUCz&#10;t2wnoeUz9WFPHWy9wGiESyDY/zxRxzEavmgYdVOsShAQkgM35N5HD8lZVfc5ZKhmvYHjCjfzU0in&#10;NtN8PAUjZJIUic00rnxhu0np9RLj+bz3U9Xb97L9BQAA//8DAFBLAwQUAAYACAAAACEAUy40lt8A&#10;AAAHAQAADwAAAGRycy9kb3ducmV2LnhtbEyPwU7DMBBE70j8g7VI3FqHAIGGbCpUiRNCbQMcuLnx&#10;NnGJ11HstqFfj3uC02o0o5m3xXy0nTjQ4I1jhJtpAoK4dtpwg/Dx/jJ5BOGDYq06x4TwQx7m5eVF&#10;oXLtjrymQxUaEUvY5wqhDaHPpfR1S1b5qeuJo7d1g1UhyqGRelDHWG47mSZJJq0yHBda1dOipfq7&#10;2luE3TpbVMas3HZ3q79OJ7P8fH1bIl5fjc9PIAKN4S8MZ/yIDmVk2rg9ay86hMldFn8JCOcT/dlD&#10;CmKDcJ/OQJaF/M9f/gIAAP//AwBQSwECLQAUAAYACAAAACEAtoM4kv4AAADhAQAAEwAAAAAAAAAA&#10;AAAAAAAAAAAAW0NvbnRlbnRfVHlwZXNdLnhtbFBLAQItABQABgAIAAAAIQA4/SH/1gAAAJQBAAAL&#10;AAAAAAAAAAAAAAAAAC8BAABfcmVscy8ucmVsc1BLAQItABQABgAIAAAAIQCL/6IRzQEAAHcDAAAO&#10;AAAAAAAAAAAAAAAAAC4CAABkcnMvZTJvRG9jLnhtbFBLAQItABQABgAIAAAAIQBTLjSW3wAAAAcB&#10;AAAPAAAAAAAAAAAAAAAAACcEAABkcnMvZG93bnJldi54bWxQSwUGAAAAAAQABADzAAAAMwUAAAAA&#10;" filled="f" stroked="f">
              <v:textbox inset="2.53958mm,0,2.53958mm,1.2694mm">
                <w:txbxContent>
                  <w:p w:rsidR="00807415" w:rsidRDefault="006133DB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C146EF">
                      <w:rPr>
                        <w:color w:val="000000"/>
                      </w:rPr>
                      <w:t>K</w:t>
                    </w:r>
                    <w:r w:rsidR="00C146EF">
                      <w:rPr>
                        <w:rFonts w:hint="eastAsia"/>
                        <w:color w:val="000000"/>
                      </w:rPr>
                      <w:t>카</w:t>
                    </w:r>
                    <w:r w:rsidR="00C146EF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bookmarkStart w:id="2" w:name="_GoBack"/>
                    <w:bookmarkEnd w:id="2"/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2C3" w:rsidRDefault="006133DB">
      <w:pPr>
        <w:spacing w:before="0" w:after="0"/>
      </w:pPr>
      <w:r>
        <w:separator/>
      </w:r>
    </w:p>
  </w:footnote>
  <w:footnote w:type="continuationSeparator" w:id="0">
    <w:p w:rsidR="006C22C3" w:rsidRDefault="006133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30" w:rsidRDefault="00DE423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15" w:rsidRDefault="006133DB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C146EF">
      <w:rPr>
        <w:rFonts w:hint="eastAsia"/>
        <w:i/>
        <w:color w:val="0000FF"/>
      </w:rPr>
      <w:t>K카드</w:t>
    </w:r>
    <w:r>
      <w:rPr>
        <w:i/>
        <w:color w:val="0000FF"/>
      </w:rPr>
      <w:t>사)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30" w:rsidRDefault="00DE4230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15" w:rsidRDefault="0080741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807415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807415" w:rsidRDefault="00807415">
          <w:pPr>
            <w:spacing w:before="0" w:after="0"/>
            <w:rPr>
              <w:sz w:val="18"/>
              <w:szCs w:val="18"/>
            </w:rPr>
          </w:pPr>
        </w:p>
      </w:tc>
    </w:tr>
    <w:tr w:rsidR="00807415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807415" w:rsidRDefault="00807415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807415" w:rsidRDefault="006133DB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807415" w:rsidRDefault="006133DB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0" name="그룹 10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415" w:rsidRDefault="0080741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7415" w:rsidRDefault="0080741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자유형 13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7415" w:rsidRDefault="0080741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50755"/>
    <w:multiLevelType w:val="multilevel"/>
    <w:tmpl w:val="E9DC5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15"/>
    <w:rsid w:val="006133DB"/>
    <w:rsid w:val="006C22C3"/>
    <w:rsid w:val="00807415"/>
    <w:rsid w:val="00C146EF"/>
    <w:rsid w:val="00D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E1906"/>
  <w15:docId w15:val="{DB794ED9-28FC-4385-9522-BBE8B3C3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C14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C146EF"/>
  </w:style>
  <w:style w:type="paragraph" w:styleId="af3">
    <w:name w:val="footer"/>
    <w:basedOn w:val="a"/>
    <w:link w:val="Char0"/>
    <w:uiPriority w:val="99"/>
    <w:unhideWhenUsed/>
    <w:rsid w:val="00C14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C1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ug3JVm+sVubh8/ieY6JJCyaSb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IIaC5namRneHM4AHIhMTllZUpvUmlDbUlwd3dKbTZGc3JrRHJaNjd5V0FQbX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2023-12-26T00:28:00Z</dcterms:created>
  <dcterms:modified xsi:type="dcterms:W3CDTF">2023-12-26T00:28:00Z</dcterms:modified>
</cp:coreProperties>
</file>