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559"/>
        <w:gridCol w:w="567"/>
        <w:gridCol w:w="993"/>
        <w:gridCol w:w="141"/>
        <w:gridCol w:w="851"/>
        <w:gridCol w:w="425"/>
        <w:gridCol w:w="425"/>
        <w:gridCol w:w="709"/>
        <w:gridCol w:w="851"/>
        <w:gridCol w:w="1417"/>
        <w:gridCol w:w="1078"/>
      </w:tblGrid>
      <w:tr w14:paraId="2FA4CDC3">
        <w:trPr>
          <w:trHeight w:val="656" w:hRule="atLeast"/>
        </w:trPr>
        <w:tc>
          <w:tcPr>
            <w:tcW w:w="2263" w:type="dxa"/>
            <w:gridSpan w:val="2"/>
            <w:shd w:val="clear" w:color="auto" w:fill="auto"/>
            <w:vAlign w:val="center"/>
          </w:tcPr>
          <w:p w14:paraId="1D2B2EF3">
            <w:pPr>
              <w:adjustRightInd w:val="0"/>
              <w:spacing w:line="240" w:lineRule="atLeast"/>
              <w:jc w:val="center"/>
              <w:rPr>
                <w:rFonts w:ascii="Times New Roman" w:hAnsi="Times New Roman" w:cs="Times New Roman" w:eastAsiaTheme="majorEastAsia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申报日期</w:t>
            </w:r>
          </w:p>
        </w:tc>
        <w:tc>
          <w:tcPr>
            <w:tcW w:w="2552" w:type="dxa"/>
            <w:gridSpan w:val="4"/>
            <w:shd w:val="clear" w:color="auto" w:fill="auto"/>
            <w:vAlign w:val="center"/>
          </w:tcPr>
          <w:p w14:paraId="607C521D">
            <w:pPr>
              <w:adjustRightInd w:val="0"/>
              <w:jc w:val="center"/>
              <w:rPr>
                <w:rFonts w:cs="Times New Roman" w:asciiTheme="minorEastAsia" w:hAnsiTheme="minorEastAsia" w:eastAsiaTheme="minorEastAsia"/>
                <w:b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cs="Times New Roman" w:asciiTheme="minorEastAsia" w:hAnsiTheme="minorEastAsia" w:eastAsiaTheme="minorEastAsia"/>
                <w:b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026</w:t>
            </w:r>
            <w:r>
              <w:rPr>
                <w:rFonts w:hint="eastAsia" w:cs="Times New Roman" w:asciiTheme="minorEastAsia" w:hAnsiTheme="minorEastAsia" w:eastAsiaTheme="minorEastAsia"/>
                <w:b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年</w:t>
            </w:r>
            <w:r>
              <w:rPr>
                <w:rFonts w:cs="Times New Roman" w:asciiTheme="minorEastAsia" w:hAnsiTheme="minorEastAsia" w:eastAsiaTheme="minorEastAsia"/>
                <w:b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cs="Times New Roman" w:asciiTheme="minorEastAsia" w:hAnsiTheme="minorEastAsia" w:eastAsiaTheme="minorEastAsia"/>
                <w:b/>
                <w:color w:val="000000" w:themeColor="text1"/>
                <w:sz w:val="32"/>
                <w:szCs w:val="3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hint="eastAsia" w:cs="Times New Roman" w:asciiTheme="minorEastAsia" w:hAnsiTheme="minorEastAsia" w:eastAsiaTheme="minorEastAsia"/>
                <w:b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月</w:t>
            </w:r>
            <w:r>
              <w:rPr>
                <w:rFonts w:hint="eastAsia" w:cs="Times New Roman" w:asciiTheme="minorEastAsia" w:hAnsiTheme="minorEastAsia" w:eastAsiaTheme="minorEastAsia"/>
                <w:b/>
                <w:color w:val="000000" w:themeColor="text1"/>
                <w:sz w:val="32"/>
                <w:szCs w:val="3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cs="Times New Roman" w:asciiTheme="minorEastAsia" w:hAnsiTheme="minorEastAsia" w:eastAsiaTheme="minorEastAsia"/>
                <w:b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日</w:t>
            </w:r>
          </w:p>
        </w:tc>
        <w:tc>
          <w:tcPr>
            <w:tcW w:w="1559" w:type="dxa"/>
            <w:gridSpan w:val="3"/>
            <w:shd w:val="clear" w:color="auto" w:fill="auto"/>
            <w:vAlign w:val="center"/>
          </w:tcPr>
          <w:p w14:paraId="5515B307">
            <w:pPr>
              <w:adjustRightInd w:val="0"/>
              <w:jc w:val="center"/>
              <w:rPr>
                <w:rFonts w:cs="Times New Roman" w:asciiTheme="minorEastAsia" w:hAnsiTheme="minorEastAsia" w:eastAsiaTheme="minorEastAsia"/>
                <w:b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出版形式</w:t>
            </w:r>
          </w:p>
        </w:tc>
        <w:tc>
          <w:tcPr>
            <w:tcW w:w="3346" w:type="dxa"/>
            <w:gridSpan w:val="3"/>
            <w:shd w:val="clear" w:color="auto" w:fill="auto"/>
            <w:vAlign w:val="center"/>
          </w:tcPr>
          <w:p w14:paraId="67E920E6">
            <w:pPr>
              <w:adjustRightInd w:val="0"/>
              <w:spacing w:before="0" w:beforeAutospacing="0" w:after="0" w:afterAutospacing="0"/>
              <w:jc w:val="center"/>
              <w:rPr>
                <w:rFonts w:ascii="仿宋" w:hAnsi="仿宋" w:eastAsia="仿宋"/>
                <w:color w:val="000000"/>
                <w:sz w:val="28"/>
                <w:szCs w:val="28"/>
                <w:shd w:val="clear" w:color="auto" w:fill="FFFFFF"/>
              </w:rPr>
            </w:pPr>
            <w:bookmarkStart w:id="0" w:name="OLE_LINK1"/>
            <w:bookmarkStart w:id="1" w:name="OLE_LINK2"/>
            <w:sdt>
              <w:sdtPr>
                <w:rPr>
                  <w:rFonts w:hint="eastAsia" w:ascii="仿宋" w:hAnsi="仿宋" w:eastAsia="仿宋"/>
                  <w:color w:val="000000" w:themeColor="text1"/>
                  <w:sz w:val="28"/>
                  <w:szCs w:val="28"/>
                  <w14:textFill>
                    <w14:solidFill>
                      <w14:schemeClr w14:val="tx1"/>
                    </w14:solidFill>
                  </w14:textFill>
                </w:rPr>
                <w:id w:val="-1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color w:val="000000" w:themeColor="text1"/>
                  <w:sz w:val="28"/>
                  <w:szCs w:val="28"/>
                  <w14:textFill>
                    <w14:solidFill>
                      <w14:schemeClr w14:val="tx1"/>
                    </w14:solidFill>
                  </w14:textFill>
                </w:rPr>
              </w:sdtEndPr>
              <w:sdtContent>
                <w:r>
                  <w:rPr>
                    <w:rFonts w:hint="eastAsia" w:ascii="Wingdings 2" w:hAnsi="Wingdings 2" w:eastAsia="MS Gothic" w:cs="宋体"/>
                    <w:color w:val="000000" w:themeColor="text1"/>
                    <w:sz w:val="28"/>
                    <w:szCs w:val="28"/>
                    <w:lang w:val="en-US" w:eastAsia="zh-CN" w:bidi="ar-SA"/>
                    <w14:textFill>
                      <w14:solidFill>
                        <w14:schemeClr w14:val="tx1"/>
                      </w14:solidFill>
                    </w14:textFill>
                  </w:rPr>
                  <w:t>R</w:t>
                </w:r>
              </w:sdtContent>
            </w:sdt>
            <w:bookmarkEnd w:id="0"/>
            <w:bookmarkEnd w:id="1"/>
            <w:r>
              <w:rPr>
                <w:rFonts w:ascii="仿宋" w:hAnsi="仿宋" w:eastAsia="仿宋"/>
                <w:sz w:val="28"/>
                <w:szCs w:val="28"/>
              </w:rPr>
              <w:t xml:space="preserve"> </w:t>
            </w:r>
            <w:r>
              <w:rPr>
                <w:rFonts w:hint="eastAsia" w:ascii="仿宋" w:hAnsi="仿宋" w:eastAsia="仿宋"/>
                <w:color w:val="000000"/>
                <w:sz w:val="28"/>
                <w:szCs w:val="28"/>
                <w:shd w:val="clear" w:color="auto" w:fill="FFFFFF"/>
              </w:rPr>
              <w:t>纸质</w:t>
            </w:r>
            <w:r>
              <w:rPr>
                <w:rFonts w:ascii="仿宋" w:hAnsi="仿宋" w:eastAsia="仿宋"/>
                <w:color w:val="000000"/>
                <w:sz w:val="28"/>
                <w:szCs w:val="28"/>
                <w:shd w:val="clear" w:color="auto" w:fill="FFFFFF"/>
              </w:rPr>
              <w:tab/>
            </w:r>
            <w:sdt>
              <w:sdtPr>
                <w:rPr>
                  <w:rFonts w:hint="eastAsia" w:ascii="仿宋" w:hAnsi="仿宋" w:eastAsia="仿宋"/>
                  <w:color w:val="000000" w:themeColor="text1"/>
                  <w:sz w:val="28"/>
                  <w:szCs w:val="28"/>
                  <w14:textFill>
                    <w14:solidFill>
                      <w14:schemeClr w14:val="tx1"/>
                    </w14:solidFill>
                  </w14:textFill>
                </w:rPr>
                <w:id w:val="11445032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color w:val="000000" w:themeColor="text1"/>
                  <w:sz w:val="28"/>
                  <w:szCs w:val="28"/>
                  <w14:textFill>
                    <w14:solidFill>
                      <w14:schemeClr w14:val="tx1"/>
                    </w14:solidFill>
                  </w14:textFill>
                </w:rPr>
              </w:sdtEndPr>
              <w:sdtContent>
                <w:r>
                  <w:rPr>
                    <w:rFonts w:hint="eastAsia" w:ascii="MS Gothic" w:hAnsi="MS Gothic" w:eastAsia="MS Gothic"/>
                    <w:color w:val="000000" w:themeColor="text1"/>
                    <w:sz w:val="28"/>
                    <w:szCs w:val="28"/>
                    <w14:textFill>
                      <w14:solidFill>
                        <w14:schemeClr w14:val="tx1"/>
                      </w14:solidFill>
                    </w14:textFill>
                  </w:rPr>
                  <w:t>☐</w:t>
                </w:r>
              </w:sdtContent>
            </w:sdt>
            <w:r>
              <w:rPr>
                <w:rFonts w:ascii="仿宋" w:hAnsi="仿宋" w:eastAsia="仿宋"/>
                <w:sz w:val="28"/>
                <w:szCs w:val="28"/>
              </w:rPr>
              <w:t xml:space="preserve"> </w:t>
            </w:r>
            <w:r>
              <w:rPr>
                <w:rFonts w:hint="eastAsia" w:ascii="仿宋" w:hAnsi="仿宋" w:eastAsia="仿宋"/>
                <w:color w:val="000000"/>
                <w:sz w:val="28"/>
                <w:szCs w:val="28"/>
                <w:shd w:val="clear" w:color="auto" w:fill="FFFFFF"/>
              </w:rPr>
              <w:t>数字</w:t>
            </w:r>
          </w:p>
          <w:p w14:paraId="24992DC1">
            <w:pPr>
              <w:adjustRightInd w:val="0"/>
              <w:jc w:val="center"/>
              <w:rPr>
                <w:rFonts w:cs="Times New Roman" w:asciiTheme="minorEastAsia" w:hAnsiTheme="minorEastAsia" w:eastAsiaTheme="minorEastAsia"/>
                <w:b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eastAsia="楷体_GB2312"/>
                <w:b/>
                <w:color w:val="FF0000"/>
              </w:rPr>
              <w:t>（可同时勾选）</w:t>
            </w:r>
          </w:p>
        </w:tc>
      </w:tr>
      <w:tr w14:paraId="332DF60D">
        <w:trPr>
          <w:trHeight w:val="656" w:hRule="atLeast"/>
        </w:trPr>
        <w:tc>
          <w:tcPr>
            <w:tcW w:w="2263" w:type="dxa"/>
            <w:gridSpan w:val="2"/>
            <w:shd w:val="clear" w:color="auto" w:fill="auto"/>
            <w:vAlign w:val="center"/>
          </w:tcPr>
          <w:p w14:paraId="16F97EFB">
            <w:pPr>
              <w:adjustRightInd w:val="0"/>
              <w:spacing w:line="240" w:lineRule="atLeast"/>
              <w:jc w:val="center"/>
              <w:rPr>
                <w:rFonts w:ascii="Times New Roman" w:hAnsi="Times New Roman" w:cs="Times New Roman" w:eastAsiaTheme="majorEastAsia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丛书名称</w:t>
            </w:r>
          </w:p>
        </w:tc>
        <w:tc>
          <w:tcPr>
            <w:tcW w:w="7457" w:type="dxa"/>
            <w:gridSpan w:val="10"/>
            <w:shd w:val="clear" w:color="auto" w:fill="auto"/>
            <w:vAlign w:val="center"/>
          </w:tcPr>
          <w:p w14:paraId="6F0B6321">
            <w:pPr>
              <w:adjustRightInd w:val="0"/>
              <w:spacing w:line="240" w:lineRule="atLeast"/>
              <w:jc w:val="center"/>
              <w:rPr>
                <w:rFonts w:ascii="Times New Roman" w:hAnsi="Times New Roman" w:cs="Times New Roman" w:eastAsiaTheme="majorEastAsia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74FB0C3">
        <w:trPr>
          <w:trHeight w:val="656" w:hRule="atLeast"/>
        </w:trPr>
        <w:tc>
          <w:tcPr>
            <w:tcW w:w="2263" w:type="dxa"/>
            <w:gridSpan w:val="2"/>
            <w:shd w:val="clear" w:color="auto" w:fill="auto"/>
            <w:vAlign w:val="center"/>
          </w:tcPr>
          <w:p w14:paraId="46401362">
            <w:pPr>
              <w:adjustRightInd w:val="0"/>
              <w:spacing w:line="240" w:lineRule="atLeast"/>
              <w:jc w:val="center"/>
              <w:rPr>
                <w:rFonts w:ascii="Times New Roman" w:hAnsi="Times New Roman" w:cs="Times New Roman" w:eastAsiaTheme="majorEastAsia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选题名称</w:t>
            </w:r>
          </w:p>
        </w:tc>
        <w:tc>
          <w:tcPr>
            <w:tcW w:w="7457" w:type="dxa"/>
            <w:gridSpan w:val="10"/>
            <w:shd w:val="clear" w:color="auto" w:fill="auto"/>
            <w:vAlign w:val="center"/>
          </w:tcPr>
          <w:p w14:paraId="4FE7F209">
            <w:pPr>
              <w:adjustRightInd w:val="0"/>
              <w:spacing w:line="240" w:lineRule="atLeast"/>
              <w:jc w:val="center"/>
              <w:rPr>
                <w:rFonts w:ascii="Times New Roman" w:hAnsi="Times New Roman" w:cs="Times New Roman" w:eastAsiaTheme="majorEastAsia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AI驱动软件开发实战</w:t>
            </w:r>
          </w:p>
        </w:tc>
      </w:tr>
      <w:tr w14:paraId="18C7BF04">
        <w:trPr>
          <w:trHeight w:val="656" w:hRule="atLeast"/>
        </w:trPr>
        <w:tc>
          <w:tcPr>
            <w:tcW w:w="2263" w:type="dxa"/>
            <w:gridSpan w:val="2"/>
            <w:shd w:val="clear" w:color="auto" w:fill="auto"/>
            <w:vAlign w:val="center"/>
          </w:tcPr>
          <w:p w14:paraId="6EFE4539">
            <w:pPr>
              <w:adjustRightInd w:val="0"/>
              <w:jc w:val="center"/>
              <w:rPr>
                <w:rFonts w:ascii="Times New Roman" w:hAnsi="Times New Roman" w:cs="Times New Roman" w:eastAsiaTheme="majorEastAsia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责任编辑</w:t>
            </w:r>
          </w:p>
        </w:tc>
        <w:tc>
          <w:tcPr>
            <w:tcW w:w="1701" w:type="dxa"/>
            <w:gridSpan w:val="3"/>
            <w:shd w:val="clear" w:color="auto" w:fill="auto"/>
            <w:vAlign w:val="center"/>
          </w:tcPr>
          <w:p w14:paraId="1501CED7">
            <w:pPr>
              <w:adjustRightInd w:val="0"/>
              <w:jc w:val="center"/>
              <w:rPr>
                <w:rFonts w:hint="eastAsia" w:ascii="Times New Roman" w:hAnsi="Times New Roman" w:cs="Times New Roman" w:eastAsiaTheme="majorEastAsia"/>
                <w:b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叶文涛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0D61F6CD">
            <w:pPr>
              <w:adjustRightInd w:val="0"/>
              <w:jc w:val="center"/>
              <w:rPr>
                <w:rFonts w:ascii="Times New Roman" w:hAnsi="Times New Roman" w:cs="Times New Roman" w:eastAsiaTheme="majorEastAsia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部门</w:t>
            </w:r>
          </w:p>
        </w:tc>
        <w:tc>
          <w:tcPr>
            <w:tcW w:w="4480" w:type="dxa"/>
            <w:gridSpan w:val="5"/>
            <w:shd w:val="clear" w:color="auto" w:fill="auto"/>
            <w:vAlign w:val="center"/>
          </w:tcPr>
          <w:p w14:paraId="42D7675F">
            <w:pPr>
              <w:adjustRightInd w:val="0"/>
              <w:jc w:val="center"/>
              <w:rPr>
                <w:rFonts w:ascii="Times New Roman" w:hAnsi="Times New Roman" w:cs="Times New Roman" w:eastAsiaTheme="majorEastAsia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高等教育出版分社</w:t>
            </w:r>
          </w:p>
        </w:tc>
      </w:tr>
      <w:tr w14:paraId="64D8B842">
        <w:trPr>
          <w:trHeight w:val="690" w:hRule="atLeast"/>
        </w:trPr>
        <w:tc>
          <w:tcPr>
            <w:tcW w:w="2830" w:type="dxa"/>
            <w:gridSpan w:val="3"/>
            <w:vMerge w:val="restart"/>
            <w:shd w:val="clear" w:color="auto" w:fill="auto"/>
            <w:vAlign w:val="center"/>
          </w:tcPr>
          <w:p w14:paraId="07E68A6E">
            <w:pPr>
              <w:adjustRightInd w:val="0"/>
              <w:jc w:val="center"/>
              <w:rPr>
                <w:rFonts w:ascii="Times New Roman" w:hAnsi="Times New Roman" w:cs="Times New Roman" w:eastAsiaTheme="majorEastAsia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是否须进行重大选题备案</w:t>
            </w:r>
          </w:p>
        </w:tc>
        <w:tc>
          <w:tcPr>
            <w:tcW w:w="993" w:type="dxa"/>
            <w:vMerge w:val="restart"/>
            <w:shd w:val="clear" w:color="auto" w:fill="auto"/>
            <w:vAlign w:val="center"/>
          </w:tcPr>
          <w:p w14:paraId="5418844D">
            <w:pPr>
              <w:adjustRightInd w:val="0"/>
              <w:spacing w:before="0" w:beforeAutospacing="0" w:after="0" w:afterAutospacing="0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sdt>
              <w:sdtPr>
                <w:rPr>
                  <w:rFonts w:hint="eastAsia" w:ascii="仿宋" w:hAnsi="仿宋" w:eastAsia="仿宋"/>
                  <w:color w:val="000000" w:themeColor="text1"/>
                  <w:sz w:val="28"/>
                  <w:szCs w:val="28"/>
                  <w14:textFill>
                    <w14:solidFill>
                      <w14:schemeClr w14:val="tx1"/>
                    </w14:solidFill>
                  </w14:textFill>
                </w:rPr>
                <w:id w:val="1272821756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color w:val="000000" w:themeColor="text1"/>
                  <w:sz w:val="28"/>
                  <w:szCs w:val="28"/>
                  <w14:textFill>
                    <w14:solidFill>
                      <w14:schemeClr w14:val="tx1"/>
                    </w14:solidFill>
                  </w14:textFill>
                </w:rPr>
              </w:sdtEndPr>
              <w:sdtContent>
                <w:r>
                  <w:rPr>
                    <w:rFonts w:hint="eastAsia" w:ascii="仿宋" w:hAnsi="仿宋" w:eastAsia="仿宋"/>
                    <w:color w:val="000000" w:themeColor="text1"/>
                    <w:sz w:val="28"/>
                    <w:szCs w:val="28"/>
                    <w14:textFill>
                      <w14:solidFill>
                        <w14:schemeClr w14:val="tx1"/>
                      </w14:solidFill>
                    </w14:textFill>
                  </w:rPr>
                  <w:sym w:font="Wingdings 2" w:char="F052"/>
                </w:r>
              </w:sdtContent>
            </w:sdt>
            <w:r>
              <w:rPr>
                <w:rFonts w:hint="eastAsia" w:ascii="Times New Roman" w:hAnsi="Times New Roman" w:cs="Times New Roman" w:eastAsiaTheme="major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  <w:p w14:paraId="77A7E070">
            <w:pPr>
              <w:adjustRightInd w:val="0"/>
              <w:spacing w:before="0" w:beforeAutospacing="0" w:after="0" w:afterAutospacing="0" w:line="180" w:lineRule="atLeast"/>
              <w:jc w:val="both"/>
              <w:rPr>
                <w:rFonts w:ascii="Times New Roman" w:hAnsi="Times New Roman" w:cs="Times New Roman" w:eastAsiaTheme="majorEastAsia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sdt>
              <w:sdtPr>
                <w:rPr>
                  <w:rFonts w:hint="eastAsia" w:ascii="仿宋" w:hAnsi="仿宋" w:eastAsia="仿宋"/>
                  <w:color w:val="000000" w:themeColor="text1"/>
                  <w:sz w:val="28"/>
                  <w:szCs w:val="28"/>
                  <w14:textFill>
                    <w14:solidFill>
                      <w14:schemeClr w14:val="tx1"/>
                    </w14:solidFill>
                  </w14:textFill>
                </w:rPr>
                <w:id w:val="720491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color w:val="000000" w:themeColor="text1"/>
                  <w:sz w:val="28"/>
                  <w:szCs w:val="28"/>
                  <w14:textFill>
                    <w14:solidFill>
                      <w14:schemeClr w14:val="tx1"/>
                    </w14:solidFill>
                  </w14:textFill>
                </w:rPr>
              </w:sdtEndPr>
              <w:sdtContent>
                <w:r>
                  <w:rPr>
                    <w:rFonts w:hint="eastAsia" w:ascii="MS Gothic" w:hAnsi="MS Gothic" w:eastAsia="MS Gothic"/>
                    <w:color w:val="000000" w:themeColor="text1"/>
                    <w:sz w:val="28"/>
                    <w:szCs w:val="28"/>
                    <w14:textFill>
                      <w14:solidFill>
                        <w14:schemeClr w14:val="tx1"/>
                      </w14:solidFill>
                    </w14:textFill>
                  </w:rPr>
                  <w:t>☐</w:t>
                </w:r>
              </w:sdtContent>
            </w:sdt>
            <w:r>
              <w:rPr>
                <w:rFonts w:hint="eastAsia" w:ascii="Times New Roman" w:hAnsi="Times New Roman" w:cs="Times New Roman" w:eastAsiaTheme="major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842" w:type="dxa"/>
            <w:gridSpan w:val="4"/>
            <w:shd w:val="clear" w:color="auto" w:fill="auto"/>
            <w:vAlign w:val="center"/>
          </w:tcPr>
          <w:p w14:paraId="11027022">
            <w:pPr>
              <w:adjustRightInd w:val="0"/>
              <w:spacing w:before="0" w:beforeAutospacing="0" w:after="0" w:afterAutospacing="0" w:line="240" w:lineRule="atLeast"/>
              <w:rPr>
                <w:rFonts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内容是否涉军</w:t>
            </w:r>
          </w:p>
        </w:tc>
        <w:tc>
          <w:tcPr>
            <w:tcW w:w="1560" w:type="dxa"/>
            <w:gridSpan w:val="2"/>
            <w:shd w:val="clear" w:color="auto" w:fill="auto"/>
            <w:vAlign w:val="center"/>
          </w:tcPr>
          <w:p w14:paraId="6373E346">
            <w:pPr>
              <w:adjustRightInd w:val="0"/>
              <w:spacing w:before="0" w:beforeAutospacing="0" w:after="0" w:afterAutospacing="0" w:line="180" w:lineRule="atLeast"/>
              <w:jc w:val="center"/>
              <w:rPr>
                <w:rFonts w:ascii="Times New Roman" w:hAnsi="Times New Roman" w:cs="Times New Roman" w:eastAsiaTheme="major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sdt>
              <w:sdtPr>
                <w:rPr>
                  <w:rFonts w:hint="eastAsia" w:ascii="仿宋" w:hAnsi="仿宋" w:eastAsia="仿宋"/>
                  <w:color w:val="000000" w:themeColor="text1"/>
                  <w:sz w:val="28"/>
                  <w:szCs w:val="28"/>
                  <w14:textFill>
                    <w14:solidFill>
                      <w14:schemeClr w14:val="tx1"/>
                    </w14:solidFill>
                  </w14:textFill>
                </w:rPr>
                <w:id w:val="1106464060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color w:val="000000" w:themeColor="text1"/>
                  <w:sz w:val="28"/>
                  <w:szCs w:val="28"/>
                  <w14:textFill>
                    <w14:solidFill>
                      <w14:schemeClr w14:val="tx1"/>
                    </w14:solidFill>
                  </w14:textFill>
                </w:rPr>
              </w:sdtEndPr>
              <w:sdtContent>
                <w:r>
                  <w:rPr>
                    <w:rFonts w:hint="eastAsia" w:ascii="仿宋" w:hAnsi="仿宋" w:eastAsia="仿宋"/>
                    <w:color w:val="000000" w:themeColor="text1"/>
                    <w:sz w:val="28"/>
                    <w:szCs w:val="28"/>
                    <w14:textFill>
                      <w14:solidFill>
                        <w14:schemeClr w14:val="tx1"/>
                      </w14:solidFill>
                    </w14:textFill>
                  </w:rPr>
                  <w:sym w:font="Wingdings 2" w:char="F052"/>
                </w:r>
              </w:sdtContent>
            </w:sdt>
            <w:r>
              <w:rPr>
                <w:rFonts w:hint="eastAsia" w:ascii="Times New Roman" w:hAnsi="Times New Roman" w:cs="Times New Roman" w:eastAsiaTheme="major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否</w:t>
            </w:r>
            <w:sdt>
              <w:sdtPr>
                <w:rPr>
                  <w:rFonts w:hint="eastAsia" w:ascii="仿宋" w:hAnsi="仿宋" w:eastAsia="仿宋"/>
                  <w:color w:val="000000" w:themeColor="text1"/>
                  <w:sz w:val="28"/>
                  <w:szCs w:val="28"/>
                  <w14:textFill>
                    <w14:solidFill>
                      <w14:schemeClr w14:val="tx1"/>
                    </w14:solidFill>
                  </w14:textFill>
                </w:rPr>
                <w:id w:val="108411500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color w:val="000000" w:themeColor="text1"/>
                  <w:sz w:val="28"/>
                  <w:szCs w:val="28"/>
                  <w14:textFill>
                    <w14:solidFill>
                      <w14:schemeClr w14:val="tx1"/>
                    </w14:solidFill>
                  </w14:textFill>
                </w:rPr>
              </w:sdtEndPr>
              <w:sdtContent>
                <w:r>
                  <w:rPr>
                    <w:rFonts w:hint="eastAsia" w:ascii="MS Gothic" w:hAnsi="MS Gothic" w:eastAsia="MS Gothic"/>
                    <w:color w:val="000000" w:themeColor="text1"/>
                    <w:sz w:val="28"/>
                    <w:szCs w:val="28"/>
                    <w14:textFill>
                      <w14:solidFill>
                        <w14:schemeClr w14:val="tx1"/>
                      </w14:solidFill>
                    </w14:textFill>
                  </w:rPr>
                  <w:t>☐</w:t>
                </w:r>
              </w:sdtContent>
            </w:sdt>
            <w:r>
              <w:rPr>
                <w:rFonts w:hint="eastAsia" w:ascii="Times New Roman" w:hAnsi="Times New Roman" w:cs="Times New Roman" w:eastAsiaTheme="major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14:paraId="2CC1AC1D">
            <w:pPr>
              <w:adjustRightInd w:val="0"/>
              <w:jc w:val="center"/>
              <w:rPr>
                <w:rFonts w:ascii="Times New Roman" w:hAnsi="Times New Roman" w:cs="Times New Roman" w:eastAsiaTheme="majorEastAsia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自评总分</w:t>
            </w:r>
          </w:p>
        </w:tc>
        <w:tc>
          <w:tcPr>
            <w:tcW w:w="1078" w:type="dxa"/>
            <w:vMerge w:val="restart"/>
            <w:shd w:val="clear" w:color="auto" w:fill="auto"/>
            <w:vAlign w:val="center"/>
          </w:tcPr>
          <w:p w14:paraId="356F4A51">
            <w:pPr>
              <w:adjustRightInd w:val="0"/>
              <w:jc w:val="center"/>
              <w:rPr>
                <w:rFonts w:hint="default" w:ascii="Times New Roman" w:hAnsi="Times New Roman" w:cs="Times New Roman" w:eastAsiaTheme="majorEastAsia"/>
                <w:b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70</w:t>
            </w:r>
            <w:bookmarkStart w:id="2" w:name="_GoBack"/>
            <w:bookmarkEnd w:id="2"/>
          </w:p>
        </w:tc>
      </w:tr>
      <w:tr w14:paraId="2508815C">
        <w:trPr>
          <w:trHeight w:val="704" w:hRule="atLeast"/>
        </w:trPr>
        <w:tc>
          <w:tcPr>
            <w:tcW w:w="2830" w:type="dxa"/>
            <w:gridSpan w:val="3"/>
            <w:vMerge w:val="continue"/>
            <w:shd w:val="clear" w:color="auto" w:fill="auto"/>
            <w:vAlign w:val="center"/>
          </w:tcPr>
          <w:p w14:paraId="15E95103">
            <w:pPr>
              <w:adjustRightInd w:val="0"/>
              <w:jc w:val="center"/>
              <w:rPr>
                <w:rFonts w:ascii="Times New Roman" w:hAnsi="Times New Roman" w:cs="Times New Roman" w:eastAsiaTheme="majorEastAsia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Merge w:val="continue"/>
            <w:shd w:val="clear" w:color="auto" w:fill="auto"/>
            <w:vAlign w:val="center"/>
          </w:tcPr>
          <w:p w14:paraId="511D5FE0">
            <w:pPr>
              <w:adjustRightInd w:val="0"/>
              <w:spacing w:before="0" w:beforeAutospacing="0" w:after="0" w:afterAutospacing="0" w:line="180" w:lineRule="atLeast"/>
              <w:jc w:val="both"/>
              <w:rPr>
                <w:rFonts w:ascii="Wingdings 2" w:hAnsi="Wingdings 2" w:cs="Times New Roman" w:eastAsiaTheme="majorEastAsia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42" w:type="dxa"/>
            <w:gridSpan w:val="4"/>
            <w:shd w:val="clear" w:color="auto" w:fill="auto"/>
            <w:vAlign w:val="center"/>
          </w:tcPr>
          <w:p w14:paraId="006BBDD8">
            <w:pPr>
              <w:adjustRightInd w:val="0"/>
              <w:spacing w:before="0" w:beforeAutospacing="0" w:after="0" w:afterAutospacing="0" w:line="240" w:lineRule="atLeast"/>
              <w:rPr>
                <w:rFonts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作者是否涉军</w:t>
            </w:r>
          </w:p>
        </w:tc>
        <w:tc>
          <w:tcPr>
            <w:tcW w:w="1560" w:type="dxa"/>
            <w:gridSpan w:val="2"/>
            <w:shd w:val="clear" w:color="auto" w:fill="auto"/>
            <w:vAlign w:val="center"/>
          </w:tcPr>
          <w:p w14:paraId="24337922">
            <w:pPr>
              <w:adjustRightInd w:val="0"/>
              <w:spacing w:before="0" w:beforeAutospacing="0" w:after="0" w:afterAutospacing="0" w:line="180" w:lineRule="atLeast"/>
              <w:jc w:val="center"/>
              <w:rPr>
                <w:rFonts w:ascii="Times New Roman" w:hAnsi="Times New Roman" w:cs="Times New Roman" w:eastAsiaTheme="major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sdt>
              <w:sdtPr>
                <w:rPr>
                  <w:rFonts w:hint="eastAsia" w:ascii="仿宋" w:hAnsi="仿宋" w:eastAsia="仿宋"/>
                  <w:color w:val="000000" w:themeColor="text1"/>
                  <w:sz w:val="28"/>
                  <w:szCs w:val="28"/>
                  <w14:textFill>
                    <w14:solidFill>
                      <w14:schemeClr w14:val="tx1"/>
                    </w14:solidFill>
                  </w14:textFill>
                </w:rPr>
                <w:id w:val="626850330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color w:val="000000" w:themeColor="text1"/>
                  <w:sz w:val="28"/>
                  <w:szCs w:val="28"/>
                  <w14:textFill>
                    <w14:solidFill>
                      <w14:schemeClr w14:val="tx1"/>
                    </w14:solidFill>
                  </w14:textFill>
                </w:rPr>
              </w:sdtEndPr>
              <w:sdtContent>
                <w:r>
                  <w:rPr>
                    <w:rFonts w:hint="eastAsia" w:ascii="仿宋" w:hAnsi="仿宋" w:eastAsia="仿宋"/>
                    <w:color w:val="000000" w:themeColor="text1"/>
                    <w:sz w:val="28"/>
                    <w:szCs w:val="28"/>
                    <w14:textFill>
                      <w14:solidFill>
                        <w14:schemeClr w14:val="tx1"/>
                      </w14:solidFill>
                    </w14:textFill>
                  </w:rPr>
                  <w:sym w:font="Wingdings 2" w:char="F052"/>
                </w:r>
              </w:sdtContent>
            </w:sdt>
            <w:r>
              <w:rPr>
                <w:rFonts w:hint="eastAsia" w:ascii="Times New Roman" w:hAnsi="Times New Roman" w:cs="Times New Roman" w:eastAsiaTheme="major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否</w:t>
            </w:r>
            <w:sdt>
              <w:sdtPr>
                <w:rPr>
                  <w:rFonts w:hint="eastAsia" w:ascii="仿宋" w:hAnsi="仿宋" w:eastAsia="仿宋"/>
                  <w:color w:val="000000" w:themeColor="text1"/>
                  <w:sz w:val="28"/>
                  <w:szCs w:val="28"/>
                  <w14:textFill>
                    <w14:solidFill>
                      <w14:schemeClr w14:val="tx1"/>
                    </w14:solidFill>
                  </w14:textFill>
                </w:rPr>
                <w:id w:val="183518345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color w:val="000000" w:themeColor="text1"/>
                  <w:sz w:val="28"/>
                  <w:szCs w:val="28"/>
                  <w14:textFill>
                    <w14:solidFill>
                      <w14:schemeClr w14:val="tx1"/>
                    </w14:solidFill>
                  </w14:textFill>
                </w:rPr>
              </w:sdtEndPr>
              <w:sdtContent>
                <w:r>
                  <w:rPr>
                    <w:rFonts w:hint="eastAsia" w:ascii="MS Gothic" w:hAnsi="MS Gothic" w:eastAsia="MS Gothic"/>
                    <w:color w:val="000000" w:themeColor="text1"/>
                    <w:sz w:val="28"/>
                    <w:szCs w:val="28"/>
                    <w14:textFill>
                      <w14:solidFill>
                        <w14:schemeClr w14:val="tx1"/>
                      </w14:solidFill>
                    </w14:textFill>
                  </w:rPr>
                  <w:t>☐</w:t>
                </w:r>
              </w:sdtContent>
            </w:sdt>
            <w:r>
              <w:rPr>
                <w:rFonts w:hint="eastAsia" w:ascii="Times New Roman" w:hAnsi="Times New Roman" w:cs="Times New Roman" w:eastAsiaTheme="major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417" w:type="dxa"/>
            <w:vMerge w:val="continue"/>
            <w:shd w:val="clear" w:color="auto" w:fill="auto"/>
            <w:vAlign w:val="center"/>
          </w:tcPr>
          <w:p w14:paraId="41CF3874">
            <w:pPr>
              <w:adjustRightInd w:val="0"/>
              <w:jc w:val="center"/>
              <w:rPr>
                <w:rFonts w:ascii="Times New Roman" w:hAnsi="Times New Roman" w:cs="Times New Roman" w:eastAsiaTheme="majorEastAsia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78" w:type="dxa"/>
            <w:vMerge w:val="continue"/>
            <w:shd w:val="clear" w:color="auto" w:fill="auto"/>
            <w:vAlign w:val="center"/>
          </w:tcPr>
          <w:p w14:paraId="52D44717">
            <w:pPr>
              <w:adjustRightInd w:val="0"/>
              <w:jc w:val="center"/>
              <w:rPr>
                <w:rFonts w:ascii="Times New Roman" w:hAnsi="Times New Roman" w:cs="Times New Roman" w:eastAsiaTheme="majorEastAsia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04278D9">
        <w:trPr>
          <w:trHeight w:val="656" w:hRule="atLeast"/>
        </w:trPr>
        <w:tc>
          <w:tcPr>
            <w:tcW w:w="704" w:type="dxa"/>
            <w:shd w:val="clear" w:color="auto" w:fill="auto"/>
            <w:vAlign w:val="center"/>
          </w:tcPr>
          <w:p w14:paraId="75E7ED8F">
            <w:pPr>
              <w:adjustRightInd w:val="0"/>
              <w:jc w:val="center"/>
              <w:rPr>
                <w:rFonts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C22BC35">
            <w:pPr>
              <w:adjustRightInd w:val="0"/>
              <w:jc w:val="center"/>
              <w:rPr>
                <w:rFonts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6379" w:type="dxa"/>
            <w:gridSpan w:val="9"/>
            <w:shd w:val="clear" w:color="auto" w:fill="auto"/>
            <w:vAlign w:val="center"/>
          </w:tcPr>
          <w:p w14:paraId="204855F6">
            <w:pPr>
              <w:adjustRightInd w:val="0"/>
              <w:jc w:val="center"/>
              <w:rPr>
                <w:rFonts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1078" w:type="dxa"/>
            <w:shd w:val="clear" w:color="auto" w:fill="auto"/>
            <w:vAlign w:val="center"/>
          </w:tcPr>
          <w:p w14:paraId="058E55EC">
            <w:pPr>
              <w:adjustRightInd w:val="0"/>
              <w:jc w:val="center"/>
              <w:rPr>
                <w:rFonts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自评分</w:t>
            </w:r>
          </w:p>
        </w:tc>
      </w:tr>
      <w:tr w14:paraId="2E289F53">
        <w:trPr>
          <w:trHeight w:val="2623" w:hRule="atLeast"/>
        </w:trPr>
        <w:tc>
          <w:tcPr>
            <w:tcW w:w="704" w:type="dxa"/>
            <w:shd w:val="clear" w:color="auto" w:fill="auto"/>
            <w:vAlign w:val="center"/>
          </w:tcPr>
          <w:p w14:paraId="73903F49">
            <w:pPr>
              <w:adjustRightInd w:val="0"/>
              <w:jc w:val="center"/>
              <w:rPr>
                <w:rFonts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一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A4F293B">
            <w:pPr>
              <w:adjustRightInd w:val="0"/>
              <w:jc w:val="center"/>
              <w:rPr>
                <w:rFonts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选题内容</w:t>
            </w:r>
          </w:p>
          <w:p w14:paraId="598CC804">
            <w:pPr>
              <w:adjustRightInd w:val="0"/>
              <w:jc w:val="center"/>
              <w:rPr>
                <w:rFonts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Times New Roman" w:hAnsi="Times New Roman" w:cs="Times New Roman" w:eastAsiaTheme="majorEastAsia"/>
                <w:b/>
                <w:color w:val="FF0000"/>
                <w:sz w:val="18"/>
                <w:szCs w:val="18"/>
              </w:rPr>
              <w:t>出版导向、出版定位、内容简介、内容创新及版权许可等</w:t>
            </w:r>
            <w:r>
              <w:rPr>
                <w:rFonts w:hint="eastAsia" w:ascii="Times New Roman" w:hAnsi="Times New Roman" w:cs="Times New Roman" w:eastAsiaTheme="major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  <w:p w14:paraId="3594501F">
            <w:pPr>
              <w:adjustRightInd w:val="0"/>
              <w:jc w:val="center"/>
              <w:rPr>
                <w:rFonts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（3</w:t>
            </w:r>
            <w:r>
              <w:rPr>
                <w:rFonts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分）</w:t>
            </w:r>
          </w:p>
        </w:tc>
        <w:tc>
          <w:tcPr>
            <w:tcW w:w="6379" w:type="dxa"/>
            <w:gridSpan w:val="9"/>
            <w:shd w:val="clear" w:color="auto" w:fill="auto"/>
          </w:tcPr>
          <w:p w14:paraId="61597B33">
            <w:pPr>
              <w:adjustRightInd w:val="0"/>
              <w:spacing w:before="0" w:beforeAutospacing="0" w:after="0" w:afterAutospacing="0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0F3EE498">
            <w:pPr>
              <w:adjustRightInd w:val="0"/>
              <w:spacing w:before="0" w:beforeAutospacing="0" w:after="0" w:afterAutospacing="0"/>
              <w:ind w:firstLine="480" w:firstLineChars="200"/>
              <w:jc w:val="both"/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本选题坚持正确的政治方向、出版导向和价值取向，围绕人工智能时代软件开发秩序重构这一现实命题，讨论如何把AI能力纳入规范、可追溯、可评审、可交付的软件工程流程，内容导向积极稳健，符合教育出版板块服务新工科建设、数字化转型和工程实践能力培养的出版定位。</w:t>
            </w:r>
          </w:p>
          <w:p w14:paraId="6CA04560">
            <w:pPr>
              <w:adjustRightInd w:val="0"/>
              <w:spacing w:before="0" w:beforeAutospacing="0" w:after="0" w:afterAutospacing="0"/>
              <w:ind w:firstLine="480" w:firstLineChars="200"/>
              <w:jc w:val="both"/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全书预计约24万字，采用“方法体系+项目实战+工程资产”的结构。第一篇“方法与体系”共13章，系统讲解项目启动、知识输入、需求基线、架构设计、实现验证、配置管理、变更闭环、复盘沉淀等关键环节；第二篇“项目实战”共12章，围绕P123控制类软件和电子签名项目两个完整案例，展示AI驱动软件开发如何从项目入口走向正式交付；附录进一步提供关键文档范例、提示词索引、标准速查、术语表和流程包，便于教师、学生和工程团队直接复用。</w:t>
            </w:r>
          </w:p>
          <w:p w14:paraId="1884B0D6">
            <w:pPr>
              <w:adjustRightInd w:val="0"/>
              <w:spacing w:before="0" w:beforeAutospacing="0" w:after="0" w:afterAutospacing="0"/>
              <w:ind w:firstLine="480" w:firstLineChars="200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本书的创新点主要体现在三方面：一是把“AI写代码”上升为“AI参与工程组织”，讨论需求、设计、测试、配置、评审和发布如何与AI协同；二是以真实工程案例替代空泛概念，既保留传统软件工程的方法纪律，又给出适合普通开发团队落地的执行路径；三是突出资源化输出，书中方法可延伸为提示词库、看板模板、项目文档模板和教学资源包。书稿版权归属清晰，内容以作者原创实践总结为主，无已知版权争议，可按出版社合同约定授予纸质版、数字版专有出版权及信息网络传播权等出版相关权利。</w:t>
            </w:r>
          </w:p>
        </w:tc>
        <w:tc>
          <w:tcPr>
            <w:tcW w:w="1078" w:type="dxa"/>
            <w:shd w:val="clear" w:color="auto" w:fill="auto"/>
            <w:vAlign w:val="center"/>
          </w:tcPr>
          <w:p w14:paraId="4DB95806">
            <w:pPr>
              <w:adjustRightInd w:val="0"/>
              <w:jc w:val="center"/>
              <w:rPr>
                <w:rFonts w:hint="default" w:eastAsia="宋体"/>
                <w:b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</w:tr>
      <w:tr w14:paraId="224E0CC3">
        <w:trPr>
          <w:trHeight w:val="2967" w:hRule="atLeast"/>
        </w:trPr>
        <w:tc>
          <w:tcPr>
            <w:tcW w:w="704" w:type="dxa"/>
            <w:shd w:val="clear" w:color="auto" w:fill="auto"/>
            <w:vAlign w:val="center"/>
          </w:tcPr>
          <w:p w14:paraId="418B04DD">
            <w:pPr>
              <w:adjustRightInd w:val="0"/>
              <w:jc w:val="center"/>
              <w:rPr>
                <w:rFonts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二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6570501">
            <w:pPr>
              <w:adjustRightInd w:val="0"/>
              <w:jc w:val="center"/>
              <w:rPr>
                <w:rFonts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作者情况</w:t>
            </w:r>
          </w:p>
          <w:p w14:paraId="0C7A0686">
            <w:pPr>
              <w:adjustRightInd w:val="0"/>
              <w:jc w:val="center"/>
              <w:rPr>
                <w:rFonts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Times New Roman" w:hAnsi="Times New Roman" w:cs="Times New Roman" w:eastAsiaTheme="majorEastAsia"/>
                <w:b/>
                <w:color w:val="FF0000"/>
                <w:sz w:val="18"/>
                <w:szCs w:val="18"/>
              </w:rPr>
              <w:t>第一作者及团队情况</w:t>
            </w:r>
            <w:r>
              <w:rPr>
                <w:rFonts w:hint="eastAsia"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  <w:p w14:paraId="777D2D9B">
            <w:pPr>
              <w:adjustRightInd w:val="0"/>
              <w:jc w:val="center"/>
              <w:rPr>
                <w:rFonts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（1</w:t>
            </w:r>
            <w:r>
              <w:rPr>
                <w:rFonts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分）</w:t>
            </w:r>
          </w:p>
        </w:tc>
        <w:tc>
          <w:tcPr>
            <w:tcW w:w="6379" w:type="dxa"/>
            <w:gridSpan w:val="9"/>
            <w:shd w:val="clear" w:color="auto" w:fill="auto"/>
          </w:tcPr>
          <w:p w14:paraId="39B48514">
            <w:pPr>
              <w:adjustRightInd w:val="0"/>
              <w:spacing w:before="0" w:beforeAutospacing="0" w:after="0" w:afterAutospacing="0"/>
              <w:ind w:firstLine="480" w:firstLineChars="200"/>
              <w:jc w:val="both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第一作者陈亮，工程师，曾任CTO、研发管理者、产品交付中心总经理、公司副总经理等职务，长期从事软件工程、嵌入式开发、FPGA开发、项目管理与质量体系建设，具有近30年一线研发和研发管理经验。其职业经历覆盖科研、医疗装备、高可靠控制系统、工业智能设备和创业产品化落地等多个场景，既有复杂系统研发经验，也有从技术方案到组织交付的完整实践视角。</w:t>
            </w:r>
          </w:p>
          <w:p w14:paraId="583AE307">
            <w:pPr>
              <w:adjustRightInd w:val="0"/>
              <w:spacing w:before="0" w:beforeAutospacing="0" w:after="0" w:afterAutospacing="0"/>
              <w:ind w:firstLine="480" w:firstLineChars="200"/>
              <w:jc w:val="both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作者曾作为核心成员参与先进在线检测/管道漏磁检测器等科研项目，相关成果获国家科技进步二等奖、辽宁省科技进步二等奖等；曾参与东软医疗首款医用直线加速器全系统研发，承担控制系统架构、运动控制、安全联锁和嵌入式软件等关键工作；在新里程医用加速器体系和自主创业阶段，又持续形成放疗设备、煤岩智能分析设备等方向的工程成果与专利积累，累计主导或核心参与专利三十余项。虽然本书是其首部正式出版著作，但作者具备扎实的工程方法总结能力和较强的行业说服力。</w:t>
            </w:r>
          </w:p>
          <w:p w14:paraId="694225E2">
            <w:pPr>
              <w:spacing w:before="0" w:beforeAutospacing="0" w:after="0" w:afterAutospacing="0"/>
              <w:jc w:val="both"/>
              <w:rPr>
                <w:rFonts w:hint="eastAsia" w:ascii="楷体" w:hAnsi="楷体" w:eastAsia="楷体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45E139EA">
            <w:pPr>
              <w:spacing w:before="0" w:beforeAutospacing="0" w:after="0" w:afterAutospacing="0"/>
              <w:jc w:val="both"/>
              <w:rPr>
                <w:rFonts w:ascii="楷体" w:hAnsi="楷体" w:eastAsia="楷体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68979BB3">
            <w:pPr>
              <w:spacing w:before="0" w:beforeAutospacing="0" w:after="0" w:afterAutospacing="0"/>
              <w:jc w:val="both"/>
              <w:rPr>
                <w:rFonts w:ascii="楷体" w:hAnsi="楷体" w:eastAsia="楷体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5CEFEE72">
            <w:pPr>
              <w:spacing w:before="0" w:beforeAutospacing="0" w:after="0" w:afterAutospacing="0"/>
              <w:jc w:val="both"/>
              <w:rPr>
                <w:rFonts w:ascii="楷体" w:hAnsi="楷体" w:eastAsia="楷体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1A798B80">
            <w:pPr>
              <w:spacing w:before="0" w:beforeAutospacing="0" w:after="0" w:afterAutospacing="0"/>
              <w:jc w:val="both"/>
              <w:rPr>
                <w:rFonts w:ascii="楷体" w:hAnsi="楷体" w:eastAsia="楷体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2FFD2212">
            <w:pPr>
              <w:spacing w:before="0" w:beforeAutospacing="0" w:after="0" w:afterAutospacing="0"/>
              <w:jc w:val="both"/>
              <w:rPr>
                <w:rFonts w:ascii="楷体" w:hAnsi="楷体" w:eastAsia="楷体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34EEB7A0">
            <w:pPr>
              <w:spacing w:before="0" w:beforeAutospacing="0" w:after="0" w:afterAutospacing="0"/>
              <w:jc w:val="both"/>
              <w:rPr>
                <w:rFonts w:ascii="楷体" w:hAnsi="楷体" w:eastAsia="楷体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76038E86">
            <w:pPr>
              <w:spacing w:before="0" w:beforeAutospacing="0" w:after="0" w:afterAutospacing="0"/>
              <w:jc w:val="both"/>
              <w:rPr>
                <w:rFonts w:ascii="楷体" w:hAnsi="楷体" w:eastAsia="楷体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09C85EE8">
            <w:pPr>
              <w:spacing w:before="0" w:beforeAutospacing="0" w:after="0" w:afterAutospacing="0"/>
              <w:jc w:val="both"/>
              <w:rPr>
                <w:rFonts w:ascii="楷体" w:hAnsi="楷体" w:eastAsia="楷体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5B4DCF31">
            <w:pPr>
              <w:spacing w:before="0" w:beforeAutospacing="0" w:after="0" w:afterAutospacing="0"/>
              <w:jc w:val="both"/>
              <w:rPr>
                <w:rFonts w:ascii="楷体" w:hAnsi="楷体" w:eastAsia="楷体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60F9FEDD">
            <w:pPr>
              <w:spacing w:before="0" w:beforeAutospacing="0" w:after="0" w:afterAutospacing="0"/>
              <w:jc w:val="both"/>
              <w:rPr>
                <w:rFonts w:ascii="楷体" w:hAnsi="楷体" w:eastAsia="楷体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6B114DA5">
            <w:pPr>
              <w:spacing w:before="0" w:beforeAutospacing="0" w:after="0" w:afterAutospacing="0"/>
              <w:jc w:val="both"/>
              <w:rPr>
                <w:rFonts w:ascii="楷体" w:hAnsi="楷体" w:eastAsia="楷体" w:cs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78" w:type="dxa"/>
            <w:shd w:val="clear" w:color="auto" w:fill="auto"/>
            <w:vAlign w:val="center"/>
          </w:tcPr>
          <w:p w14:paraId="3E818D35">
            <w:pPr>
              <w:adjustRightInd w:val="0"/>
              <w:snapToGrid w:val="0"/>
              <w:jc w:val="center"/>
              <w:rPr>
                <w:rFonts w:hint="eastAsia" w:ascii="楷体" w:hAnsi="楷体" w:eastAsia="楷体"/>
                <w:b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/>
                <w:b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0F39280F">
        <w:trPr>
          <w:trHeight w:val="3162" w:hRule="atLeast"/>
        </w:trPr>
        <w:tc>
          <w:tcPr>
            <w:tcW w:w="704" w:type="dxa"/>
            <w:shd w:val="clear" w:color="auto" w:fill="auto"/>
            <w:vAlign w:val="center"/>
          </w:tcPr>
          <w:p w14:paraId="5C6FF98C">
            <w:pPr>
              <w:adjustRightInd w:val="0"/>
              <w:jc w:val="center"/>
              <w:rPr>
                <w:rFonts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三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D88E2C5">
            <w:pPr>
              <w:adjustRightInd w:val="0"/>
              <w:jc w:val="center"/>
              <w:rPr>
                <w:rFonts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策划过程与可行性</w:t>
            </w:r>
          </w:p>
          <w:p w14:paraId="6CF90DB4">
            <w:pPr>
              <w:adjustRightInd w:val="0"/>
              <w:jc w:val="center"/>
              <w:rPr>
                <w:rFonts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楷体" w:hAnsi="楷体" w:eastAsia="楷体" w:cs="Times New Roman"/>
                <w:b/>
                <w:color w:val="FF0000"/>
                <w:sz w:val="21"/>
                <w:szCs w:val="21"/>
              </w:rPr>
              <w:t>选题来源及策划思路、选题把控能力及出版进度等</w:t>
            </w:r>
            <w:r>
              <w:rPr>
                <w:rFonts w:hint="eastAsia"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  <w:p w14:paraId="4AE36188">
            <w:pPr>
              <w:adjustRightInd w:val="0"/>
              <w:jc w:val="center"/>
              <w:rPr>
                <w:rFonts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（5分）</w:t>
            </w:r>
          </w:p>
        </w:tc>
        <w:tc>
          <w:tcPr>
            <w:tcW w:w="6379" w:type="dxa"/>
            <w:gridSpan w:val="9"/>
            <w:shd w:val="clear" w:color="auto" w:fill="auto"/>
          </w:tcPr>
          <w:p w14:paraId="4C46C593">
            <w:pPr>
              <w:adjustRightInd w:val="0"/>
              <w:spacing w:before="0" w:beforeAutospacing="0" w:after="0" w:afterAutospacing="0"/>
              <w:ind w:firstLine="480" w:firstLineChars="200"/>
              <w:jc w:val="both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本选题来源于作者在长期研发实践中反复遇到的真实痛点：需求缺少基线、文档与实现脱节、测试走过场、版本失控、变更难闭环、知识沉淀困难，而AI进入研发现场后又进一步放大了“生成很快但不受控”的问题。作者基于这些一线痛点，提出“AI驱动软件开发”的组织管理方法，希望回答普通开发者和团队在AI时代如何把效率真正转化为可交付成果。</w:t>
            </w: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策划思路清晰：先建立方法论骨架，再以P123控制类软件和电子签名项目两个案例承接，最后以附录资源沉淀模板、提示词、流程和文档范例，形成“概念-方法-案例-工具包”闭环。与单纯讲AI工具或单纯讲传统软件工程的图书不同，本书聚焦二者之间的连接层，具有较强的问题意识和结构完整性。</w:t>
            </w: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从可行性看，作者已完成较成熟的0.55版阶段合订稿，申报表中已给出完整大纲、读者定位和写作计划，书稿成熟度较高；按照现有计划，2026年6月可提交书稿，2026年12月具备出版条件。选题边界明确、内容结构稳定、资源素材较充足，整体具备按期推进出版的基础。</w:t>
            </w:r>
          </w:p>
          <w:p w14:paraId="0D3AEFA3">
            <w:pPr>
              <w:adjustRightInd w:val="0"/>
              <w:spacing w:before="0" w:beforeAutospacing="0" w:after="0" w:afterAutospacing="0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78" w:type="dxa"/>
            <w:shd w:val="clear" w:color="auto" w:fill="auto"/>
            <w:vAlign w:val="center"/>
          </w:tcPr>
          <w:p w14:paraId="5A1CCAA0">
            <w:pPr>
              <w:adjustRightInd w:val="0"/>
              <w:jc w:val="center"/>
              <w:rPr>
                <w:rFonts w:hint="eastAsia" w:eastAsia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3A06A370">
        <w:trPr>
          <w:trHeight w:val="2586" w:hRule="atLeast"/>
        </w:trPr>
        <w:tc>
          <w:tcPr>
            <w:tcW w:w="704" w:type="dxa"/>
            <w:shd w:val="clear" w:color="auto" w:fill="auto"/>
            <w:vAlign w:val="center"/>
          </w:tcPr>
          <w:p w14:paraId="2A3AEE3A">
            <w:pPr>
              <w:adjustRightInd w:val="0"/>
              <w:jc w:val="center"/>
              <w:rPr>
                <w:rFonts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四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1500FB8">
            <w:pPr>
              <w:adjustRightInd w:val="0"/>
              <w:jc w:val="center"/>
              <w:rPr>
                <w:rFonts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获奖潜质</w:t>
            </w:r>
          </w:p>
          <w:p w14:paraId="204DBA0C">
            <w:pPr>
              <w:adjustRightInd w:val="0"/>
              <w:jc w:val="center"/>
              <w:rPr>
                <w:rFonts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楷体" w:hAnsi="楷体" w:eastAsia="楷体" w:cs="Times New Roman"/>
                <w:b/>
                <w:color w:val="FF0000"/>
                <w:sz w:val="21"/>
                <w:szCs w:val="21"/>
              </w:rPr>
              <w:t>获奖预期及版权输出等</w:t>
            </w:r>
            <w:r>
              <w:rPr>
                <w:rFonts w:hint="eastAsia"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  <w:p w14:paraId="456C6B69">
            <w:pPr>
              <w:adjustRightInd w:val="0"/>
              <w:jc w:val="center"/>
              <w:rPr>
                <w:rFonts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（5分）</w:t>
            </w:r>
          </w:p>
        </w:tc>
        <w:tc>
          <w:tcPr>
            <w:tcW w:w="6379" w:type="dxa"/>
            <w:gridSpan w:val="9"/>
            <w:shd w:val="clear" w:color="auto" w:fill="auto"/>
          </w:tcPr>
          <w:p w14:paraId="099A6C75">
            <w:pPr>
              <w:adjustRightInd w:val="0"/>
              <w:spacing w:before="0" w:beforeAutospacing="0" w:after="0" w:afterAutospacing="0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49E294A3">
            <w:pPr>
              <w:adjustRightInd w:val="0"/>
              <w:spacing w:before="0" w:beforeAutospacing="0" w:after="0" w:afterAutospacing="0"/>
              <w:ind w:firstLine="480" w:firstLineChars="200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本书兼具教材化和市场化两种延展潜力。短期看，它可作为软件工程、AI应用开发、项目实训、研发管理等相关课程的延伸参考书，也适合作为企业技术团队和项目经理的培训读物；中期看，如果配套资源体系进一步完善，可转化为课程教材、实验指导资源或数字课程配套读物，具备申报省部级优秀教材、精品资源配套教材或行业培训精品项目的潜力。</w:t>
            </w: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在版权输出与国际交流方面，本书主题具有较强时代性和跨行业适用性，方法框架、提示词治理、证据链管理等内容具有较好的英文摘要化和开源传播基础。若后续同步建设案例仓库、术语对照和英文简介，可在技术社区传播、国际交流分享和局部版权输出方面形成一定空间。</w:t>
            </w:r>
          </w:p>
        </w:tc>
        <w:tc>
          <w:tcPr>
            <w:tcW w:w="1078" w:type="dxa"/>
            <w:shd w:val="clear" w:color="auto" w:fill="auto"/>
            <w:vAlign w:val="center"/>
          </w:tcPr>
          <w:p w14:paraId="302F4DF0">
            <w:pPr>
              <w:adjustRightInd w:val="0"/>
              <w:jc w:val="center"/>
              <w:rPr>
                <w:rFonts w:hint="eastAsia" w:eastAsia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131B3C0E">
        <w:trPr>
          <w:trHeight w:val="3402" w:hRule="atLeast"/>
        </w:trPr>
        <w:tc>
          <w:tcPr>
            <w:tcW w:w="704" w:type="dxa"/>
            <w:shd w:val="clear" w:color="auto" w:fill="auto"/>
            <w:vAlign w:val="center"/>
          </w:tcPr>
          <w:p w14:paraId="44B4C00F">
            <w:pPr>
              <w:adjustRightInd w:val="0"/>
              <w:jc w:val="center"/>
              <w:rPr>
                <w:rFonts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五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69022C5">
            <w:pPr>
              <w:adjustRightInd w:val="0"/>
              <w:jc w:val="center"/>
              <w:rPr>
                <w:rFonts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成本与盈利估算</w:t>
            </w:r>
          </w:p>
          <w:p w14:paraId="31BD8382">
            <w:pPr>
              <w:adjustRightInd w:val="0"/>
              <w:jc w:val="center"/>
              <w:rPr>
                <w:rFonts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楷体" w:hAnsi="楷体" w:eastAsia="楷体" w:cs="Times New Roman"/>
                <w:b/>
                <w:color w:val="FF0000"/>
                <w:sz w:val="21"/>
                <w:szCs w:val="21"/>
              </w:rPr>
              <w:t>成本收益测算、资助与包销等</w:t>
            </w:r>
            <w:r>
              <w:rPr>
                <w:rFonts w:hint="eastAsia"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  <w:p w14:paraId="30D6C0C5">
            <w:pPr>
              <w:adjustRightInd w:val="0"/>
              <w:jc w:val="center"/>
              <w:rPr>
                <w:rFonts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（3</w:t>
            </w:r>
            <w:r>
              <w:rPr>
                <w:rFonts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分）</w:t>
            </w:r>
          </w:p>
        </w:tc>
        <w:tc>
          <w:tcPr>
            <w:tcW w:w="6379" w:type="dxa"/>
            <w:gridSpan w:val="9"/>
            <w:shd w:val="clear" w:color="auto" w:fill="auto"/>
          </w:tcPr>
          <w:p w14:paraId="2894532D">
            <w:pPr>
              <w:widowControl w:val="0"/>
              <w:spacing w:before="0" w:beforeAutospacing="0" w:after="0" w:afterAutospacing="0"/>
              <w:jc w:val="both"/>
              <w:rPr>
                <w:rFonts w:ascii="楷体" w:hAnsi="楷体" w:eastAsia="楷体" w:cs="Times New Roman"/>
                <w:b/>
                <w:color w:val="000000"/>
                <w:kern w:val="2"/>
                <w:sz w:val="21"/>
                <w:szCs w:val="21"/>
                <w:shd w:val="clear" w:color="auto" w:fill="FFFFFF"/>
              </w:rPr>
            </w:pPr>
            <w:r>
              <w:rPr>
                <w:rFonts w:ascii="楷体" w:hAnsi="楷体" w:eastAsia="楷体" w:cs="Times New Roman"/>
                <w:b/>
                <w:color w:val="000000"/>
                <w:kern w:val="2"/>
                <w:sz w:val="21"/>
                <w:szCs w:val="21"/>
                <w:shd w:val="clear" w:color="auto" w:fill="FFFFFF"/>
              </w:rPr>
              <w:t>（一）</w:t>
            </w:r>
            <w:r>
              <w:rPr>
                <w:rFonts w:hint="eastAsia" w:ascii="楷体" w:hAnsi="楷体" w:eastAsia="楷体" w:cs="Times New Roman"/>
                <w:b/>
                <w:color w:val="000000"/>
                <w:kern w:val="2"/>
                <w:sz w:val="21"/>
                <w:szCs w:val="21"/>
                <w:shd w:val="clear" w:color="auto" w:fill="FFFFFF"/>
              </w:rPr>
              <w:t>纸质教材</w:t>
            </w:r>
          </w:p>
          <w:p w14:paraId="76891626">
            <w:pPr>
              <w:widowControl w:val="0"/>
              <w:spacing w:before="0" w:beforeAutospacing="0" w:after="0" w:afterAutospacing="0"/>
              <w:jc w:val="both"/>
              <w:rPr>
                <w:rFonts w:ascii="楷体" w:hAnsi="楷体" w:eastAsia="楷体" w:cs="Times New Roman"/>
                <w:b/>
                <w:color w:val="000000"/>
                <w:kern w:val="2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楷体" w:hAnsi="楷体" w:eastAsia="楷体" w:cs="Times New Roman"/>
                <w:b/>
                <w:color w:val="000000"/>
                <w:kern w:val="2"/>
                <w:sz w:val="21"/>
                <w:szCs w:val="21"/>
                <w:shd w:val="clear" w:color="auto" w:fill="FFFFFF"/>
              </w:rPr>
              <w:t>1</w:t>
            </w:r>
            <w:r>
              <w:rPr>
                <w:rFonts w:ascii="楷体" w:hAnsi="楷体" w:eastAsia="楷体" w:cs="Times New Roman"/>
                <w:b/>
                <w:color w:val="000000"/>
                <w:kern w:val="2"/>
                <w:sz w:val="21"/>
                <w:szCs w:val="21"/>
                <w:shd w:val="clear" w:color="auto" w:fill="FFFFFF"/>
              </w:rPr>
              <w:t>.出版规格</w:t>
            </w:r>
          </w:p>
          <w:p w14:paraId="68FF650D">
            <w:pPr>
              <w:widowControl w:val="0"/>
              <w:spacing w:before="0" w:beforeAutospacing="0" w:after="0" w:afterAutospacing="0"/>
              <w:jc w:val="both"/>
              <w:rPr>
                <w:rFonts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</w:rPr>
              <w:t>（</w:t>
            </w:r>
            <w:r>
              <w:rPr>
                <w:rFonts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</w:rPr>
              <w:t xml:space="preserve">1）版权字数： </w:t>
            </w:r>
            <w:r>
              <w:rPr>
                <w:rFonts w:hint="eastAsia"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  <w:lang w:val="en-US" w:eastAsia="zh-CN"/>
              </w:rPr>
              <w:t>350</w:t>
            </w:r>
            <w:r>
              <w:rPr>
                <w:rFonts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</w:rPr>
              <w:t xml:space="preserve"> 千字</w:t>
            </w:r>
            <w:r>
              <w:rPr>
                <w:rFonts w:hint="eastAsia"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</w:rPr>
              <w:t>。</w:t>
            </w:r>
          </w:p>
          <w:p w14:paraId="534EB1EA">
            <w:pPr>
              <w:widowControl w:val="0"/>
              <w:spacing w:before="0" w:beforeAutospacing="0" w:after="0" w:afterAutospacing="0"/>
              <w:jc w:val="both"/>
              <w:rPr>
                <w:rFonts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</w:rPr>
              <w:t>（2）</w:t>
            </w:r>
            <w:r>
              <w:rPr>
                <w:rFonts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</w:rPr>
              <w:t xml:space="preserve">印张： </w:t>
            </w:r>
            <w:r>
              <w:rPr>
                <w:rFonts w:hint="eastAsia"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  <w:lang w:val="en-US" w:eastAsia="zh-CN"/>
              </w:rPr>
              <w:t>14</w:t>
            </w:r>
            <w:r>
              <w:rPr>
                <w:rFonts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</w:rPr>
              <w:t>。</w:t>
            </w:r>
          </w:p>
          <w:p w14:paraId="1730A30E">
            <w:pPr>
              <w:widowControl w:val="0"/>
              <w:spacing w:before="0" w:beforeAutospacing="0" w:after="0" w:afterAutospacing="0"/>
              <w:jc w:val="both"/>
              <w:rPr>
                <w:rFonts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</w:rPr>
              <w:t>（</w:t>
            </w:r>
            <w:r>
              <w:rPr>
                <w:rFonts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</w:rPr>
              <w:t>3）</w:t>
            </w:r>
            <w:r>
              <w:rPr>
                <w:rFonts w:hint="eastAsia"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</w:rPr>
              <w:t xml:space="preserve">正文印刷色数： </w:t>
            </w:r>
            <w:r>
              <w:rPr>
                <w:rFonts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hint="eastAsia"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  <w:lang w:val="en-US" w:eastAsia="zh-CN"/>
              </w:rPr>
              <w:t>单色</w:t>
            </w:r>
            <w:r>
              <w:rPr>
                <w:rFonts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</w:rPr>
              <w:t>。</w:t>
            </w:r>
          </w:p>
          <w:p w14:paraId="38D25974">
            <w:pPr>
              <w:widowControl w:val="0"/>
              <w:spacing w:before="0" w:beforeAutospacing="0" w:after="0" w:afterAutospacing="0"/>
              <w:jc w:val="both"/>
              <w:rPr>
                <w:rFonts w:ascii="楷体" w:hAnsi="楷体" w:eastAsia="楷体" w:cs="Times New Roman"/>
                <w:b/>
                <w:color w:val="000000"/>
                <w:kern w:val="2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楷体" w:hAnsi="楷体" w:eastAsia="楷体" w:cs="Times New Roman"/>
                <w:b/>
                <w:color w:val="000000"/>
                <w:kern w:val="2"/>
                <w:sz w:val="21"/>
                <w:szCs w:val="21"/>
                <w:shd w:val="clear" w:color="auto" w:fill="FFFFFF"/>
              </w:rPr>
              <w:t>2</w:t>
            </w:r>
            <w:r>
              <w:rPr>
                <w:rFonts w:ascii="楷体" w:hAnsi="楷体" w:eastAsia="楷体" w:cs="Times New Roman"/>
                <w:b/>
                <w:color w:val="000000"/>
                <w:kern w:val="2"/>
                <w:sz w:val="21"/>
                <w:szCs w:val="21"/>
                <w:shd w:val="clear" w:color="auto" w:fill="FFFFFF"/>
              </w:rPr>
              <w:t>.</w:t>
            </w:r>
            <w:r>
              <w:rPr>
                <w:rFonts w:hint="eastAsia" w:ascii="楷体" w:hAnsi="楷体" w:eastAsia="楷体" w:cs="Times New Roman"/>
                <w:b/>
                <w:color w:val="000000"/>
                <w:kern w:val="2"/>
                <w:sz w:val="21"/>
                <w:szCs w:val="21"/>
                <w:shd w:val="clear" w:color="auto" w:fill="FFFFFF"/>
              </w:rPr>
              <w:t>盈利估算</w:t>
            </w:r>
          </w:p>
          <w:p w14:paraId="7E1EDB8E">
            <w:pPr>
              <w:widowControl w:val="0"/>
              <w:spacing w:before="0" w:beforeAutospacing="0" w:after="0" w:afterAutospacing="0"/>
              <w:jc w:val="both"/>
              <w:rPr>
                <w:rFonts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</w:rPr>
              <w:t>（</w:t>
            </w:r>
            <w:r>
              <w:rPr>
                <w:rFonts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</w:rPr>
              <w:t xml:space="preserve">1）定价：  </w:t>
            </w:r>
            <w:r>
              <w:rPr>
                <w:rFonts w:hint="eastAsia"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  <w:lang w:val="en-US" w:eastAsia="zh-CN"/>
              </w:rPr>
              <w:t>59.8</w:t>
            </w:r>
            <w:r>
              <w:rPr>
                <w:rFonts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</w:rPr>
              <w:t xml:space="preserve">  元</w:t>
            </w:r>
            <w:r>
              <w:rPr>
                <w:rFonts w:hint="eastAsia"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</w:rPr>
              <w:t>。</w:t>
            </w:r>
          </w:p>
          <w:p w14:paraId="409E70BA">
            <w:pPr>
              <w:widowControl w:val="0"/>
              <w:spacing w:before="0" w:beforeAutospacing="0" w:after="0" w:afterAutospacing="0"/>
              <w:jc w:val="both"/>
              <w:rPr>
                <w:rFonts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</w:rPr>
              <w:t>（</w:t>
            </w:r>
            <w:r>
              <w:rPr>
                <w:rFonts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</w:rPr>
              <w:t>2</w:t>
            </w:r>
            <w:r>
              <w:rPr>
                <w:rFonts w:hint="eastAsia"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</w:rPr>
              <w:t>）版税（率）</w:t>
            </w:r>
            <w:r>
              <w:rPr>
                <w:rFonts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</w:rPr>
              <w:t>：</w:t>
            </w:r>
            <w:r>
              <w:rPr>
                <w:rFonts w:hint="eastAsia"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hint="eastAsia"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  <w:lang w:val="en-US" w:eastAsia="zh-CN"/>
              </w:rPr>
              <w:t>8</w:t>
            </w:r>
            <w:r>
              <w:rPr>
                <w:rFonts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</w:rPr>
              <w:t>%。</w:t>
            </w:r>
          </w:p>
          <w:p w14:paraId="102C7193">
            <w:pPr>
              <w:widowControl w:val="0"/>
              <w:spacing w:before="0" w:beforeAutospacing="0" w:after="0" w:afterAutospacing="0"/>
              <w:jc w:val="both"/>
              <w:rPr>
                <w:rFonts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</w:rPr>
              <w:t>（</w:t>
            </w:r>
            <w:r>
              <w:rPr>
                <w:rFonts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</w:rPr>
              <w:t xml:space="preserve">3）发货折扣：    </w:t>
            </w:r>
            <w:r>
              <w:rPr>
                <w:rFonts w:hint="eastAsia"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  <w:lang w:val="en-US" w:eastAsia="zh-CN"/>
              </w:rPr>
              <w:t>65</w:t>
            </w:r>
            <w:r>
              <w:rPr>
                <w:rFonts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</w:rPr>
              <w:t>%。</w:t>
            </w:r>
          </w:p>
          <w:p w14:paraId="09571F8F">
            <w:pPr>
              <w:widowControl w:val="0"/>
              <w:spacing w:before="0" w:beforeAutospacing="0" w:after="0" w:afterAutospacing="0"/>
              <w:jc w:val="both"/>
              <w:rPr>
                <w:rFonts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</w:rPr>
              <w:t>（</w:t>
            </w:r>
            <w:r>
              <w:rPr>
                <w:rFonts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</w:rPr>
              <w:t>4）</w:t>
            </w:r>
            <w:r>
              <w:rPr>
                <w:rFonts w:hint="eastAsia"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</w:rPr>
              <w:t xml:space="preserve">预估首印数： </w:t>
            </w:r>
            <w:r>
              <w:rPr>
                <w:rFonts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</w:rPr>
              <w:t xml:space="preserve">  </w:t>
            </w:r>
            <w:r>
              <w:rPr>
                <w:rFonts w:hint="eastAsia"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  <w:lang w:val="en-US" w:eastAsia="zh-CN"/>
              </w:rPr>
              <w:t>1200</w:t>
            </w:r>
            <w:r>
              <w:rPr>
                <w:rFonts w:hint="eastAsia"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</w:rPr>
              <w:t>册。</w:t>
            </w:r>
          </w:p>
          <w:p w14:paraId="716771A3">
            <w:pPr>
              <w:widowControl w:val="0"/>
              <w:spacing w:before="0" w:beforeAutospacing="0" w:after="0" w:afterAutospacing="0"/>
              <w:jc w:val="both"/>
              <w:rPr>
                <w:rFonts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</w:rPr>
              <w:t>（</w:t>
            </w:r>
            <w:r>
              <w:rPr>
                <w:rFonts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</w:rPr>
              <w:t>5）</w:t>
            </w:r>
            <w:r>
              <w:rPr>
                <w:rFonts w:hint="eastAsia"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</w:rPr>
              <w:t xml:space="preserve">预估总印数： </w:t>
            </w:r>
            <w:r>
              <w:rPr>
                <w:rFonts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</w:rPr>
              <w:t xml:space="preserve">  </w:t>
            </w:r>
            <w:r>
              <w:rPr>
                <w:rFonts w:hint="eastAsia"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  <w:lang w:val="en-US" w:eastAsia="zh-CN"/>
              </w:rPr>
              <w:t>3000</w:t>
            </w:r>
            <w:r>
              <w:rPr>
                <w:rFonts w:hint="eastAsia"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</w:rPr>
              <w:t>册。</w:t>
            </w:r>
          </w:p>
          <w:p w14:paraId="2625478E">
            <w:pPr>
              <w:widowControl w:val="0"/>
              <w:spacing w:before="0" w:beforeAutospacing="0" w:after="0" w:afterAutospacing="0"/>
              <w:jc w:val="both"/>
              <w:rPr>
                <w:rFonts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</w:rPr>
              <w:t>（6）</w:t>
            </w:r>
            <w:r>
              <w:rPr>
                <w:rFonts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</w:rPr>
              <w:t>包销册数：</w:t>
            </w:r>
            <w:r>
              <w:rPr>
                <w:rFonts w:hint="eastAsia"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</w:rPr>
              <w:t xml:space="preserve">    </w:t>
            </w:r>
            <w:r>
              <w:rPr>
                <w:rFonts w:hint="eastAsia"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  <w:lang w:val="en-US" w:eastAsia="zh-CN"/>
              </w:rPr>
              <w:t>0</w:t>
            </w:r>
            <w:r>
              <w:rPr>
                <w:rFonts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</w:rPr>
              <w:t>册</w:t>
            </w:r>
            <w:r>
              <w:rPr>
                <w:rFonts w:hint="eastAsia"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</w:rPr>
              <w:t xml:space="preserve">；包销折扣： </w:t>
            </w:r>
            <w:r>
              <w:rPr>
                <w:rFonts w:hint="eastAsia"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  <w:lang w:val="en-US" w:eastAsia="zh-CN"/>
              </w:rPr>
              <w:t>0</w:t>
            </w:r>
            <w:r>
              <w:rPr>
                <w:rFonts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</w:rPr>
              <w:t xml:space="preserve"> %。</w:t>
            </w:r>
          </w:p>
          <w:p w14:paraId="3B50269E">
            <w:pPr>
              <w:widowControl w:val="0"/>
              <w:spacing w:before="0" w:beforeAutospacing="0" w:after="0" w:afterAutospacing="0"/>
              <w:jc w:val="both"/>
              <w:rPr>
                <w:rFonts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</w:rPr>
              <w:t>（7</w:t>
            </w:r>
            <w:r>
              <w:rPr>
                <w:rFonts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</w:rPr>
              <w:t>）出版资助</w:t>
            </w:r>
            <w:r>
              <w:rPr>
                <w:rFonts w:hint="eastAsia"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</w:rPr>
              <w:t xml:space="preserve">： </w:t>
            </w:r>
            <w:r>
              <w:rPr>
                <w:rFonts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hint="eastAsia"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  <w:lang w:val="en-US" w:eastAsia="zh-CN"/>
              </w:rPr>
              <w:t xml:space="preserve"> 60000</w:t>
            </w:r>
            <w:r>
              <w:rPr>
                <w:rFonts w:hint="eastAsia"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</w:rPr>
              <w:t>元。</w:t>
            </w:r>
          </w:p>
          <w:p w14:paraId="0FF6D20A">
            <w:pPr>
              <w:widowControl w:val="0"/>
              <w:spacing w:before="0" w:beforeAutospacing="0" w:after="0" w:afterAutospacing="0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</w:rPr>
              <w:t>（8）预计总</w:t>
            </w:r>
            <w:r>
              <w:rPr>
                <w:rFonts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</w:rPr>
              <w:t>毛利润</w:t>
            </w:r>
            <w:r>
              <w:rPr>
                <w:rFonts w:hint="eastAsia"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</w:rPr>
              <w:t>：</w:t>
            </w:r>
            <w:r>
              <w:rPr>
                <w:rFonts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</w:rPr>
              <w:t xml:space="preserve">   </w:t>
            </w:r>
            <w:r>
              <w:rPr>
                <w:rFonts w:hint="eastAsia"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  <w:lang w:val="en-US" w:eastAsia="zh-CN"/>
              </w:rPr>
              <w:t>80000</w:t>
            </w:r>
            <w:r>
              <w:rPr>
                <w:rFonts w:ascii="楷体" w:hAnsi="楷体" w:eastAsia="楷体" w:cs="Times New Roman"/>
                <w:color w:val="000000"/>
                <w:kern w:val="2"/>
                <w:sz w:val="21"/>
                <w:szCs w:val="21"/>
                <w:shd w:val="clear" w:color="auto" w:fill="FFFFFF"/>
              </w:rPr>
              <w:t>元。</w:t>
            </w:r>
          </w:p>
        </w:tc>
        <w:tc>
          <w:tcPr>
            <w:tcW w:w="1078" w:type="dxa"/>
            <w:shd w:val="clear" w:color="auto" w:fill="auto"/>
            <w:vAlign w:val="center"/>
          </w:tcPr>
          <w:p w14:paraId="3BBB7F7F">
            <w:pPr>
              <w:adjustRightInd w:val="0"/>
              <w:jc w:val="center"/>
              <w:rPr>
                <w:rFonts w:hint="default" w:eastAsia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21</w:t>
            </w:r>
          </w:p>
        </w:tc>
      </w:tr>
      <w:tr w14:paraId="179B50A9">
        <w:trPr>
          <w:trHeight w:val="3402" w:hRule="atLeast"/>
        </w:trPr>
        <w:tc>
          <w:tcPr>
            <w:tcW w:w="704" w:type="dxa"/>
            <w:shd w:val="clear" w:color="auto" w:fill="auto"/>
            <w:vAlign w:val="center"/>
          </w:tcPr>
          <w:p w14:paraId="4265A564">
            <w:pPr>
              <w:adjustRightInd w:val="0"/>
              <w:jc w:val="center"/>
              <w:rPr>
                <w:rFonts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六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2ECD9B1">
            <w:pPr>
              <w:adjustRightInd w:val="0"/>
              <w:jc w:val="center"/>
              <w:rPr>
                <w:rFonts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市场定位与营销</w:t>
            </w:r>
          </w:p>
          <w:p w14:paraId="36F25434">
            <w:pPr>
              <w:adjustRightInd w:val="0"/>
              <w:jc w:val="center"/>
              <w:rPr>
                <w:rFonts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楷体" w:hAnsi="楷体" w:eastAsia="楷体" w:cs="Times New Roman"/>
                <w:b/>
                <w:color w:val="FF0000"/>
                <w:sz w:val="21"/>
                <w:szCs w:val="21"/>
              </w:rPr>
              <w:t>目标读者、竞品比较、营销渠道、配套资源等</w:t>
            </w:r>
            <w:r>
              <w:rPr>
                <w:rFonts w:hint="eastAsia"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  <w:p w14:paraId="2B7995FA">
            <w:pPr>
              <w:adjustRightInd w:val="0"/>
              <w:jc w:val="center"/>
              <w:rPr>
                <w:rFonts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（1</w:t>
            </w:r>
            <w:r>
              <w:rPr>
                <w:rFonts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分）</w:t>
            </w:r>
          </w:p>
        </w:tc>
        <w:tc>
          <w:tcPr>
            <w:tcW w:w="6379" w:type="dxa"/>
            <w:gridSpan w:val="9"/>
            <w:shd w:val="clear" w:color="auto" w:fill="auto"/>
          </w:tcPr>
          <w:p w14:paraId="6B49192B">
            <w:pPr>
              <w:adjustRightInd w:val="0"/>
              <w:spacing w:before="0" w:beforeAutospacing="0" w:after="0" w:afterAutospacing="0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7600D26B">
            <w:pPr>
              <w:adjustRightInd w:val="0"/>
              <w:spacing w:before="0" w:beforeAutospacing="0" w:after="0" w:afterAutospacing="0"/>
              <w:ind w:firstLine="480" w:firstLineChars="200"/>
              <w:jc w:val="both"/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目标读者定位较清晰，主要包括三类：一是高校软件工程、计算机、人工智能应用及项目实训相关课程的教师与学生；二是已经具备一定AI工具或编程基础、希望提升工程化能力的软件开发者、测试/质量人员、配置管理人员与项目经理；三是正在推动AI工具落地的企业主、研发负责人和技术管理者。书稿既可作为课程延伸阅读，也可作为团队内部培训和工程方法对齐材料。</w:t>
            </w:r>
          </w:p>
          <w:p w14:paraId="3527434D">
            <w:pPr>
              <w:adjustRightInd w:val="0"/>
              <w:spacing w:before="0" w:beforeAutospacing="0" w:after="0" w:afterAutospacing="0"/>
              <w:ind w:firstLine="480" w:firstLineChars="200"/>
              <w:jc w:val="both"/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在竞品层面，现有图书大多分为“传统软件工程教材”和“AI编程/提示词工具书”两类。前者体系成熟但对生成式AI进入正式工程流程的新问题覆盖不足；后者上手快但多数停留在代码生成和个人效率层面，较少讨论需求基线、评审机制、配置管理、测试证据和变更闭环。本书的差异化优势在于：用真实工程案例解释AI如何进入完整生命周期，兼具理论框架、项目方法和资源落地路径。</w:t>
            </w:r>
          </w:p>
          <w:p w14:paraId="4A457264">
            <w:pPr>
              <w:adjustRightInd w:val="0"/>
              <w:spacing w:before="0" w:beforeAutospacing="0" w:after="0" w:afterAutospacing="0"/>
              <w:ind w:firstLine="480" w:firstLineChars="200"/>
              <w:jc w:val="both"/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营销方面，可采用“高校课程推广+技术社区传播+企业培训转化”的组合策略：出版前后面向软件工程、AI开发、项目实训方向院校教师进行选题沟通和样章试读；依托作者已有行业经历和案例资源，在GitHub等代码托管平台发布配套示例、模板、提示词和文档清单，增强技术社区讨论度；结合公众号、视频号、公开课、讲座或企业内训，扩大图书在研发管理和工程实践群体中的触达率。</w:t>
            </w:r>
          </w:p>
          <w:p w14:paraId="4403C8B5">
            <w:pPr>
              <w:adjustRightInd w:val="0"/>
              <w:spacing w:before="0" w:beforeAutospacing="0" w:after="0" w:afterAutospacing="0"/>
              <w:jc w:val="both"/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7936D588">
            <w:pPr>
              <w:adjustRightInd w:val="0"/>
              <w:spacing w:before="0" w:beforeAutospacing="0" w:after="0" w:afterAutospacing="0"/>
              <w:ind w:firstLine="480" w:firstLineChars="200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配套资源是本书的重要卖点。书稿已具备案例项目文档、管理过程文档、看板材料、提示词、模板和示例资料等基础，出版时可同步整理为下载资源包；同时可进一步补充PPT课件、教学大纲、案例讲解提纲、实验任务书等教师用资源，形成“图书+资源+服务”的立体推广方式。</w:t>
            </w:r>
          </w:p>
        </w:tc>
        <w:tc>
          <w:tcPr>
            <w:tcW w:w="1078" w:type="dxa"/>
            <w:shd w:val="clear" w:color="auto" w:fill="auto"/>
            <w:vAlign w:val="center"/>
          </w:tcPr>
          <w:p w14:paraId="7926CCB0">
            <w:pPr>
              <w:adjustRightInd w:val="0"/>
              <w:jc w:val="center"/>
              <w:rPr>
                <w:rFonts w:hint="eastAsia" w:eastAsia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</w:tr>
      <w:tr w14:paraId="650EFEB6">
        <w:trPr>
          <w:trHeight w:val="3402" w:hRule="atLeast"/>
        </w:trPr>
        <w:tc>
          <w:tcPr>
            <w:tcW w:w="704" w:type="dxa"/>
            <w:shd w:val="clear" w:color="auto" w:fill="auto"/>
            <w:vAlign w:val="center"/>
          </w:tcPr>
          <w:p w14:paraId="496DA5D2">
            <w:pPr>
              <w:adjustRightInd w:val="0"/>
              <w:jc w:val="center"/>
              <w:rPr>
                <w:rFonts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七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9AD4573">
            <w:pPr>
              <w:adjustRightInd w:val="0"/>
              <w:jc w:val="center"/>
              <w:rPr>
                <w:rFonts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再版修订说明</w:t>
            </w:r>
          </w:p>
          <w:p w14:paraId="6F4985D5">
            <w:pPr>
              <w:adjustRightInd w:val="0"/>
              <w:jc w:val="center"/>
              <w:rPr>
                <w:rFonts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楷体" w:hAnsi="楷体" w:eastAsia="楷体" w:cs="Times New Roman"/>
                <w:b/>
                <w:color w:val="FF0000"/>
                <w:sz w:val="21"/>
                <w:szCs w:val="21"/>
              </w:rPr>
              <w:t>上一版次图书优缺点、市场销量、院校使用情况；修订必要性；修订计划，如内容增减、技术更新、资源配套等</w:t>
            </w:r>
            <w:r>
              <w:rPr>
                <w:rFonts w:hint="eastAsia"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  <w:p w14:paraId="4C0F9DC1">
            <w:pPr>
              <w:adjustRightInd w:val="0"/>
              <w:jc w:val="center"/>
              <w:rPr>
                <w:rFonts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Times New Roman"/>
                <w:b/>
                <w:color w:val="FF0000"/>
              </w:rPr>
              <w:t>再版修订选题填写此项</w:t>
            </w:r>
          </w:p>
        </w:tc>
        <w:tc>
          <w:tcPr>
            <w:tcW w:w="7457" w:type="dxa"/>
            <w:gridSpan w:val="10"/>
            <w:shd w:val="clear" w:color="auto" w:fill="auto"/>
          </w:tcPr>
          <w:p w14:paraId="53B83F7C">
            <w:pPr>
              <w:adjustRightInd w:val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0D8FE99E">
            <w:pPr>
              <w:adjustRightInd w:val="0"/>
              <w:rPr>
                <w:rFonts w:hint="default" w:eastAsia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F6BE63A">
        <w:trPr>
          <w:trHeight w:val="327" w:hRule="atLeast"/>
        </w:trPr>
        <w:tc>
          <w:tcPr>
            <w:tcW w:w="704" w:type="dxa"/>
            <w:shd w:val="clear" w:color="auto" w:fill="auto"/>
            <w:vAlign w:val="center"/>
          </w:tcPr>
          <w:p w14:paraId="5B696EC8">
            <w:pPr>
              <w:adjustRightInd w:val="0"/>
              <w:jc w:val="center"/>
              <w:rPr>
                <w:rFonts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八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6EBB3F5">
            <w:pPr>
              <w:adjustRightInd w:val="0"/>
              <w:jc w:val="center"/>
              <w:rPr>
                <w:rFonts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目录</w:t>
            </w:r>
          </w:p>
          <w:p w14:paraId="1F371C9D">
            <w:pPr>
              <w:adjustRightInd w:val="0"/>
              <w:jc w:val="center"/>
              <w:rPr>
                <w:rFonts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（三级标题）</w:t>
            </w:r>
          </w:p>
        </w:tc>
        <w:tc>
          <w:tcPr>
            <w:tcW w:w="7457" w:type="dxa"/>
            <w:gridSpan w:val="10"/>
            <w:shd w:val="clear" w:color="auto" w:fill="auto"/>
          </w:tcPr>
          <w:p w14:paraId="4CFB4C62">
            <w:pPr>
              <w:adjustRightInd w:val="0"/>
              <w:spacing w:before="0" w:beforeAutospacing="0" w:after="0" w:afterAutospacing="0"/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·目录</w:t>
            </w:r>
          </w:p>
          <w:p w14:paraId="11C68C43">
            <w:pPr>
              <w:adjustRightInd w:val="0"/>
              <w:spacing w:before="0" w:beforeAutospacing="0" w:after="0" w:afterAutospacing="0"/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·本书价值观</w:t>
            </w:r>
          </w:p>
          <w:p w14:paraId="21E419F1">
            <w:pPr>
              <w:adjustRightInd w:val="0"/>
              <w:spacing w:before="0" w:beforeAutospacing="0" w:after="0" w:afterAutospacing="0"/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·AI时代您值得读的第2本书</w:t>
            </w:r>
          </w:p>
          <w:p w14:paraId="4E88A2DE">
            <w:pPr>
              <w:adjustRightInd w:val="0"/>
              <w:spacing w:before="0" w:beforeAutospacing="0" w:after="0" w:afterAutospacing="0"/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·本书推荐</w:t>
            </w:r>
          </w:p>
          <w:p w14:paraId="7F8E84C1">
            <w:pPr>
              <w:adjustRightInd w:val="0"/>
              <w:spacing w:before="0" w:beforeAutospacing="0" w:after="0" w:afterAutospacing="0"/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·前言</w:t>
            </w:r>
          </w:p>
          <w:p w14:paraId="51EE478A">
            <w:pPr>
              <w:adjustRightInd w:val="0"/>
              <w:spacing w:before="0" w:beforeAutospacing="0" w:after="0" w:afterAutospacing="0"/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·作者简介</w:t>
            </w:r>
          </w:p>
          <w:p w14:paraId="0E53BD2E">
            <w:pPr>
              <w:adjustRightInd w:val="0"/>
              <w:spacing w:before="0" w:beforeAutospacing="0" w:after="0" w:afterAutospacing="0"/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第一篇 方法与体系（13章）</w:t>
            </w:r>
          </w:p>
          <w:p w14:paraId="52F8CADE">
            <w:pPr>
              <w:adjustRightInd w:val="0"/>
              <w:spacing w:before="0" w:beforeAutospacing="0" w:after="0" w:afterAutospacing="0"/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第1章 为什么需要AI驱动软件工程</w:t>
            </w:r>
          </w:p>
          <w:p w14:paraId="3407DAA1">
            <w:pPr>
              <w:adjustRightInd w:val="0"/>
              <w:spacing w:before="0" w:beforeAutospacing="0" w:after="0" w:afterAutospacing="0"/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第2章 软件工程的基本约束：从普通项目到严格样板</w:t>
            </w:r>
          </w:p>
          <w:p w14:paraId="64185F2E">
            <w:pPr>
              <w:adjustRightInd w:val="0"/>
              <w:spacing w:before="0" w:beforeAutospacing="0" w:after="0" w:afterAutospacing="0"/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第3章 AI正向工程核心方法</w:t>
            </w:r>
          </w:p>
          <w:p w14:paraId="024CC292">
            <w:pPr>
              <w:adjustRightInd w:val="0"/>
              <w:spacing w:before="0" w:beforeAutospacing="0" w:after="0" w:afterAutospacing="0"/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第4章 项目启动与生命周期基线</w:t>
            </w:r>
          </w:p>
          <w:p w14:paraId="2CD96963">
            <w:pPr>
              <w:adjustRightInd w:val="0"/>
              <w:spacing w:before="0" w:beforeAutospacing="0" w:after="0" w:afterAutospacing="0"/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第5章 知识管理先于需求工程</w:t>
            </w:r>
          </w:p>
          <w:p w14:paraId="53DEA937">
            <w:pPr>
              <w:adjustRightInd w:val="0"/>
              <w:spacing w:before="0" w:beforeAutospacing="0" w:after="0" w:afterAutospacing="0"/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第6章 需求工程：从知识输入到需求基线</w:t>
            </w:r>
          </w:p>
          <w:p w14:paraId="77270F64">
            <w:pPr>
              <w:adjustRightInd w:val="0"/>
              <w:spacing w:before="0" w:beforeAutospacing="0" w:after="0" w:afterAutospacing="0"/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第7章 架构与详细设计：从系统分解到设计基线</w:t>
            </w:r>
          </w:p>
          <w:p w14:paraId="5F24A35A">
            <w:pPr>
              <w:adjustRightInd w:val="0"/>
              <w:spacing w:before="0" w:beforeAutospacing="0" w:after="0" w:afterAutospacing="0"/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第8章 实现与单元验证：AI编码与A/B级测试</w:t>
            </w:r>
          </w:p>
          <w:p w14:paraId="22DEEB97">
            <w:pPr>
              <w:adjustRightInd w:val="0"/>
              <w:spacing w:before="0" w:beforeAutospacing="0" w:after="0" w:afterAutospacing="0"/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第9章 集成验证与发布：C/D级测试、变更闭环与发布基线</w:t>
            </w:r>
          </w:p>
          <w:p w14:paraId="6AF2E783">
            <w:pPr>
              <w:adjustRightInd w:val="0"/>
              <w:spacing w:before="0" w:beforeAutospacing="0" w:after="0" w:afterAutospacing="0"/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第10章 复盘与沉淀：从案例到可迁移方法</w:t>
            </w:r>
          </w:p>
          <w:p w14:paraId="1E8E42A6">
            <w:pPr>
              <w:adjustRightInd w:val="0"/>
              <w:spacing w:before="0" w:beforeAutospacing="0" w:after="0" w:afterAutospacing="0"/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第11章 常见陷阱与工程避坑</w:t>
            </w:r>
          </w:p>
          <w:p w14:paraId="245E0E2B">
            <w:pPr>
              <w:adjustRightInd w:val="0"/>
              <w:spacing w:before="0" w:beforeAutospacing="0" w:after="0" w:afterAutospacing="0"/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第12章 工程资产与工具包</w:t>
            </w:r>
          </w:p>
          <w:p w14:paraId="74DC4D02">
            <w:pPr>
              <w:adjustRightInd w:val="0"/>
              <w:spacing w:before="0" w:beforeAutospacing="0" w:after="0" w:afterAutospacing="0"/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第13章 行业迁移与未来趋势</w:t>
            </w:r>
          </w:p>
          <w:p w14:paraId="5986053D">
            <w:pPr>
              <w:adjustRightInd w:val="0"/>
              <w:spacing w:before="0" w:beforeAutospacing="0" w:after="0" w:afterAutospacing="0"/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第二篇 项目实战（12章）</w:t>
            </w:r>
          </w:p>
          <w:p w14:paraId="3C9A0742">
            <w:pPr>
              <w:adjustRightInd w:val="0"/>
              <w:spacing w:before="0" w:beforeAutospacing="0" w:after="0" w:afterAutospacing="0"/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第14章 实战准备：环境安装、角色配置与配置库初始化</w:t>
            </w:r>
          </w:p>
          <w:p w14:paraId="0C9853CD">
            <w:pPr>
              <w:adjustRightInd w:val="0"/>
              <w:spacing w:before="0" w:beforeAutospacing="0" w:after="0" w:afterAutospacing="0"/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第15章 建立IDP与项目边界</w:t>
            </w:r>
          </w:p>
          <w:p w14:paraId="138AA31B">
            <w:pPr>
              <w:adjustRightInd w:val="0"/>
              <w:spacing w:before="0" w:beforeAutospacing="0" w:after="0" w:afterAutospacing="0"/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第16章 实战案例一：从零建立P123项目骨架</w:t>
            </w:r>
          </w:p>
          <w:p w14:paraId="4E3EB147">
            <w:pPr>
              <w:adjustRightInd w:val="0"/>
              <w:spacing w:before="0" w:beforeAutospacing="0" w:after="0" w:afterAutospacing="0"/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第17章 实战案例一：P123受控工程闭环总览</w:t>
            </w:r>
          </w:p>
          <w:p w14:paraId="492C144E">
            <w:pPr>
              <w:adjustRightInd w:val="0"/>
              <w:spacing w:before="0" w:beforeAutospacing="0" w:after="0" w:afterAutospacing="0"/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第18章 实战案例一：从知识输入到P123需求基线</w:t>
            </w:r>
          </w:p>
          <w:p w14:paraId="72D5DBFC">
            <w:pPr>
              <w:adjustRightInd w:val="0"/>
              <w:spacing w:before="0" w:beforeAutospacing="0" w:after="0" w:afterAutospacing="0"/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第19章 实战案例一：从需求基线到架构与详细设计基线</w:t>
            </w:r>
          </w:p>
          <w:p w14:paraId="1E0447AC">
            <w:pPr>
              <w:adjustRightInd w:val="0"/>
              <w:spacing w:before="0" w:beforeAutospacing="0" w:after="0" w:afterAutospacing="0"/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第20章 实战案例一：从设计基线到编码实现与单元验证</w:t>
            </w:r>
          </w:p>
          <w:p w14:paraId="12BE6821">
            <w:pPr>
              <w:adjustRightInd w:val="0"/>
              <w:spacing w:before="0" w:beforeAutospacing="0" w:after="0" w:afterAutospacing="0"/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第21章 实战案例一：变更闭环与下一阶段验证计划</w:t>
            </w:r>
          </w:p>
          <w:p w14:paraId="566065A1">
            <w:pPr>
              <w:adjustRightInd w:val="0"/>
              <w:spacing w:before="0" w:beforeAutospacing="0" w:after="0" w:afterAutospacing="0"/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第22章 实战案例一：从P123回到P12系统级视角</w:t>
            </w:r>
          </w:p>
          <w:p w14:paraId="6D500DD6">
            <w:pPr>
              <w:adjustRightInd w:val="0"/>
              <w:spacing w:before="0" w:beforeAutospacing="0" w:after="0" w:afterAutospacing="0"/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第23章 实战案例二：从零建立电子签名项目</w:t>
            </w:r>
          </w:p>
          <w:p w14:paraId="00126AD1">
            <w:pPr>
              <w:adjustRightInd w:val="0"/>
              <w:spacing w:before="0" w:beforeAutospacing="0" w:after="0" w:afterAutospacing="0"/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第24章 实战案例二：电子签名设计输入阶段</w:t>
            </w:r>
          </w:p>
          <w:p w14:paraId="790527D8">
            <w:pPr>
              <w:adjustRightInd w:val="0"/>
              <w:spacing w:before="0" w:beforeAutospacing="0" w:after="0" w:afterAutospacing="0"/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第25章 实战案例二：电子签名设计验证与输出闭环</w:t>
            </w:r>
          </w:p>
          <w:p w14:paraId="681AEA58">
            <w:pPr>
              <w:adjustRightInd w:val="0"/>
              <w:spacing w:before="0" w:beforeAutospacing="0" w:after="0" w:afterAutospacing="0"/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附录（6个）</w:t>
            </w:r>
          </w:p>
          <w:p w14:paraId="42C86F08">
            <w:pPr>
              <w:adjustRightInd w:val="0"/>
              <w:spacing w:before="0" w:beforeAutospacing="0" w:after="0" w:afterAutospacing="0"/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附录A P123项目关键文档范例</w:t>
            </w:r>
          </w:p>
          <w:p w14:paraId="7CF6F680">
            <w:pPr>
              <w:adjustRightInd w:val="0"/>
              <w:spacing w:before="0" w:beforeAutospacing="0" w:after="0" w:afterAutospacing="0"/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附录B 高可靠软件标准速查与对照</w:t>
            </w:r>
          </w:p>
          <w:p w14:paraId="698F94CE">
            <w:pPr>
              <w:adjustRightInd w:val="0"/>
              <w:spacing w:before="0" w:beforeAutospacing="0" w:after="0" w:afterAutospacing="0"/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附录C 提示词库与看板模板索引</w:t>
            </w:r>
          </w:p>
          <w:p w14:paraId="5BC3CC02">
            <w:pPr>
              <w:adjustRightInd w:val="0"/>
              <w:spacing w:before="0" w:beforeAutospacing="0" w:after="0" w:afterAutospacing="0"/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附录D 术语表</w:t>
            </w:r>
          </w:p>
          <w:p w14:paraId="50275771">
            <w:pPr>
              <w:adjustRightInd w:val="0"/>
              <w:spacing w:before="0" w:beforeAutospacing="0" w:after="0" w:afterAutospacing="0"/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附录E 参考资料与延伸阅读</w:t>
            </w:r>
          </w:p>
          <w:p w14:paraId="05949B1D">
            <w:pPr>
              <w:adjustRightInd w:val="0"/>
              <w:spacing w:before="0" w:beforeAutospacing="0" w:after="0" w:afterAutospacing="0"/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附录F 示例企业极简质量体系流程包</w:t>
            </w:r>
          </w:p>
          <w:p w14:paraId="21EA0DFB">
            <w:pPr>
              <w:adjustRightInd w:val="0"/>
              <w:spacing w:before="0" w:beforeAutospacing="0" w:after="0" w:afterAutospacing="0"/>
              <w:rPr>
                <w:rFonts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3D71C27B">
            <w:pPr>
              <w:adjustRightInd w:val="0"/>
              <w:spacing w:before="0" w:beforeAutospacing="0" w:after="0" w:afterAutospacing="0"/>
              <w:rPr>
                <w:rFonts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2FF0C3E7">
            <w:pPr>
              <w:adjustRightInd w:val="0"/>
              <w:spacing w:before="0" w:beforeAutospacing="0" w:after="0" w:afterAutospacing="0"/>
              <w:rPr>
                <w:rFonts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04C93652">
            <w:pPr>
              <w:adjustRightInd w:val="0"/>
              <w:spacing w:before="0" w:beforeAutospacing="0" w:after="0" w:afterAutospacing="0"/>
              <w:rPr>
                <w:rFonts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2E7ADB12">
            <w:pPr>
              <w:adjustRightInd w:val="0"/>
              <w:spacing w:before="0" w:beforeAutospacing="0" w:after="0" w:afterAutospacing="0"/>
              <w:rPr>
                <w:rFonts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04E32961">
            <w:pPr>
              <w:adjustRightInd w:val="0"/>
              <w:spacing w:before="0" w:beforeAutospacing="0" w:after="0" w:afterAutospacing="0"/>
              <w:rPr>
                <w:rFonts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4746B61E">
            <w:pPr>
              <w:adjustRightInd w:val="0"/>
              <w:spacing w:before="0" w:beforeAutospacing="0" w:after="0" w:afterAutospacing="0"/>
              <w:rPr>
                <w:rFonts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0A61A1BC">
            <w:pPr>
              <w:adjustRightInd w:val="0"/>
              <w:spacing w:before="0" w:beforeAutospacing="0" w:after="0" w:afterAutospacing="0"/>
              <w:rPr>
                <w:rFonts w:cs="Times New Roman" w:asciiTheme="minorEastAsia" w:hAnsiTheme="minorEastAsia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D1CEC46">
        <w:trPr>
          <w:trHeight w:val="3731" w:hRule="atLeast"/>
        </w:trPr>
        <w:tc>
          <w:tcPr>
            <w:tcW w:w="704" w:type="dxa"/>
            <w:shd w:val="clear" w:color="auto" w:fill="auto"/>
            <w:vAlign w:val="center"/>
          </w:tcPr>
          <w:p w14:paraId="03ECED52">
            <w:pPr>
              <w:adjustRightInd w:val="0"/>
              <w:jc w:val="center"/>
              <w:rPr>
                <w:rFonts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九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AC194FC">
            <w:pPr>
              <w:adjustRightInd w:val="0"/>
              <w:jc w:val="center"/>
              <w:rPr>
                <w:rFonts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写作</w:t>
            </w:r>
            <w:r>
              <w:rPr>
                <w:rFonts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样章</w:t>
            </w:r>
            <w:r>
              <w:rPr>
                <w:rFonts w:hint="eastAsia"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（一节）</w:t>
            </w:r>
          </w:p>
        </w:tc>
        <w:tc>
          <w:tcPr>
            <w:tcW w:w="7457" w:type="dxa"/>
            <w:gridSpan w:val="10"/>
            <w:shd w:val="clear" w:color="auto" w:fill="auto"/>
          </w:tcPr>
          <w:p w14:paraId="4451DE64">
            <w:pPr>
              <w:adjustRightInd w:val="0"/>
              <w:spacing w:before="0" w:beforeAutospacing="0" w:after="0" w:afterAutospacing="0"/>
              <w:rPr>
                <w:rFonts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59F99718">
            <w:pPr>
              <w:adjustRightInd w:val="0"/>
              <w:spacing w:before="0" w:beforeAutospacing="0" w:after="0" w:afterAutospacing="0"/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2.2 软件工程的七个基本问题</w:t>
            </w:r>
          </w:p>
          <w:p w14:paraId="2587FF07">
            <w:pPr>
              <w:adjustRightInd w:val="0"/>
              <w:spacing w:before="0" w:beforeAutospacing="0" w:after="0" w:afterAutospacing="0"/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不论项目大小，软件工程都要尽量回答七个问题。</w:t>
            </w:r>
          </w:p>
          <w:p w14:paraId="478A9F74">
            <w:pPr>
              <w:adjustRightInd w:val="0"/>
              <w:spacing w:before="0" w:beforeAutospacing="0" w:after="0" w:afterAutospacing="0"/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1. 需求不能含糊。需求如果不清楚，后面的设计、实现和测试都会被带偏。AI生成代码越</w:t>
            </w:r>
          </w:p>
          <w:p w14:paraId="70DF5AB4">
            <w:pPr>
              <w:adjustRightInd w:val="0"/>
              <w:spacing w:before="0" w:beforeAutospacing="0" w:after="0" w:afterAutospacing="0"/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快，需求含糊带来的返工越大。</w:t>
            </w:r>
          </w:p>
          <w:p w14:paraId="2CC663B9">
            <w:pPr>
              <w:adjustRightInd w:val="0"/>
              <w:spacing w:before="0" w:beforeAutospacing="0" w:after="0" w:afterAutospacing="0"/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2. 风险和异常必须前置。普通项目也会有误操作、数据错误、接口异常、权限问题和线上</w:t>
            </w:r>
          </w:p>
          <w:p w14:paraId="23EAAECD">
            <w:pPr>
              <w:adjustRightInd w:val="0"/>
              <w:spacing w:before="0" w:beforeAutospacing="0" w:after="0" w:afterAutospacing="0"/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故障。不能等功能做完再问“哪里可能出问题”。</w:t>
            </w:r>
          </w:p>
          <w:p w14:paraId="3183D686">
            <w:pPr>
              <w:adjustRightInd w:val="0"/>
              <w:spacing w:before="0" w:beforeAutospacing="0" w:after="0" w:afterAutospacing="0"/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3. 设计需要可解释。关键设计不能只存在于某个工程师脑子里，也不能只靠代码倒推。系</w:t>
            </w:r>
          </w:p>
          <w:p w14:paraId="2AD1F6E2">
            <w:pPr>
              <w:adjustRightInd w:val="0"/>
              <w:spacing w:before="0" w:beforeAutospacing="0" w:after="0" w:afterAutospacing="0"/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统边界、模块职责、接口关系和关键取舍都需要被说明。</w:t>
            </w:r>
          </w:p>
          <w:p w14:paraId="3CCD95B9">
            <w:pPr>
              <w:adjustRightInd w:val="0"/>
              <w:spacing w:before="0" w:beforeAutospacing="0" w:after="0" w:afterAutospacing="0"/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4. 测试必须有依据。测试不是为了得到“通过”两个字，而是为了证明某些需求、边界条件</w:t>
            </w:r>
          </w:p>
          <w:p w14:paraId="35F57BBA">
            <w:pPr>
              <w:adjustRightInd w:val="0"/>
              <w:spacing w:before="0" w:beforeAutospacing="0" w:after="0" w:afterAutospacing="0"/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和设计假设被验证过。</w:t>
            </w:r>
          </w:p>
          <w:p w14:paraId="5AFF7AAF">
            <w:pPr>
              <w:adjustRightInd w:val="0"/>
              <w:spacing w:before="0" w:beforeAutospacing="0" w:after="0" w:afterAutospacing="0"/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5. 变更必须可控。一个小改动可能影响需求、设计、接口、测试和用户使用习惯。普通项</w:t>
            </w:r>
          </w:p>
          <w:p w14:paraId="337E0DDA">
            <w:pPr>
              <w:adjustRightInd w:val="0"/>
              <w:spacing w:before="0" w:beforeAutospacing="0" w:after="0" w:afterAutospacing="0"/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目可以轻量处理，但不能完全没有影响判断。</w:t>
            </w:r>
          </w:p>
          <w:p w14:paraId="778B2B82">
            <w:pPr>
              <w:adjustRightInd w:val="0"/>
              <w:spacing w:before="0" w:beforeAutospacing="0" w:after="0" w:afterAutospacing="0"/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6. 发布必须可复现。项目必须能回答：当前交付版本由哪些代码、配置、脚本、文档和测</w:t>
            </w:r>
          </w:p>
          <w:p w14:paraId="3139CB92">
            <w:pPr>
              <w:adjustRightInd w:val="0"/>
              <w:spacing w:before="0" w:beforeAutospacing="0" w:after="0" w:afterAutospacing="0"/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试记录组成。</w:t>
            </w:r>
          </w:p>
          <w:p w14:paraId="22D88D06">
            <w:pPr>
              <w:adjustRightInd w:val="0"/>
              <w:spacing w:before="0" w:beforeAutospacing="0" w:after="0" w:afterAutospacing="0"/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7. 责任必须可归属。需求确认、设计判断、测试结论、变更接受和发布交付，最终都需要</w:t>
            </w:r>
          </w:p>
          <w:p w14:paraId="4CD36076">
            <w:pPr>
              <w:adjustRightInd w:val="0"/>
              <w:spacing w:before="0" w:beforeAutospacing="0" w:after="0" w:afterAutospacing="0"/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人和组织负责。AI不能成为责任主体。</w:t>
            </w:r>
          </w:p>
          <w:p w14:paraId="5EA23928">
            <w:pPr>
              <w:adjustRightInd w:val="0"/>
              <w:spacing w:before="0" w:beforeAutospacing="0" w:after="0" w:afterAutospacing="0"/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因此，软件工程的核心不是把流程做重，而是让项目在快速变化、多人协作和长期维护中仍然可</w:t>
            </w:r>
          </w:p>
          <w:p w14:paraId="518B38CE">
            <w:pPr>
              <w:adjustRightInd w:val="0"/>
              <w:spacing w:before="0" w:beforeAutospacing="0" w:after="0" w:afterAutospacing="0"/>
              <w:rPr>
                <w:rFonts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解释、可复核、可追溯。</w:t>
            </w:r>
          </w:p>
          <w:p w14:paraId="03469ADB">
            <w:pPr>
              <w:adjustRightInd w:val="0"/>
              <w:spacing w:before="0" w:beforeAutospacing="0" w:after="0" w:afterAutospacing="0"/>
              <w:rPr>
                <w:rFonts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6C6FA575">
            <w:pPr>
              <w:adjustRightInd w:val="0"/>
              <w:spacing w:before="0" w:beforeAutospacing="0" w:after="0" w:afterAutospacing="0"/>
              <w:rPr>
                <w:rFonts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5E91612E">
            <w:pPr>
              <w:adjustRightInd w:val="0"/>
              <w:spacing w:before="0" w:beforeAutospacing="0" w:after="0" w:afterAutospacing="0"/>
              <w:rPr>
                <w:rFonts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609C0148">
            <w:pPr>
              <w:adjustRightInd w:val="0"/>
              <w:spacing w:before="0" w:beforeAutospacing="0" w:after="0" w:afterAutospacing="0"/>
              <w:rPr>
                <w:rFonts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43C97D45">
            <w:pPr>
              <w:adjustRightInd w:val="0"/>
              <w:spacing w:before="0" w:beforeAutospacing="0" w:after="0" w:afterAutospacing="0"/>
              <w:rPr>
                <w:rFonts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3671F683">
            <w:pPr>
              <w:adjustRightInd w:val="0"/>
              <w:spacing w:before="0" w:beforeAutospacing="0" w:after="0" w:afterAutospacing="0"/>
              <w:rPr>
                <w:rFonts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6C7E7C46">
            <w:pPr>
              <w:adjustRightInd w:val="0"/>
              <w:spacing w:before="0" w:beforeAutospacing="0" w:after="0" w:afterAutospacing="0"/>
              <w:rPr>
                <w:rFonts w:ascii="楷体_GB2312" w:eastAsia="楷体_GB2312" w:cs="Times New Roman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06CB3C0D">
            <w:pPr>
              <w:adjustRightInd w:val="0"/>
              <w:spacing w:before="0" w:beforeAutospacing="0" w:after="0" w:afterAutospacing="0"/>
              <w:rPr>
                <w:rFonts w:cs="Times New Roman" w:asciiTheme="minorEastAsia" w:hAnsiTheme="minorEastAsia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4C5B834A">
            <w:pPr>
              <w:adjustRightInd w:val="0"/>
              <w:spacing w:before="0" w:beforeAutospacing="0" w:after="0" w:afterAutospacing="0"/>
              <w:rPr>
                <w:rFonts w:cs="Times New Roman" w:asciiTheme="minorEastAsia" w:hAnsiTheme="minorEastAsia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034DA276">
            <w:pPr>
              <w:adjustRightInd w:val="0"/>
              <w:spacing w:before="0" w:beforeAutospacing="0" w:after="0" w:afterAutospacing="0"/>
              <w:rPr>
                <w:rFonts w:cs="Times New Roman" w:asciiTheme="minorEastAsia" w:hAnsiTheme="minorEastAsia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256A59A0">
            <w:pPr>
              <w:adjustRightInd w:val="0"/>
              <w:spacing w:before="0" w:beforeAutospacing="0" w:after="0" w:afterAutospacing="0"/>
              <w:rPr>
                <w:rFonts w:cs="Times New Roman" w:asciiTheme="minorEastAsia" w:hAnsiTheme="minorEastAsia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05B9C9FC">
            <w:pPr>
              <w:adjustRightInd w:val="0"/>
              <w:spacing w:before="0" w:beforeAutospacing="0" w:after="0" w:afterAutospacing="0"/>
              <w:rPr>
                <w:rFonts w:cs="Times New Roman" w:asciiTheme="minorEastAsia" w:hAnsiTheme="minorEastAsia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62C4E83D">
            <w:pPr>
              <w:adjustRightInd w:val="0"/>
              <w:spacing w:before="0" w:beforeAutospacing="0" w:after="0" w:afterAutospacing="0"/>
              <w:rPr>
                <w:rFonts w:cs="Times New Roman" w:asciiTheme="minorEastAsia" w:hAnsiTheme="minorEastAsia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583137A8">
            <w:pPr>
              <w:adjustRightInd w:val="0"/>
              <w:spacing w:before="0" w:beforeAutospacing="0" w:after="0" w:afterAutospacing="0"/>
              <w:rPr>
                <w:rFonts w:cs="Times New Roman" w:asciiTheme="minorEastAsia" w:hAnsiTheme="minorEastAsia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2C0D66C4">
            <w:pPr>
              <w:adjustRightInd w:val="0"/>
              <w:spacing w:before="0" w:beforeAutospacing="0" w:after="0" w:afterAutospacing="0"/>
              <w:rPr>
                <w:rFonts w:cs="Times New Roman" w:asciiTheme="minorEastAsia" w:hAnsiTheme="minorEastAsia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19B4009C">
            <w:pPr>
              <w:adjustRightInd w:val="0"/>
              <w:spacing w:before="0" w:beforeAutospacing="0" w:after="0" w:afterAutospacing="0"/>
              <w:rPr>
                <w:rFonts w:cs="Times New Roman" w:asciiTheme="minorEastAsia" w:hAnsiTheme="minorEastAsia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1697FB93">
            <w:pPr>
              <w:adjustRightInd w:val="0"/>
              <w:spacing w:before="0" w:beforeAutospacing="0" w:after="0" w:afterAutospacing="0"/>
              <w:rPr>
                <w:rFonts w:cs="Times New Roman" w:asciiTheme="minorEastAsia" w:hAnsiTheme="minorEastAsia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6874BF0B">
            <w:pPr>
              <w:adjustRightInd w:val="0"/>
              <w:spacing w:before="0" w:beforeAutospacing="0" w:after="0" w:afterAutospacing="0"/>
              <w:rPr>
                <w:rFonts w:cs="Times New Roman" w:asciiTheme="minorEastAsia" w:hAnsiTheme="minorEastAsia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4A996F37">
            <w:pPr>
              <w:adjustRightInd w:val="0"/>
              <w:spacing w:before="0" w:beforeAutospacing="0" w:after="0" w:afterAutospacing="0"/>
              <w:rPr>
                <w:rFonts w:cs="Times New Roman" w:asciiTheme="minorEastAsia" w:hAnsiTheme="minorEastAsia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593161D0">
            <w:pPr>
              <w:adjustRightInd w:val="0"/>
              <w:spacing w:before="0" w:beforeAutospacing="0" w:after="0" w:afterAutospacing="0"/>
              <w:rPr>
                <w:rFonts w:cs="Times New Roman" w:asciiTheme="minorEastAsia" w:hAnsiTheme="minorEastAsia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5A4555A7">
      <w:pPr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sectPr>
      <w:headerReference r:id="rId4" w:type="default"/>
      <w:footerReference r:id="rId5" w:type="default"/>
      <w:pgSz w:w="11906" w:h="16838"/>
      <w:pgMar w:top="1531" w:right="1077" w:bottom="1440" w:left="1077" w:header="851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仿宋">
    <w:altName w:val="仿宋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q堟慶...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altName w:val="冬青黑体简体中文"/>
    <w:panose1 w:val="020B0609070205080204"/>
    <w:charset w:val="80"/>
    <w:family w:val="modern"/>
    <w:pitch w:val="default"/>
    <w:sig w:usb0="00000000" w:usb1="00000000" w:usb2="08000012" w:usb3="00000000" w:csb0="0002009F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SegoeUI-Bol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YaHei-Bol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YaHe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U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711702706"/>
    </w:sdtPr>
    <w:sdtContent>
      <w:sdt>
        <w:sdtPr>
          <w:id w:val="98381352"/>
        </w:sdtPr>
        <w:sdtContent>
          <w:p w14:paraId="67920CB8">
            <w:pPr>
              <w:pStyle w:val="7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93F3CAE"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C613DC">
    <w:pPr>
      <w:spacing w:before="120" w:beforeLines="50" w:beforeAutospacing="0" w:after="120" w:afterLines="50" w:afterAutospacing="0"/>
      <w:ind w:firstLine="721" w:firstLineChars="200"/>
      <w:rPr>
        <w:b/>
        <w:sz w:val="36"/>
        <w:szCs w:val="36"/>
      </w:rPr>
    </w:pPr>
    <w:r>
      <w:rPr>
        <w:rFonts w:hint="eastAsia"/>
        <w:b/>
        <w:sz w:val="36"/>
        <w:szCs w:val="36"/>
      </w:rPr>
      <w:t>电子工业出版社有限公司教育出版板块选题策划报告</w:t>
    </w:r>
  </w:p>
  <w:p w14:paraId="28C5E695">
    <w:pPr>
      <w:spacing w:before="120" w:beforeLines="50" w:beforeAutospacing="0" w:after="120" w:afterLines="50" w:afterAutospacing="0"/>
      <w:ind w:firstLine="630" w:firstLineChars="300"/>
      <w:jc w:val="both"/>
    </w:pPr>
    <w:r>
      <w:rPr>
        <w:rFonts w:ascii="Times New Roman" w:hAnsi="Times New Roman" w:cs="Times New Roman"/>
        <w:color w:val="000000" w:themeColor="text1"/>
        <w:sz w:val="21"/>
        <w:szCs w:val="21"/>
        <w14:textFill>
          <w14:solidFill>
            <w14:schemeClr w14:val="tx1"/>
          </w14:solidFill>
        </w14:textFill>
      </w:rPr>
      <w:t>*</w:t>
    </w:r>
    <w:r>
      <w:rPr>
        <w:rFonts w:hint="eastAsia" w:ascii="Times New Roman" w:hAnsi="Times New Roman" w:cs="Times New Roman"/>
        <w:color w:val="000000" w:themeColor="text1"/>
        <w:sz w:val="21"/>
        <w:szCs w:val="21"/>
        <w14:textFill>
          <w14:solidFill>
            <w14:schemeClr w14:val="tx1"/>
          </w14:solidFill>
        </w14:textFill>
      </w:rPr>
      <w:t>“内容”请参考《电子工业出版社有限公司教育出版板块选题策划报告填写说明（2</w:t>
    </w:r>
    <w:r>
      <w:rPr>
        <w:rFonts w:ascii="Times New Roman" w:hAnsi="Times New Roman" w:cs="Times New Roman"/>
        <w:color w:val="000000" w:themeColor="text1"/>
        <w:sz w:val="21"/>
        <w:szCs w:val="21"/>
        <w14:textFill>
          <w14:solidFill>
            <w14:schemeClr w14:val="tx1"/>
          </w14:solidFill>
        </w14:textFill>
      </w:rPr>
      <w:t>026</w:t>
    </w:r>
    <w:r>
      <w:rPr>
        <w:rFonts w:hint="eastAsia" w:ascii="Times New Roman" w:hAnsi="Times New Roman" w:cs="Times New Roman"/>
        <w:color w:val="000000" w:themeColor="text1"/>
        <w:sz w:val="21"/>
        <w:szCs w:val="21"/>
        <w14:textFill>
          <w14:solidFill>
            <w14:schemeClr w14:val="tx1"/>
          </w14:solidFill>
        </w14:textFill>
      </w:rPr>
      <w:t>版）》</w:t>
    </w:r>
  </w:p>
  <w:p w14:paraId="3D599BAB">
    <w:pPr>
      <w:spacing w:before="120" w:beforeLines="50" w:beforeAutospacing="0" w:after="120" w:afterLines="50" w:afterAutospacing="0"/>
      <w:ind w:firstLine="630" w:firstLineChars="300"/>
      <w:jc w:val="both"/>
      <w:rPr>
        <w:rFonts w:ascii="Times New Roman" w:hAnsi="Times New Roman" w:cs="Times New Roman"/>
        <w:color w:val="000000" w:themeColor="text1"/>
        <w:sz w:val="21"/>
        <w:szCs w:val="21"/>
        <w14:textFill>
          <w14:solidFill>
            <w14:schemeClr w14:val="tx1"/>
          </w14:solidFill>
        </w14:textFill>
      </w:rPr>
    </w:pPr>
    <w:r>
      <w:rPr>
        <w:rFonts w:ascii="Times New Roman" w:hAnsi="Times New Roman" w:cs="Times New Roman"/>
        <w:color w:val="000000" w:themeColor="text1"/>
        <w:sz w:val="21"/>
        <w:szCs w:val="21"/>
        <w14:textFill>
          <w14:solidFill>
            <w14:schemeClr w14:val="tx1"/>
          </w14:solidFill>
        </w14:textFill>
      </w:rPr>
      <w:t xml:space="preserve">* </w:t>
    </w:r>
    <w:r>
      <w:rPr>
        <w:rFonts w:hint="eastAsia" w:ascii="Times New Roman" w:hAnsi="Times New Roman" w:cs="Times New Roman"/>
        <w:color w:val="000000" w:themeColor="text1"/>
        <w:sz w:val="21"/>
        <w:szCs w:val="21"/>
        <w14:textFill>
          <w14:solidFill>
            <w14:schemeClr w14:val="tx1"/>
          </w14:solidFill>
        </w14:textFill>
      </w:rPr>
      <w:t>请按照《电子工业出版社有限公司教材选题论证指标体系（2</w:t>
    </w:r>
    <w:r>
      <w:rPr>
        <w:rFonts w:ascii="Times New Roman" w:hAnsi="Times New Roman" w:cs="Times New Roman"/>
        <w:color w:val="000000" w:themeColor="text1"/>
        <w:sz w:val="21"/>
        <w:szCs w:val="21"/>
        <w14:textFill>
          <w14:solidFill>
            <w14:schemeClr w14:val="tx1"/>
          </w14:solidFill>
        </w14:textFill>
      </w:rPr>
      <w:t>026</w:t>
    </w:r>
    <w:r>
      <w:rPr>
        <w:rFonts w:hint="eastAsia" w:ascii="Times New Roman" w:hAnsi="Times New Roman" w:cs="Times New Roman"/>
        <w:color w:val="000000" w:themeColor="text1"/>
        <w:sz w:val="21"/>
        <w:szCs w:val="21"/>
        <w14:textFill>
          <w14:solidFill>
            <w14:schemeClr w14:val="tx1"/>
          </w14:solidFill>
        </w14:textFill>
      </w:rPr>
      <w:t>年试行）》进行自评打分）</w:t>
    </w:r>
  </w:p>
  <w:p w14:paraId="635BB84B">
    <w:pPr>
      <w:spacing w:before="0" w:beforeAutospacing="0" w:after="0" w:afterAutospacing="0"/>
      <w:ind w:firstLine="720" w:firstLineChars="300"/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bordersDoNotSurroundHeader w:val="0"/>
  <w:bordersDoNotSurroundFooter w:val="0"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537"/>
    <w:rsid w:val="00006254"/>
    <w:rsid w:val="000116ED"/>
    <w:rsid w:val="000129C5"/>
    <w:rsid w:val="000155F9"/>
    <w:rsid w:val="000211C4"/>
    <w:rsid w:val="000214DA"/>
    <w:rsid w:val="0002465F"/>
    <w:rsid w:val="00024CE5"/>
    <w:rsid w:val="00026577"/>
    <w:rsid w:val="000315C8"/>
    <w:rsid w:val="00031D18"/>
    <w:rsid w:val="000324D3"/>
    <w:rsid w:val="00033377"/>
    <w:rsid w:val="00034B15"/>
    <w:rsid w:val="00035CC4"/>
    <w:rsid w:val="00045B70"/>
    <w:rsid w:val="00046199"/>
    <w:rsid w:val="00053B60"/>
    <w:rsid w:val="00056537"/>
    <w:rsid w:val="000567E8"/>
    <w:rsid w:val="00057506"/>
    <w:rsid w:val="0006041C"/>
    <w:rsid w:val="0006458F"/>
    <w:rsid w:val="00067241"/>
    <w:rsid w:val="00072F1B"/>
    <w:rsid w:val="00072F5D"/>
    <w:rsid w:val="00076D36"/>
    <w:rsid w:val="00085313"/>
    <w:rsid w:val="00085B40"/>
    <w:rsid w:val="0008701A"/>
    <w:rsid w:val="00091DFA"/>
    <w:rsid w:val="000921E5"/>
    <w:rsid w:val="0009243A"/>
    <w:rsid w:val="00094806"/>
    <w:rsid w:val="00095BFF"/>
    <w:rsid w:val="000B0558"/>
    <w:rsid w:val="000B1A43"/>
    <w:rsid w:val="000B377C"/>
    <w:rsid w:val="000B64FA"/>
    <w:rsid w:val="000C1852"/>
    <w:rsid w:val="000C4247"/>
    <w:rsid w:val="000D32D8"/>
    <w:rsid w:val="000E29FE"/>
    <w:rsid w:val="000E6079"/>
    <w:rsid w:val="000F0D24"/>
    <w:rsid w:val="000F337A"/>
    <w:rsid w:val="00105882"/>
    <w:rsid w:val="001068D1"/>
    <w:rsid w:val="00106BCF"/>
    <w:rsid w:val="00110A1B"/>
    <w:rsid w:val="00116193"/>
    <w:rsid w:val="00127B3C"/>
    <w:rsid w:val="00127B88"/>
    <w:rsid w:val="00136F8D"/>
    <w:rsid w:val="00140DFB"/>
    <w:rsid w:val="0014154A"/>
    <w:rsid w:val="001469D1"/>
    <w:rsid w:val="00151083"/>
    <w:rsid w:val="0015283D"/>
    <w:rsid w:val="0016163F"/>
    <w:rsid w:val="001652C1"/>
    <w:rsid w:val="0016611F"/>
    <w:rsid w:val="001810F7"/>
    <w:rsid w:val="00182C82"/>
    <w:rsid w:val="00184F8B"/>
    <w:rsid w:val="001855B2"/>
    <w:rsid w:val="0018601C"/>
    <w:rsid w:val="00193744"/>
    <w:rsid w:val="001975BF"/>
    <w:rsid w:val="001A1B01"/>
    <w:rsid w:val="001A1B9A"/>
    <w:rsid w:val="001A2809"/>
    <w:rsid w:val="001A3D56"/>
    <w:rsid w:val="001A5B21"/>
    <w:rsid w:val="001B37AE"/>
    <w:rsid w:val="001B3EB0"/>
    <w:rsid w:val="001B5563"/>
    <w:rsid w:val="001B7C2D"/>
    <w:rsid w:val="001C0C64"/>
    <w:rsid w:val="001C284B"/>
    <w:rsid w:val="001D3DD2"/>
    <w:rsid w:val="001D4D7B"/>
    <w:rsid w:val="001D4DF0"/>
    <w:rsid w:val="001D527E"/>
    <w:rsid w:val="001D60B8"/>
    <w:rsid w:val="001D7761"/>
    <w:rsid w:val="001E1117"/>
    <w:rsid w:val="001E23F3"/>
    <w:rsid w:val="001E28BB"/>
    <w:rsid w:val="001E5419"/>
    <w:rsid w:val="001E6AFC"/>
    <w:rsid w:val="001F4C54"/>
    <w:rsid w:val="00200619"/>
    <w:rsid w:val="0020444D"/>
    <w:rsid w:val="00205626"/>
    <w:rsid w:val="00216916"/>
    <w:rsid w:val="002171F5"/>
    <w:rsid w:val="00222B46"/>
    <w:rsid w:val="00223F46"/>
    <w:rsid w:val="0023370B"/>
    <w:rsid w:val="00233975"/>
    <w:rsid w:val="00234128"/>
    <w:rsid w:val="00237F49"/>
    <w:rsid w:val="00240398"/>
    <w:rsid w:val="00247C8E"/>
    <w:rsid w:val="0025174B"/>
    <w:rsid w:val="00252664"/>
    <w:rsid w:val="00253B96"/>
    <w:rsid w:val="002602C7"/>
    <w:rsid w:val="002618A3"/>
    <w:rsid w:val="00263480"/>
    <w:rsid w:val="00264619"/>
    <w:rsid w:val="00270C62"/>
    <w:rsid w:val="00272196"/>
    <w:rsid w:val="002739AE"/>
    <w:rsid w:val="0027538D"/>
    <w:rsid w:val="002769C1"/>
    <w:rsid w:val="00276CB9"/>
    <w:rsid w:val="0028015D"/>
    <w:rsid w:val="002806CF"/>
    <w:rsid w:val="0029298D"/>
    <w:rsid w:val="00293237"/>
    <w:rsid w:val="002A063D"/>
    <w:rsid w:val="002A1B41"/>
    <w:rsid w:val="002A1FC9"/>
    <w:rsid w:val="002A2AFC"/>
    <w:rsid w:val="002A4D38"/>
    <w:rsid w:val="002A656D"/>
    <w:rsid w:val="002B0996"/>
    <w:rsid w:val="002B44F3"/>
    <w:rsid w:val="002B762E"/>
    <w:rsid w:val="002B7E1F"/>
    <w:rsid w:val="002C4A88"/>
    <w:rsid w:val="002C5543"/>
    <w:rsid w:val="002C7D7B"/>
    <w:rsid w:val="002D564F"/>
    <w:rsid w:val="002D698C"/>
    <w:rsid w:val="002E2BC8"/>
    <w:rsid w:val="002E4E96"/>
    <w:rsid w:val="002E5742"/>
    <w:rsid w:val="002E6361"/>
    <w:rsid w:val="002F08B2"/>
    <w:rsid w:val="002F09F6"/>
    <w:rsid w:val="002F0E4F"/>
    <w:rsid w:val="002F635F"/>
    <w:rsid w:val="00302743"/>
    <w:rsid w:val="003140C4"/>
    <w:rsid w:val="003153B9"/>
    <w:rsid w:val="00322476"/>
    <w:rsid w:val="00323E49"/>
    <w:rsid w:val="003246C1"/>
    <w:rsid w:val="00324C79"/>
    <w:rsid w:val="0032752D"/>
    <w:rsid w:val="003363B8"/>
    <w:rsid w:val="003371E2"/>
    <w:rsid w:val="003403BE"/>
    <w:rsid w:val="00342A0B"/>
    <w:rsid w:val="003430EA"/>
    <w:rsid w:val="003437CF"/>
    <w:rsid w:val="00345B68"/>
    <w:rsid w:val="003463DB"/>
    <w:rsid w:val="0035148B"/>
    <w:rsid w:val="00352369"/>
    <w:rsid w:val="00364EE5"/>
    <w:rsid w:val="00365C4B"/>
    <w:rsid w:val="00367A32"/>
    <w:rsid w:val="0037083B"/>
    <w:rsid w:val="00382209"/>
    <w:rsid w:val="00382492"/>
    <w:rsid w:val="003838E4"/>
    <w:rsid w:val="00392DF2"/>
    <w:rsid w:val="00393553"/>
    <w:rsid w:val="00396965"/>
    <w:rsid w:val="003A000E"/>
    <w:rsid w:val="003A080F"/>
    <w:rsid w:val="003A1C78"/>
    <w:rsid w:val="003A28CF"/>
    <w:rsid w:val="003A3F4C"/>
    <w:rsid w:val="003A4266"/>
    <w:rsid w:val="003B09CA"/>
    <w:rsid w:val="003B59B7"/>
    <w:rsid w:val="003B6D9E"/>
    <w:rsid w:val="003C1F0C"/>
    <w:rsid w:val="003C73F7"/>
    <w:rsid w:val="003D2719"/>
    <w:rsid w:val="003D7ABE"/>
    <w:rsid w:val="003E154C"/>
    <w:rsid w:val="003E18A4"/>
    <w:rsid w:val="003E3C25"/>
    <w:rsid w:val="003E445A"/>
    <w:rsid w:val="003E4485"/>
    <w:rsid w:val="003E4B4C"/>
    <w:rsid w:val="003E5578"/>
    <w:rsid w:val="003E7212"/>
    <w:rsid w:val="003F2CB7"/>
    <w:rsid w:val="003F3AF7"/>
    <w:rsid w:val="00404D59"/>
    <w:rsid w:val="004059AA"/>
    <w:rsid w:val="00411E28"/>
    <w:rsid w:val="00412C70"/>
    <w:rsid w:val="00416A6E"/>
    <w:rsid w:val="004177A8"/>
    <w:rsid w:val="00417811"/>
    <w:rsid w:val="00424F03"/>
    <w:rsid w:val="004257E5"/>
    <w:rsid w:val="004260EF"/>
    <w:rsid w:val="00430139"/>
    <w:rsid w:val="00430653"/>
    <w:rsid w:val="004310B1"/>
    <w:rsid w:val="0043560C"/>
    <w:rsid w:val="0043787C"/>
    <w:rsid w:val="0045753D"/>
    <w:rsid w:val="00462ABE"/>
    <w:rsid w:val="0046411C"/>
    <w:rsid w:val="00464AAD"/>
    <w:rsid w:val="004714A0"/>
    <w:rsid w:val="004725E0"/>
    <w:rsid w:val="004726D3"/>
    <w:rsid w:val="00475D82"/>
    <w:rsid w:val="0047701E"/>
    <w:rsid w:val="00486342"/>
    <w:rsid w:val="00486A08"/>
    <w:rsid w:val="004952E9"/>
    <w:rsid w:val="004974D1"/>
    <w:rsid w:val="004A2EE4"/>
    <w:rsid w:val="004A6BAE"/>
    <w:rsid w:val="004B12C6"/>
    <w:rsid w:val="004B54F9"/>
    <w:rsid w:val="004B5B2F"/>
    <w:rsid w:val="004C02AA"/>
    <w:rsid w:val="004C2AF2"/>
    <w:rsid w:val="004C6185"/>
    <w:rsid w:val="004D12FB"/>
    <w:rsid w:val="004D3843"/>
    <w:rsid w:val="004D4369"/>
    <w:rsid w:val="004D758A"/>
    <w:rsid w:val="004D78E4"/>
    <w:rsid w:val="004E0315"/>
    <w:rsid w:val="004E0CA9"/>
    <w:rsid w:val="004E110F"/>
    <w:rsid w:val="004E1A9E"/>
    <w:rsid w:val="004E3A02"/>
    <w:rsid w:val="004F1A80"/>
    <w:rsid w:val="004F1AD3"/>
    <w:rsid w:val="004F52CC"/>
    <w:rsid w:val="004F556A"/>
    <w:rsid w:val="004F6F83"/>
    <w:rsid w:val="0050243C"/>
    <w:rsid w:val="00504744"/>
    <w:rsid w:val="00507C76"/>
    <w:rsid w:val="00510FF1"/>
    <w:rsid w:val="00512421"/>
    <w:rsid w:val="00513BFA"/>
    <w:rsid w:val="00513ECF"/>
    <w:rsid w:val="00515643"/>
    <w:rsid w:val="00517904"/>
    <w:rsid w:val="005215BE"/>
    <w:rsid w:val="0052621E"/>
    <w:rsid w:val="00533CC8"/>
    <w:rsid w:val="005375E7"/>
    <w:rsid w:val="00552974"/>
    <w:rsid w:val="005547F3"/>
    <w:rsid w:val="00562486"/>
    <w:rsid w:val="00565922"/>
    <w:rsid w:val="005717F2"/>
    <w:rsid w:val="00571A3A"/>
    <w:rsid w:val="00573DAB"/>
    <w:rsid w:val="00575735"/>
    <w:rsid w:val="005800AA"/>
    <w:rsid w:val="00582467"/>
    <w:rsid w:val="00591508"/>
    <w:rsid w:val="00591863"/>
    <w:rsid w:val="005924CE"/>
    <w:rsid w:val="00596F26"/>
    <w:rsid w:val="00596FC7"/>
    <w:rsid w:val="005A0D0D"/>
    <w:rsid w:val="005A1FF6"/>
    <w:rsid w:val="005A3F1B"/>
    <w:rsid w:val="005A42BD"/>
    <w:rsid w:val="005A4C33"/>
    <w:rsid w:val="005A5AF6"/>
    <w:rsid w:val="005B2670"/>
    <w:rsid w:val="005B2E04"/>
    <w:rsid w:val="005B4299"/>
    <w:rsid w:val="005B4A4B"/>
    <w:rsid w:val="005B7547"/>
    <w:rsid w:val="005C13A5"/>
    <w:rsid w:val="005C3586"/>
    <w:rsid w:val="005C7463"/>
    <w:rsid w:val="005C7C7B"/>
    <w:rsid w:val="005C7F2E"/>
    <w:rsid w:val="005D0C7E"/>
    <w:rsid w:val="005D2F99"/>
    <w:rsid w:val="005D307D"/>
    <w:rsid w:val="005E256F"/>
    <w:rsid w:val="005E5278"/>
    <w:rsid w:val="005F118E"/>
    <w:rsid w:val="005F21B2"/>
    <w:rsid w:val="005F24D8"/>
    <w:rsid w:val="005F2D84"/>
    <w:rsid w:val="005F72B6"/>
    <w:rsid w:val="006029BA"/>
    <w:rsid w:val="00604659"/>
    <w:rsid w:val="00604AFD"/>
    <w:rsid w:val="0061081F"/>
    <w:rsid w:val="00611CF6"/>
    <w:rsid w:val="00612C85"/>
    <w:rsid w:val="006131A1"/>
    <w:rsid w:val="006131F7"/>
    <w:rsid w:val="0061502D"/>
    <w:rsid w:val="0061619B"/>
    <w:rsid w:val="00617D7E"/>
    <w:rsid w:val="00622953"/>
    <w:rsid w:val="00626279"/>
    <w:rsid w:val="006313A6"/>
    <w:rsid w:val="00640BB2"/>
    <w:rsid w:val="00642213"/>
    <w:rsid w:val="00643015"/>
    <w:rsid w:val="00643D3A"/>
    <w:rsid w:val="006541B8"/>
    <w:rsid w:val="006574B4"/>
    <w:rsid w:val="006602F7"/>
    <w:rsid w:val="00660A1D"/>
    <w:rsid w:val="0066193D"/>
    <w:rsid w:val="00664B55"/>
    <w:rsid w:val="00666C0F"/>
    <w:rsid w:val="0067293F"/>
    <w:rsid w:val="00672E42"/>
    <w:rsid w:val="0067348B"/>
    <w:rsid w:val="00676879"/>
    <w:rsid w:val="006817E2"/>
    <w:rsid w:val="006847EA"/>
    <w:rsid w:val="006868BF"/>
    <w:rsid w:val="006868DA"/>
    <w:rsid w:val="00687541"/>
    <w:rsid w:val="006928A7"/>
    <w:rsid w:val="00694DB6"/>
    <w:rsid w:val="00694FF0"/>
    <w:rsid w:val="006A2BFE"/>
    <w:rsid w:val="006A5E8C"/>
    <w:rsid w:val="006A6A60"/>
    <w:rsid w:val="006B3C78"/>
    <w:rsid w:val="006B42E6"/>
    <w:rsid w:val="006B5087"/>
    <w:rsid w:val="006B63F3"/>
    <w:rsid w:val="006C0605"/>
    <w:rsid w:val="006C331A"/>
    <w:rsid w:val="006C4BA3"/>
    <w:rsid w:val="006D2BB8"/>
    <w:rsid w:val="006D779A"/>
    <w:rsid w:val="006E432B"/>
    <w:rsid w:val="006E4557"/>
    <w:rsid w:val="006E4F69"/>
    <w:rsid w:val="006E7065"/>
    <w:rsid w:val="006F5E57"/>
    <w:rsid w:val="007123D5"/>
    <w:rsid w:val="00712A47"/>
    <w:rsid w:val="00712A65"/>
    <w:rsid w:val="007152DD"/>
    <w:rsid w:val="00721A43"/>
    <w:rsid w:val="0072284D"/>
    <w:rsid w:val="0072526E"/>
    <w:rsid w:val="00731C78"/>
    <w:rsid w:val="007326FB"/>
    <w:rsid w:val="00735222"/>
    <w:rsid w:val="00736370"/>
    <w:rsid w:val="0074049B"/>
    <w:rsid w:val="00753377"/>
    <w:rsid w:val="00753C52"/>
    <w:rsid w:val="00754B20"/>
    <w:rsid w:val="00763022"/>
    <w:rsid w:val="00764739"/>
    <w:rsid w:val="007662B4"/>
    <w:rsid w:val="007678A7"/>
    <w:rsid w:val="0077109C"/>
    <w:rsid w:val="0077534E"/>
    <w:rsid w:val="00777629"/>
    <w:rsid w:val="007842C8"/>
    <w:rsid w:val="00787F84"/>
    <w:rsid w:val="00791A84"/>
    <w:rsid w:val="0079270A"/>
    <w:rsid w:val="00792834"/>
    <w:rsid w:val="00797CC8"/>
    <w:rsid w:val="007A09F1"/>
    <w:rsid w:val="007A1C56"/>
    <w:rsid w:val="007A591A"/>
    <w:rsid w:val="007B5185"/>
    <w:rsid w:val="007B5561"/>
    <w:rsid w:val="007B5DED"/>
    <w:rsid w:val="007C1A2E"/>
    <w:rsid w:val="007D1CA1"/>
    <w:rsid w:val="007D4083"/>
    <w:rsid w:val="007D5E08"/>
    <w:rsid w:val="007E0FAB"/>
    <w:rsid w:val="007E2C7B"/>
    <w:rsid w:val="007E457B"/>
    <w:rsid w:val="007E52DB"/>
    <w:rsid w:val="007E5E76"/>
    <w:rsid w:val="007F0EE9"/>
    <w:rsid w:val="007F189C"/>
    <w:rsid w:val="007F2815"/>
    <w:rsid w:val="007F3B44"/>
    <w:rsid w:val="00803427"/>
    <w:rsid w:val="008064CE"/>
    <w:rsid w:val="008120C3"/>
    <w:rsid w:val="008136C1"/>
    <w:rsid w:val="00823BCA"/>
    <w:rsid w:val="00827110"/>
    <w:rsid w:val="00833A55"/>
    <w:rsid w:val="008351F5"/>
    <w:rsid w:val="00835FFF"/>
    <w:rsid w:val="0083623E"/>
    <w:rsid w:val="00844D0F"/>
    <w:rsid w:val="0085061F"/>
    <w:rsid w:val="00851EC1"/>
    <w:rsid w:val="008566F0"/>
    <w:rsid w:val="00856974"/>
    <w:rsid w:val="00857411"/>
    <w:rsid w:val="00863F8F"/>
    <w:rsid w:val="00866535"/>
    <w:rsid w:val="00867144"/>
    <w:rsid w:val="00871D97"/>
    <w:rsid w:val="00875203"/>
    <w:rsid w:val="008763B6"/>
    <w:rsid w:val="00883E51"/>
    <w:rsid w:val="0089539F"/>
    <w:rsid w:val="008A2ABE"/>
    <w:rsid w:val="008A4A19"/>
    <w:rsid w:val="008A5D29"/>
    <w:rsid w:val="008A7E8B"/>
    <w:rsid w:val="008A7F3F"/>
    <w:rsid w:val="008B1338"/>
    <w:rsid w:val="008B58F2"/>
    <w:rsid w:val="008D1F2E"/>
    <w:rsid w:val="008D4006"/>
    <w:rsid w:val="008D536D"/>
    <w:rsid w:val="008E2CB1"/>
    <w:rsid w:val="008E65DE"/>
    <w:rsid w:val="008E6CF1"/>
    <w:rsid w:val="008E722D"/>
    <w:rsid w:val="008F2E84"/>
    <w:rsid w:val="008F7D52"/>
    <w:rsid w:val="00901D30"/>
    <w:rsid w:val="00902766"/>
    <w:rsid w:val="00907CC1"/>
    <w:rsid w:val="0091156D"/>
    <w:rsid w:val="00911C88"/>
    <w:rsid w:val="00913743"/>
    <w:rsid w:val="009143A4"/>
    <w:rsid w:val="00915913"/>
    <w:rsid w:val="009200C8"/>
    <w:rsid w:val="009308D3"/>
    <w:rsid w:val="009377CE"/>
    <w:rsid w:val="0094180A"/>
    <w:rsid w:val="00944A88"/>
    <w:rsid w:val="00944B94"/>
    <w:rsid w:val="00952436"/>
    <w:rsid w:val="00952806"/>
    <w:rsid w:val="0095358B"/>
    <w:rsid w:val="009558A0"/>
    <w:rsid w:val="00955D75"/>
    <w:rsid w:val="009563E4"/>
    <w:rsid w:val="00963494"/>
    <w:rsid w:val="00963DCC"/>
    <w:rsid w:val="00971635"/>
    <w:rsid w:val="00974274"/>
    <w:rsid w:val="009751D0"/>
    <w:rsid w:val="00975B8E"/>
    <w:rsid w:val="00977B12"/>
    <w:rsid w:val="009819EF"/>
    <w:rsid w:val="00981AD6"/>
    <w:rsid w:val="00987AE5"/>
    <w:rsid w:val="00990DD9"/>
    <w:rsid w:val="00992177"/>
    <w:rsid w:val="009931E4"/>
    <w:rsid w:val="009A2C36"/>
    <w:rsid w:val="009A3D7B"/>
    <w:rsid w:val="009A638E"/>
    <w:rsid w:val="009A6E36"/>
    <w:rsid w:val="009B6485"/>
    <w:rsid w:val="009C5EC6"/>
    <w:rsid w:val="009D2210"/>
    <w:rsid w:val="009E0D99"/>
    <w:rsid w:val="009E4FD8"/>
    <w:rsid w:val="009E51FB"/>
    <w:rsid w:val="009F33EC"/>
    <w:rsid w:val="00A0487C"/>
    <w:rsid w:val="00A0690F"/>
    <w:rsid w:val="00A071CF"/>
    <w:rsid w:val="00A07778"/>
    <w:rsid w:val="00A12959"/>
    <w:rsid w:val="00A13385"/>
    <w:rsid w:val="00A15917"/>
    <w:rsid w:val="00A16DBE"/>
    <w:rsid w:val="00A22924"/>
    <w:rsid w:val="00A2312E"/>
    <w:rsid w:val="00A35A9B"/>
    <w:rsid w:val="00A40A79"/>
    <w:rsid w:val="00A41AF3"/>
    <w:rsid w:val="00A43E35"/>
    <w:rsid w:val="00A43ECD"/>
    <w:rsid w:val="00A4540D"/>
    <w:rsid w:val="00A46CC7"/>
    <w:rsid w:val="00A50E11"/>
    <w:rsid w:val="00A514CE"/>
    <w:rsid w:val="00A61563"/>
    <w:rsid w:val="00A6261D"/>
    <w:rsid w:val="00A6616F"/>
    <w:rsid w:val="00A77AF5"/>
    <w:rsid w:val="00A80648"/>
    <w:rsid w:val="00A80BA5"/>
    <w:rsid w:val="00A8123E"/>
    <w:rsid w:val="00A831AD"/>
    <w:rsid w:val="00A87F88"/>
    <w:rsid w:val="00A916FC"/>
    <w:rsid w:val="00A94C3E"/>
    <w:rsid w:val="00A951D0"/>
    <w:rsid w:val="00AA1C5B"/>
    <w:rsid w:val="00AA494F"/>
    <w:rsid w:val="00AA6D39"/>
    <w:rsid w:val="00AA75DA"/>
    <w:rsid w:val="00AB417B"/>
    <w:rsid w:val="00AB7A5D"/>
    <w:rsid w:val="00AC0A9D"/>
    <w:rsid w:val="00AC51D0"/>
    <w:rsid w:val="00AD1B30"/>
    <w:rsid w:val="00AD4F79"/>
    <w:rsid w:val="00AD520E"/>
    <w:rsid w:val="00AD59A8"/>
    <w:rsid w:val="00AD65C0"/>
    <w:rsid w:val="00AE2385"/>
    <w:rsid w:val="00AF3DFE"/>
    <w:rsid w:val="00AF40A7"/>
    <w:rsid w:val="00AF6D2D"/>
    <w:rsid w:val="00B00D5D"/>
    <w:rsid w:val="00B018FA"/>
    <w:rsid w:val="00B057B6"/>
    <w:rsid w:val="00B12DCF"/>
    <w:rsid w:val="00B14CFD"/>
    <w:rsid w:val="00B15A09"/>
    <w:rsid w:val="00B23D32"/>
    <w:rsid w:val="00B4027C"/>
    <w:rsid w:val="00B45E65"/>
    <w:rsid w:val="00B45F88"/>
    <w:rsid w:val="00B50C23"/>
    <w:rsid w:val="00B56B5A"/>
    <w:rsid w:val="00B60BCC"/>
    <w:rsid w:val="00B6206C"/>
    <w:rsid w:val="00B64233"/>
    <w:rsid w:val="00B649F3"/>
    <w:rsid w:val="00B737F6"/>
    <w:rsid w:val="00B76478"/>
    <w:rsid w:val="00B834E0"/>
    <w:rsid w:val="00B847AD"/>
    <w:rsid w:val="00B876B1"/>
    <w:rsid w:val="00B926FF"/>
    <w:rsid w:val="00B92EF6"/>
    <w:rsid w:val="00B9455F"/>
    <w:rsid w:val="00B94642"/>
    <w:rsid w:val="00B9482C"/>
    <w:rsid w:val="00B94D75"/>
    <w:rsid w:val="00B95E68"/>
    <w:rsid w:val="00BA159B"/>
    <w:rsid w:val="00BA2E04"/>
    <w:rsid w:val="00BA3F67"/>
    <w:rsid w:val="00BA6F11"/>
    <w:rsid w:val="00BB7A86"/>
    <w:rsid w:val="00BC0D0E"/>
    <w:rsid w:val="00BD1DF8"/>
    <w:rsid w:val="00BD568B"/>
    <w:rsid w:val="00BD6954"/>
    <w:rsid w:val="00BD735C"/>
    <w:rsid w:val="00BE164B"/>
    <w:rsid w:val="00BE3CAC"/>
    <w:rsid w:val="00BE6AFD"/>
    <w:rsid w:val="00BF343C"/>
    <w:rsid w:val="00C0077E"/>
    <w:rsid w:val="00C01316"/>
    <w:rsid w:val="00C02603"/>
    <w:rsid w:val="00C02E8A"/>
    <w:rsid w:val="00C10991"/>
    <w:rsid w:val="00C13280"/>
    <w:rsid w:val="00C14DC0"/>
    <w:rsid w:val="00C16296"/>
    <w:rsid w:val="00C21C89"/>
    <w:rsid w:val="00C22B40"/>
    <w:rsid w:val="00C24749"/>
    <w:rsid w:val="00C26329"/>
    <w:rsid w:val="00C3029C"/>
    <w:rsid w:val="00C3332B"/>
    <w:rsid w:val="00C348B0"/>
    <w:rsid w:val="00C35BCC"/>
    <w:rsid w:val="00C37746"/>
    <w:rsid w:val="00C4099B"/>
    <w:rsid w:val="00C44E3E"/>
    <w:rsid w:val="00C475FF"/>
    <w:rsid w:val="00C50DBF"/>
    <w:rsid w:val="00C51501"/>
    <w:rsid w:val="00C5317E"/>
    <w:rsid w:val="00C55C4A"/>
    <w:rsid w:val="00C60046"/>
    <w:rsid w:val="00C626B3"/>
    <w:rsid w:val="00C6515E"/>
    <w:rsid w:val="00C66374"/>
    <w:rsid w:val="00C66FBC"/>
    <w:rsid w:val="00C76A14"/>
    <w:rsid w:val="00C77EF4"/>
    <w:rsid w:val="00C81850"/>
    <w:rsid w:val="00C8245F"/>
    <w:rsid w:val="00C8260A"/>
    <w:rsid w:val="00C82CBD"/>
    <w:rsid w:val="00C84C4F"/>
    <w:rsid w:val="00C854DE"/>
    <w:rsid w:val="00C87934"/>
    <w:rsid w:val="00CA7EA7"/>
    <w:rsid w:val="00CB1B34"/>
    <w:rsid w:val="00CB3F08"/>
    <w:rsid w:val="00CC59FD"/>
    <w:rsid w:val="00CC6F0D"/>
    <w:rsid w:val="00CD0311"/>
    <w:rsid w:val="00CD1655"/>
    <w:rsid w:val="00CD30B7"/>
    <w:rsid w:val="00CE3816"/>
    <w:rsid w:val="00CE584D"/>
    <w:rsid w:val="00CE69F5"/>
    <w:rsid w:val="00CE7E93"/>
    <w:rsid w:val="00CF032A"/>
    <w:rsid w:val="00CF036A"/>
    <w:rsid w:val="00CF0A43"/>
    <w:rsid w:val="00CF0BC0"/>
    <w:rsid w:val="00CF1352"/>
    <w:rsid w:val="00CF15BC"/>
    <w:rsid w:val="00CF2032"/>
    <w:rsid w:val="00CF2087"/>
    <w:rsid w:val="00CF398A"/>
    <w:rsid w:val="00D0032F"/>
    <w:rsid w:val="00D01BAD"/>
    <w:rsid w:val="00D0629B"/>
    <w:rsid w:val="00D06704"/>
    <w:rsid w:val="00D100CD"/>
    <w:rsid w:val="00D11C59"/>
    <w:rsid w:val="00D14AE8"/>
    <w:rsid w:val="00D1519F"/>
    <w:rsid w:val="00D240C7"/>
    <w:rsid w:val="00D25D6D"/>
    <w:rsid w:val="00D305F5"/>
    <w:rsid w:val="00D3655F"/>
    <w:rsid w:val="00D43E70"/>
    <w:rsid w:val="00D4786D"/>
    <w:rsid w:val="00D5178E"/>
    <w:rsid w:val="00D6101F"/>
    <w:rsid w:val="00D61ABF"/>
    <w:rsid w:val="00D65C93"/>
    <w:rsid w:val="00D65F0D"/>
    <w:rsid w:val="00D66506"/>
    <w:rsid w:val="00D74172"/>
    <w:rsid w:val="00D7751C"/>
    <w:rsid w:val="00D82282"/>
    <w:rsid w:val="00D930AA"/>
    <w:rsid w:val="00D93D58"/>
    <w:rsid w:val="00D94394"/>
    <w:rsid w:val="00D973E4"/>
    <w:rsid w:val="00DA01E9"/>
    <w:rsid w:val="00DA2CB0"/>
    <w:rsid w:val="00DA5E55"/>
    <w:rsid w:val="00DB2D3B"/>
    <w:rsid w:val="00DB3398"/>
    <w:rsid w:val="00DB35D2"/>
    <w:rsid w:val="00DB6369"/>
    <w:rsid w:val="00DC051B"/>
    <w:rsid w:val="00DC0D69"/>
    <w:rsid w:val="00DC6975"/>
    <w:rsid w:val="00DD0E71"/>
    <w:rsid w:val="00DD3F52"/>
    <w:rsid w:val="00DD404D"/>
    <w:rsid w:val="00DD5218"/>
    <w:rsid w:val="00DD68C7"/>
    <w:rsid w:val="00DE0542"/>
    <w:rsid w:val="00DE3144"/>
    <w:rsid w:val="00DE4B70"/>
    <w:rsid w:val="00DE68EE"/>
    <w:rsid w:val="00E01A95"/>
    <w:rsid w:val="00E046CB"/>
    <w:rsid w:val="00E07DDF"/>
    <w:rsid w:val="00E11FFA"/>
    <w:rsid w:val="00E20AB3"/>
    <w:rsid w:val="00E22B13"/>
    <w:rsid w:val="00E25307"/>
    <w:rsid w:val="00E31B62"/>
    <w:rsid w:val="00E32E0D"/>
    <w:rsid w:val="00E37E85"/>
    <w:rsid w:val="00E40951"/>
    <w:rsid w:val="00E433A8"/>
    <w:rsid w:val="00E51F7E"/>
    <w:rsid w:val="00E6126D"/>
    <w:rsid w:val="00E62691"/>
    <w:rsid w:val="00E65265"/>
    <w:rsid w:val="00E67839"/>
    <w:rsid w:val="00E70706"/>
    <w:rsid w:val="00E71CF8"/>
    <w:rsid w:val="00E7570B"/>
    <w:rsid w:val="00E770CE"/>
    <w:rsid w:val="00E82C95"/>
    <w:rsid w:val="00E8308A"/>
    <w:rsid w:val="00E84C39"/>
    <w:rsid w:val="00E85221"/>
    <w:rsid w:val="00E85424"/>
    <w:rsid w:val="00E85635"/>
    <w:rsid w:val="00E861F5"/>
    <w:rsid w:val="00E95F22"/>
    <w:rsid w:val="00EA0586"/>
    <w:rsid w:val="00EA0FD6"/>
    <w:rsid w:val="00EA39EA"/>
    <w:rsid w:val="00EA3CF2"/>
    <w:rsid w:val="00EA7696"/>
    <w:rsid w:val="00EA7E94"/>
    <w:rsid w:val="00EB2376"/>
    <w:rsid w:val="00EB2410"/>
    <w:rsid w:val="00EB2AF6"/>
    <w:rsid w:val="00EB4E70"/>
    <w:rsid w:val="00EB55CF"/>
    <w:rsid w:val="00EB5D54"/>
    <w:rsid w:val="00EB74CE"/>
    <w:rsid w:val="00EC1CC7"/>
    <w:rsid w:val="00EC1D22"/>
    <w:rsid w:val="00EC385C"/>
    <w:rsid w:val="00EC43BC"/>
    <w:rsid w:val="00EC693A"/>
    <w:rsid w:val="00EC6DBF"/>
    <w:rsid w:val="00ED10B6"/>
    <w:rsid w:val="00ED496E"/>
    <w:rsid w:val="00ED6AE3"/>
    <w:rsid w:val="00EE4288"/>
    <w:rsid w:val="00EE4304"/>
    <w:rsid w:val="00EE4454"/>
    <w:rsid w:val="00EE580F"/>
    <w:rsid w:val="00EE6CA3"/>
    <w:rsid w:val="00EF6710"/>
    <w:rsid w:val="00F00410"/>
    <w:rsid w:val="00F00B26"/>
    <w:rsid w:val="00F04295"/>
    <w:rsid w:val="00F05681"/>
    <w:rsid w:val="00F059A7"/>
    <w:rsid w:val="00F062AA"/>
    <w:rsid w:val="00F06B42"/>
    <w:rsid w:val="00F10D5B"/>
    <w:rsid w:val="00F12D23"/>
    <w:rsid w:val="00F13555"/>
    <w:rsid w:val="00F14202"/>
    <w:rsid w:val="00F14DEF"/>
    <w:rsid w:val="00F171D1"/>
    <w:rsid w:val="00F175AB"/>
    <w:rsid w:val="00F175E0"/>
    <w:rsid w:val="00F214A2"/>
    <w:rsid w:val="00F2333A"/>
    <w:rsid w:val="00F23F92"/>
    <w:rsid w:val="00F3396E"/>
    <w:rsid w:val="00F34694"/>
    <w:rsid w:val="00F40F19"/>
    <w:rsid w:val="00F42A7F"/>
    <w:rsid w:val="00F43E84"/>
    <w:rsid w:val="00F44060"/>
    <w:rsid w:val="00F44FBF"/>
    <w:rsid w:val="00F45CFA"/>
    <w:rsid w:val="00F461EC"/>
    <w:rsid w:val="00F53351"/>
    <w:rsid w:val="00F56569"/>
    <w:rsid w:val="00F6345B"/>
    <w:rsid w:val="00F67047"/>
    <w:rsid w:val="00F71ABD"/>
    <w:rsid w:val="00F734CC"/>
    <w:rsid w:val="00F74894"/>
    <w:rsid w:val="00F748C9"/>
    <w:rsid w:val="00F777A2"/>
    <w:rsid w:val="00F82B80"/>
    <w:rsid w:val="00F850D4"/>
    <w:rsid w:val="00F86C21"/>
    <w:rsid w:val="00F9016D"/>
    <w:rsid w:val="00F945CC"/>
    <w:rsid w:val="00F945D1"/>
    <w:rsid w:val="00FA0497"/>
    <w:rsid w:val="00FA5165"/>
    <w:rsid w:val="00FA5921"/>
    <w:rsid w:val="00FB543B"/>
    <w:rsid w:val="00FB6B10"/>
    <w:rsid w:val="00FC572A"/>
    <w:rsid w:val="00FC6D6E"/>
    <w:rsid w:val="00FD2C6F"/>
    <w:rsid w:val="00FE0CF3"/>
    <w:rsid w:val="00FF0EC5"/>
    <w:rsid w:val="00FF1674"/>
    <w:rsid w:val="00FF26D1"/>
    <w:rsid w:val="01161381"/>
    <w:rsid w:val="02E408D0"/>
    <w:rsid w:val="05665582"/>
    <w:rsid w:val="063720FA"/>
    <w:rsid w:val="065D35AE"/>
    <w:rsid w:val="070B300A"/>
    <w:rsid w:val="0CEA5470"/>
    <w:rsid w:val="0D811B7C"/>
    <w:rsid w:val="0EEC54CF"/>
    <w:rsid w:val="107413BD"/>
    <w:rsid w:val="109007E3"/>
    <w:rsid w:val="11975CCC"/>
    <w:rsid w:val="131119A8"/>
    <w:rsid w:val="1826323D"/>
    <w:rsid w:val="18AD391F"/>
    <w:rsid w:val="19683D93"/>
    <w:rsid w:val="1A951111"/>
    <w:rsid w:val="1D5F1562"/>
    <w:rsid w:val="1DFE2E8D"/>
    <w:rsid w:val="1F5824AE"/>
    <w:rsid w:val="21ED0CDB"/>
    <w:rsid w:val="230F2A20"/>
    <w:rsid w:val="25A11339"/>
    <w:rsid w:val="25C44658"/>
    <w:rsid w:val="273FCDFF"/>
    <w:rsid w:val="2982290A"/>
    <w:rsid w:val="2C550700"/>
    <w:rsid w:val="2CA658E1"/>
    <w:rsid w:val="2D524C40"/>
    <w:rsid w:val="2D6A0964"/>
    <w:rsid w:val="2F106B60"/>
    <w:rsid w:val="2F7B047B"/>
    <w:rsid w:val="32BD0DAD"/>
    <w:rsid w:val="3C2105FF"/>
    <w:rsid w:val="3CB878E1"/>
    <w:rsid w:val="3CD51A3E"/>
    <w:rsid w:val="3E6F7426"/>
    <w:rsid w:val="40921EDA"/>
    <w:rsid w:val="4799729B"/>
    <w:rsid w:val="47C50090"/>
    <w:rsid w:val="498E0956"/>
    <w:rsid w:val="4ACC3E2B"/>
    <w:rsid w:val="4C114457"/>
    <w:rsid w:val="5374757E"/>
    <w:rsid w:val="5483555B"/>
    <w:rsid w:val="54AF6350"/>
    <w:rsid w:val="54B73FB2"/>
    <w:rsid w:val="592D1F39"/>
    <w:rsid w:val="59A321FB"/>
    <w:rsid w:val="5ACE7F2E"/>
    <w:rsid w:val="5B7A7F8E"/>
    <w:rsid w:val="5BB16968"/>
    <w:rsid w:val="5CDD3C76"/>
    <w:rsid w:val="5E03770C"/>
    <w:rsid w:val="5E053485"/>
    <w:rsid w:val="5E951111"/>
    <w:rsid w:val="60C72C73"/>
    <w:rsid w:val="624A590A"/>
    <w:rsid w:val="63EF421C"/>
    <w:rsid w:val="644A1BF1"/>
    <w:rsid w:val="65DC0F6F"/>
    <w:rsid w:val="6736645D"/>
    <w:rsid w:val="6BAC3191"/>
    <w:rsid w:val="6C3B5C3C"/>
    <w:rsid w:val="6CE26D5D"/>
    <w:rsid w:val="6E957F0D"/>
    <w:rsid w:val="6EAB1426"/>
    <w:rsid w:val="70981F36"/>
    <w:rsid w:val="728423BB"/>
    <w:rsid w:val="72DA6836"/>
    <w:rsid w:val="74022171"/>
    <w:rsid w:val="74C613EF"/>
    <w:rsid w:val="766E5C13"/>
    <w:rsid w:val="79540CB1"/>
    <w:rsid w:val="79BA3F83"/>
    <w:rsid w:val="7B9B180B"/>
    <w:rsid w:val="7BE45344"/>
    <w:rsid w:val="7C0D37D8"/>
    <w:rsid w:val="7C11010E"/>
    <w:rsid w:val="7C560E1E"/>
    <w:rsid w:val="7D0F2D34"/>
    <w:rsid w:val="7EA1117D"/>
    <w:rsid w:val="7FE70F2D"/>
    <w:rsid w:val="7FF8479F"/>
    <w:rsid w:val="7FFB56B1"/>
    <w:rsid w:val="9FBEB6F1"/>
    <w:rsid w:val="BFFD5029"/>
    <w:rsid w:val="DD45D296"/>
    <w:rsid w:val="DE4DF0FD"/>
    <w:rsid w:val="E7AF5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0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00" w:afterAutospacing="1"/>
    </w:pPr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link w:val="38"/>
    <w:qFormat/>
    <w:uiPriority w:val="0"/>
    <w:pPr>
      <w:keepNext/>
      <w:keepLines/>
      <w:widowControl w:val="0"/>
      <w:spacing w:before="340" w:beforeAutospacing="0" w:after="330" w:afterAutospacing="0" w:line="576" w:lineRule="auto"/>
      <w:jc w:val="center"/>
      <w:outlineLvl w:val="0"/>
    </w:pPr>
    <w:rPr>
      <w:rFonts w:ascii="Times New Roman" w:hAnsi="Times New Roman" w:cs="Times New Roman"/>
      <w:b/>
      <w:bCs/>
      <w:kern w:val="44"/>
      <w:sz w:val="21"/>
      <w:szCs w:val="44"/>
    </w:rPr>
  </w:style>
  <w:style w:type="paragraph" w:styleId="3">
    <w:name w:val="heading 2"/>
    <w:basedOn w:val="1"/>
    <w:next w:val="1"/>
    <w:link w:val="39"/>
    <w:unhideWhenUsed/>
    <w:qFormat/>
    <w:uiPriority w:val="0"/>
    <w:pPr>
      <w:keepNext/>
      <w:keepLines/>
      <w:widowControl w:val="0"/>
      <w:spacing w:before="260" w:beforeAutospacing="0" w:after="260" w:afterAutospacing="0" w:line="415" w:lineRule="auto"/>
      <w:jc w:val="both"/>
      <w:outlineLvl w:val="1"/>
    </w:pPr>
    <w:rPr>
      <w:rFonts w:ascii="Arial" w:hAnsi="Arial" w:cs="Times New Roman"/>
      <w:b/>
      <w:bCs/>
      <w:kern w:val="2"/>
      <w:szCs w:val="32"/>
    </w:rPr>
  </w:style>
  <w:style w:type="paragraph" w:styleId="4">
    <w:name w:val="heading 3"/>
    <w:basedOn w:val="1"/>
    <w:next w:val="1"/>
    <w:link w:val="40"/>
    <w:unhideWhenUsed/>
    <w:qFormat/>
    <w:uiPriority w:val="0"/>
    <w:pPr>
      <w:keepNext/>
      <w:keepLines/>
      <w:widowControl w:val="0"/>
      <w:spacing w:before="260" w:beforeAutospacing="0" w:after="260" w:afterAutospacing="0" w:line="415" w:lineRule="auto"/>
      <w:jc w:val="both"/>
      <w:outlineLvl w:val="2"/>
    </w:pPr>
    <w:rPr>
      <w:rFonts w:ascii="Times New Roman" w:hAnsi="Times New Roman" w:cs="Times New Roman"/>
      <w:b/>
      <w:bCs/>
      <w:kern w:val="2"/>
      <w:sz w:val="32"/>
      <w:szCs w:val="32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ate"/>
    <w:basedOn w:val="1"/>
    <w:next w:val="1"/>
    <w:link w:val="43"/>
    <w:unhideWhenUsed/>
    <w:qFormat/>
    <w:uiPriority w:val="0"/>
    <w:pPr>
      <w:widowControl w:val="0"/>
      <w:spacing w:before="0" w:beforeAutospacing="0" w:after="0" w:afterAutospacing="0"/>
      <w:ind w:left="100" w:leftChars="2500"/>
      <w:jc w:val="both"/>
    </w:pPr>
    <w:rPr>
      <w:rFonts w:ascii="Times New Roman" w:hAnsi="Times New Roman" w:cs="Times New Roman"/>
      <w:kern w:val="2"/>
      <w:sz w:val="21"/>
    </w:rPr>
  </w:style>
  <w:style w:type="paragraph" w:styleId="6">
    <w:name w:val="Balloon Text"/>
    <w:basedOn w:val="1"/>
    <w:link w:val="20"/>
    <w:unhideWhenUsed/>
    <w:qFormat/>
    <w:uiPriority w:val="0"/>
    <w:rPr>
      <w:sz w:val="18"/>
      <w:szCs w:val="18"/>
    </w:rPr>
  </w:style>
  <w:style w:type="paragraph" w:styleId="7">
    <w:name w:val="footer"/>
    <w:basedOn w:val="1"/>
    <w:link w:val="22"/>
    <w:unhideWhenUsed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semiHidden/>
    <w:unhideWhenUsed/>
    <w:qFormat/>
    <w:uiPriority w:val="99"/>
  </w:style>
  <w:style w:type="paragraph" w:styleId="10">
    <w:name w:val="Title"/>
    <w:basedOn w:val="1"/>
    <w:next w:val="1"/>
    <w:link w:val="42"/>
    <w:qFormat/>
    <w:uiPriority w:val="0"/>
    <w:pPr>
      <w:widowControl w:val="0"/>
      <w:spacing w:before="240" w:beforeAutospacing="0" w:after="60" w:afterAutospacing="0"/>
      <w:jc w:val="center"/>
      <w:outlineLvl w:val="0"/>
    </w:pPr>
    <w:rPr>
      <w:rFonts w:ascii="Cambria" w:hAnsi="Cambria" w:cs="Times New Roman"/>
      <w:b/>
      <w:bCs/>
      <w:kern w:val="2"/>
      <w:sz w:val="32"/>
      <w:szCs w:val="32"/>
    </w:rPr>
  </w:style>
  <w:style w:type="table" w:styleId="12">
    <w:name w:val="Table Grid"/>
    <w:basedOn w:val="11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  <w:bCs/>
    </w:rPr>
  </w:style>
  <w:style w:type="character" w:styleId="15">
    <w:name w:val="page number"/>
    <w:basedOn w:val="13"/>
    <w:qFormat/>
    <w:uiPriority w:val="0"/>
  </w:style>
  <w:style w:type="character" w:styleId="16">
    <w:name w:val="FollowedHyperlink"/>
    <w:basedOn w:val="13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7">
    <w:name w:val="Emphasis"/>
    <w:basedOn w:val="13"/>
    <w:qFormat/>
    <w:uiPriority w:val="0"/>
    <w:rPr>
      <w:b/>
      <w:color w:val="C00000"/>
    </w:rPr>
  </w:style>
  <w:style w:type="character" w:styleId="18">
    <w:name w:val="Hyperlink"/>
    <w:basedOn w:val="13"/>
    <w:unhideWhenUsed/>
    <w:qFormat/>
    <w:uiPriority w:val="99"/>
    <w:rPr>
      <w:color w:val="0000FF"/>
      <w:u w:val="none"/>
    </w:rPr>
  </w:style>
  <w:style w:type="paragraph" w:styleId="19">
    <w:name w:val="List Paragraph"/>
    <w:basedOn w:val="1"/>
    <w:qFormat/>
    <w:uiPriority w:val="34"/>
    <w:pPr>
      <w:widowControl w:val="0"/>
      <w:spacing w:before="0" w:beforeAutospacing="0" w:after="0" w:afterAutospacing="0"/>
      <w:ind w:firstLine="420" w:firstLineChars="200"/>
      <w:jc w:val="both"/>
    </w:pPr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20">
    <w:name w:val="批注框文本 字符"/>
    <w:basedOn w:val="13"/>
    <w:link w:val="6"/>
    <w:semiHidden/>
    <w:qFormat/>
    <w:uiPriority w:val="99"/>
    <w:rPr>
      <w:sz w:val="18"/>
      <w:szCs w:val="18"/>
    </w:rPr>
  </w:style>
  <w:style w:type="character" w:customStyle="1" w:styleId="21">
    <w:name w:val="页眉 字符"/>
    <w:basedOn w:val="13"/>
    <w:link w:val="8"/>
    <w:qFormat/>
    <w:uiPriority w:val="99"/>
    <w:rPr>
      <w:rFonts w:ascii="宋体" w:hAnsi="宋体" w:eastAsia="宋体" w:cs="宋体"/>
      <w:kern w:val="0"/>
      <w:sz w:val="18"/>
      <w:szCs w:val="18"/>
    </w:rPr>
  </w:style>
  <w:style w:type="character" w:customStyle="1" w:styleId="22">
    <w:name w:val="页脚 字符"/>
    <w:basedOn w:val="13"/>
    <w:link w:val="7"/>
    <w:qFormat/>
    <w:uiPriority w:val="99"/>
    <w:rPr>
      <w:rFonts w:ascii="宋体" w:hAnsi="宋体" w:eastAsia="宋体" w:cs="宋体"/>
      <w:kern w:val="0"/>
      <w:sz w:val="18"/>
      <w:szCs w:val="18"/>
    </w:rPr>
  </w:style>
  <w:style w:type="character" w:customStyle="1" w:styleId="23">
    <w:name w:val="样式1 Char"/>
    <w:basedOn w:val="13"/>
    <w:link w:val="24"/>
    <w:qFormat/>
    <w:locked/>
    <w:uiPriority w:val="0"/>
    <w:rPr>
      <w:rFonts w:ascii="宋体" w:hAnsi="宋体" w:eastAsia="宋体"/>
      <w:szCs w:val="24"/>
    </w:rPr>
  </w:style>
  <w:style w:type="paragraph" w:customStyle="1" w:styleId="24">
    <w:name w:val="样式1"/>
    <w:basedOn w:val="1"/>
    <w:link w:val="23"/>
    <w:qFormat/>
    <w:uiPriority w:val="0"/>
    <w:pPr>
      <w:widowControl w:val="0"/>
      <w:spacing w:before="0" w:beforeAutospacing="0" w:after="0" w:afterAutospacing="0" w:line="360" w:lineRule="auto"/>
      <w:jc w:val="both"/>
      <w:outlineLvl w:val="1"/>
    </w:pPr>
    <w:rPr>
      <w:rFonts w:cstheme="minorBidi"/>
      <w:kern w:val="2"/>
      <w:sz w:val="21"/>
    </w:rPr>
  </w:style>
  <w:style w:type="character" w:customStyle="1" w:styleId="25">
    <w:name w:val="标题 1 字符"/>
    <w:basedOn w:val="13"/>
    <w:qFormat/>
    <w:uiPriority w:val="9"/>
    <w:rPr>
      <w:rFonts w:ascii="宋体" w:hAnsi="宋体" w:eastAsia="宋体" w:cs="宋体"/>
      <w:b/>
      <w:bCs/>
      <w:kern w:val="44"/>
      <w:sz w:val="44"/>
      <w:szCs w:val="44"/>
    </w:rPr>
  </w:style>
  <w:style w:type="character" w:customStyle="1" w:styleId="26">
    <w:name w:val="标题 2 字符"/>
    <w:basedOn w:val="13"/>
    <w:semiHidden/>
    <w:qFormat/>
    <w:uiPriority w:val="9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customStyle="1" w:styleId="27">
    <w:name w:val="标题 3 字符"/>
    <w:basedOn w:val="13"/>
    <w:semiHidden/>
    <w:qFormat/>
    <w:uiPriority w:val="9"/>
    <w:rPr>
      <w:rFonts w:ascii="宋体" w:hAnsi="宋体" w:eastAsia="宋体" w:cs="宋体"/>
      <w:b/>
      <w:bCs/>
      <w:kern w:val="0"/>
      <w:sz w:val="32"/>
      <w:szCs w:val="32"/>
    </w:rPr>
  </w:style>
  <w:style w:type="character" w:customStyle="1" w:styleId="28">
    <w:name w:val="访问过的超链接1"/>
    <w:basedOn w:val="13"/>
    <w:semiHidden/>
    <w:unhideWhenUsed/>
    <w:qFormat/>
    <w:uiPriority w:val="99"/>
    <w:rPr>
      <w:color w:val="954F72"/>
      <w:u w:val="single"/>
    </w:rPr>
  </w:style>
  <w:style w:type="paragraph" w:customStyle="1" w:styleId="29">
    <w:name w:val="msonormal"/>
    <w:basedOn w:val="1"/>
    <w:qFormat/>
    <w:uiPriority w:val="0"/>
  </w:style>
  <w:style w:type="character" w:customStyle="1" w:styleId="30">
    <w:name w:val="标题 字符"/>
    <w:basedOn w:val="13"/>
    <w:qFormat/>
    <w:uiPriority w:val="10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customStyle="1" w:styleId="31">
    <w:name w:val="日期 字符"/>
    <w:basedOn w:val="13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paragraph" w:customStyle="1" w:styleId="32">
    <w:name w:val="TOC 标题1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33">
    <w:name w:val="ask-title2"/>
    <w:basedOn w:val="13"/>
    <w:qFormat/>
    <w:uiPriority w:val="0"/>
  </w:style>
  <w:style w:type="character" w:customStyle="1" w:styleId="34">
    <w:name w:val="element-invisible"/>
    <w:basedOn w:val="13"/>
    <w:qFormat/>
    <w:uiPriority w:val="0"/>
  </w:style>
  <w:style w:type="character" w:customStyle="1" w:styleId="35">
    <w:name w:val="qname"/>
    <w:basedOn w:val="13"/>
    <w:qFormat/>
    <w:uiPriority w:val="0"/>
  </w:style>
  <w:style w:type="character" w:customStyle="1" w:styleId="36">
    <w:name w:val="页眉 字符1"/>
    <w:basedOn w:val="13"/>
    <w:semiHidden/>
    <w:qFormat/>
    <w:locked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37">
    <w:name w:val="页脚 字符1"/>
    <w:basedOn w:val="13"/>
    <w:semiHidden/>
    <w:qFormat/>
    <w:locked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38">
    <w:name w:val="标题 1 字符1"/>
    <w:basedOn w:val="13"/>
    <w:link w:val="2"/>
    <w:qFormat/>
    <w:locked/>
    <w:uiPriority w:val="0"/>
    <w:rPr>
      <w:rFonts w:ascii="Times New Roman" w:hAnsi="Times New Roman" w:eastAsia="宋体" w:cs="Times New Roman"/>
      <w:b/>
      <w:bCs/>
      <w:kern w:val="44"/>
      <w:szCs w:val="44"/>
    </w:rPr>
  </w:style>
  <w:style w:type="character" w:customStyle="1" w:styleId="39">
    <w:name w:val="标题 2 字符1"/>
    <w:basedOn w:val="13"/>
    <w:link w:val="3"/>
    <w:semiHidden/>
    <w:qFormat/>
    <w:locked/>
    <w:uiPriority w:val="0"/>
    <w:rPr>
      <w:rFonts w:ascii="Arial" w:hAnsi="Arial" w:eastAsia="宋体" w:cs="Times New Roman"/>
      <w:b/>
      <w:bCs/>
      <w:sz w:val="24"/>
      <w:szCs w:val="32"/>
    </w:rPr>
  </w:style>
  <w:style w:type="character" w:customStyle="1" w:styleId="40">
    <w:name w:val="标题 3 字符1"/>
    <w:basedOn w:val="13"/>
    <w:link w:val="4"/>
    <w:semiHidden/>
    <w:qFormat/>
    <w:locked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41">
    <w:name w:val="m_s10"/>
    <w:basedOn w:val="13"/>
    <w:qFormat/>
    <w:uiPriority w:val="0"/>
  </w:style>
  <w:style w:type="character" w:customStyle="1" w:styleId="42">
    <w:name w:val="标题 字符1"/>
    <w:basedOn w:val="13"/>
    <w:link w:val="10"/>
    <w:qFormat/>
    <w:locked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43">
    <w:name w:val="日期 字符1"/>
    <w:basedOn w:val="13"/>
    <w:link w:val="5"/>
    <w:semiHidden/>
    <w:qFormat/>
    <w:locked/>
    <w:uiPriority w:val="0"/>
    <w:rPr>
      <w:rFonts w:ascii="Times New Roman" w:hAnsi="Times New Roman" w:eastAsia="宋体" w:cs="Times New Roman"/>
      <w:szCs w:val="24"/>
    </w:rPr>
  </w:style>
  <w:style w:type="character" w:customStyle="1" w:styleId="44">
    <w:name w:val="批注框文本 字符1"/>
    <w:basedOn w:val="13"/>
    <w:semiHidden/>
    <w:qFormat/>
    <w:locked/>
    <w:uiPriority w:val="0"/>
    <w:rPr>
      <w:rFonts w:ascii="Times New Roman" w:hAnsi="Times New Roman" w:eastAsia="宋体" w:cs="Times New Roman"/>
      <w:sz w:val="18"/>
      <w:szCs w:val="18"/>
    </w:rPr>
  </w:style>
  <w:style w:type="table" w:customStyle="1" w:styleId="45">
    <w:name w:val="网格型1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6">
    <w:name w:val="页眉 Char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47">
    <w:name w:val="页脚 Char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48">
    <w:name w:val="标题 1 Char"/>
    <w:qFormat/>
    <w:uiPriority w:val="0"/>
    <w:rPr>
      <w:rFonts w:ascii="Times New Roman" w:hAnsi="Times New Roman" w:eastAsia="宋体" w:cs="Times New Roman"/>
      <w:b/>
      <w:bCs/>
      <w:kern w:val="44"/>
      <w:szCs w:val="44"/>
    </w:rPr>
  </w:style>
  <w:style w:type="character" w:customStyle="1" w:styleId="49">
    <w:name w:val="标题 2 Char"/>
    <w:qFormat/>
    <w:uiPriority w:val="0"/>
    <w:rPr>
      <w:rFonts w:ascii="Arial" w:hAnsi="Arial" w:eastAsia="宋体" w:cs="Times New Roman"/>
      <w:b/>
      <w:bCs/>
      <w:sz w:val="24"/>
      <w:szCs w:val="32"/>
    </w:rPr>
  </w:style>
  <w:style w:type="character" w:customStyle="1" w:styleId="50">
    <w:name w:val="标题 3 Char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paragraph" w:customStyle="1" w:styleId="51">
    <w:name w:val="_Style 50"/>
    <w:basedOn w:val="1"/>
    <w:next w:val="1"/>
    <w:autoRedefine/>
    <w:qFormat/>
    <w:uiPriority w:val="39"/>
    <w:pPr>
      <w:widowControl w:val="0"/>
      <w:spacing w:before="0" w:beforeAutospacing="0" w:after="0" w:afterAutospacing="0"/>
      <w:ind w:left="1680"/>
    </w:pPr>
    <w:rPr>
      <w:rFonts w:ascii="Times New Roman" w:hAnsi="Times New Roman" w:cs="Times New Roman"/>
      <w:kern w:val="2"/>
      <w:sz w:val="18"/>
      <w:szCs w:val="18"/>
    </w:rPr>
  </w:style>
  <w:style w:type="character" w:customStyle="1" w:styleId="52">
    <w:name w:val="标题 Char"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53">
    <w:name w:val="日期 Char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54">
    <w:name w:val="批注框文本 Char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55">
    <w:name w:val="未处理的提及1"/>
    <w:basedOn w:val="13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56">
    <w:name w:val="样式 加粗 文字 1 行距: 1.5 倍行距"/>
    <w:basedOn w:val="1"/>
    <w:uiPriority w:val="0"/>
    <w:pPr>
      <w:spacing w:line="360" w:lineRule="auto"/>
      <w:jc w:val="both"/>
    </w:pPr>
    <w:rPr>
      <w:b/>
      <w:bCs/>
      <w:color w:val="000000" w:themeColor="text1"/>
      <w:szCs w:val="20"/>
      <w14:textFill>
        <w14:solidFill>
          <w14:schemeClr w14:val="tx1"/>
        </w14:solidFill>
      </w14:textFill>
    </w:rPr>
  </w:style>
  <w:style w:type="paragraph" w:customStyle="1" w:styleId="57">
    <w:name w:val="Default"/>
    <w:uiPriority w:val="0"/>
    <w:pPr>
      <w:widowControl w:val="0"/>
      <w:autoSpaceDE w:val="0"/>
      <w:autoSpaceDN w:val="0"/>
      <w:adjustRightInd w:val="0"/>
    </w:pPr>
    <w:rPr>
      <w:rFonts w:ascii="仿宋" w:hAnsi="Times New Roman" w:eastAsia="仿宋" w:cs="仿宋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115</Words>
  <Characters>660</Characters>
  <Lines>5</Lines>
  <Paragraphs>1</Paragraphs>
  <TotalTime>14</TotalTime>
  <ScaleCrop>false</ScaleCrop>
  <LinksUpToDate>false</LinksUpToDate>
  <CharactersWithSpaces>774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2026-05-25T15:10:00Z</dcterms:created>
  <dc:creator>赵云峰</dc:creator>
  <cp:lastModifiedBy>Ywt.</cp:lastModifiedBy>
  <cp:lastPrinted>2018-11-22T17:36:00Z</cp:lastPrinted>
  <dcterms:modified xsi:type="dcterms:W3CDTF">2026-06-05T17:30:12Z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70AC4A80069B4A5592B46DF14CEB054B_12</vt:lpwstr>
  </property>
  <property fmtid="{D5CDD505-2E9C-101B-9397-08002B2CF9AE}" pid="4" name="KSOTemplateDocerSaveRecord">
    <vt:lpwstr>eyJoZGlkIjoiMTI0NmZhNGMzYzQ0ZWViMDhiNDVhYTIzYmM1YjZjMTUiLCJ1c2VySWQiOiI3NzE0MTM5NTEifQ==</vt:lpwstr>
  </property>
</Properties>
</file>