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/>
      </w:pPr>
      <w:r>
        <w:rPr>
          <w:rFonts w:eastAsia="Arial" w:cs="Arial"/>
          <w:b/>
          <w:bCs/>
          <w:color w:val="1A1A2E"/>
          <w:sz w:val="52"/>
          <w:szCs w:val="52"/>
        </w:rPr>
        <w:t>Štěpán Spilka</w:t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color w:val="555555"/>
          <w:sz w:val="18"/>
          <w:szCs w:val="18"/>
        </w:rPr>
        <w:t xml:space="preserve">Praha  •  stepa.spilka@gmail.com  •  +420 722 401 222 </w:t>
      </w:r>
    </w:p>
    <w:p>
      <w:pPr>
        <w:pStyle w:val="Normal"/>
        <w:spacing w:before="60" w:after="200"/>
        <w:jc w:val="center"/>
        <w:rPr/>
      </w:pPr>
      <w:r>
        <w:rPr>
          <w:rFonts w:eastAsia="Arial" w:cs="Arial"/>
          <w:i/>
          <w:iCs/>
          <w:color w:val="555555"/>
          <w:sz w:val="20"/>
          <w:szCs w:val="20"/>
        </w:rPr>
        <w:t>Jsem student s technickým základem a pochopením AI, který se chce rozvíjet v obchodu a pomáhat zákazníkům nacházet řešení jejich problémů.</w:t>
      </w:r>
    </w:p>
    <w:p>
      <w:pPr>
        <w:pStyle w:val="Normal"/>
        <w:pBdr>
          <w:bottom w:val="single" w:sz="6" w:space="4" w:color="1F5C99"/>
        </w:pBdr>
        <w:spacing w:before="240" w:after="60"/>
        <w:rPr/>
      </w:pPr>
      <w:r>
        <w:rPr>
          <w:rFonts w:eastAsia="Arial" w:cs="Arial"/>
          <w:b/>
          <w:bCs/>
          <w:color w:val="1F5C99"/>
          <w:sz w:val="26"/>
          <w:szCs w:val="26"/>
        </w:rPr>
        <w:t>PRACOVNÍ ZKUŠENOSTI</w:t>
      </w:r>
    </w:p>
    <w:p>
      <w:pPr>
        <w:pStyle w:val="Normal"/>
        <w:tabs>
          <w:tab w:val="clear" w:pos="720"/>
          <w:tab w:val="right" w:pos="9026" w:leader="none"/>
        </w:tabs>
        <w:spacing w:before="160" w:after="2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>IT analytik &amp; Klíčový kontakt pro klienty</w:t>
      </w:r>
      <w:r>
        <w:rPr>
          <w:rFonts w:eastAsia="Arial" w:cs="Arial"/>
          <w:color w:val="1A1A2E"/>
          <w:sz w:val="22"/>
          <w:szCs w:val="22"/>
        </w:rPr>
        <w:t xml:space="preserve"> – Verisoft (Praha)</w:t>
      </w:r>
      <w:r>
        <w:rPr>
          <w:rFonts w:eastAsia="Arial" w:cs="Arial"/>
          <w:i/>
          <w:iCs/>
          <w:color w:val="555555"/>
          <w:sz w:val="20"/>
          <w:szCs w:val="20"/>
        </w:rPr>
        <w:tab/>
        <w:t>Říjen 2023 – Leden 2025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b/>
          <w:bCs w:val="false"/>
          <w:color w:val="1A1A2E"/>
          <w:sz w:val="20"/>
          <w:szCs w:val="20"/>
        </w:rPr>
        <w:t>Client Management:</w:t>
      </w:r>
      <w:r>
        <w:rPr>
          <w:rFonts w:eastAsia="Arial" w:cs="Arial"/>
          <w:b w:val="false"/>
          <w:bCs w:val="false"/>
          <w:color w:val="1A1A2E"/>
          <w:sz w:val="20"/>
          <w:szCs w:val="20"/>
        </w:rPr>
        <w:t xml:space="preserve"> Působil jsem jako hlavní spojka mezi byznysovými vizemi klientů a technickou realizací vývojářů.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b/>
          <w:bCs w:val="false"/>
          <w:color w:val="1A1A2E"/>
          <w:sz w:val="20"/>
          <w:szCs w:val="20"/>
        </w:rPr>
        <w:t>Prezentační dovednosti:</w:t>
      </w:r>
      <w:r>
        <w:rPr>
          <w:rFonts w:eastAsia="Arial" w:cs="Arial"/>
          <w:b w:val="false"/>
          <w:bCs w:val="false"/>
          <w:color w:val="1A1A2E"/>
          <w:sz w:val="20"/>
          <w:szCs w:val="20"/>
        </w:rPr>
        <w:t xml:space="preserve"> Zodpovídal jsem za prezentace řešení a obhajobu technických i obchodních parametrů projektů přímo před zákazníky.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b/>
          <w:bCs w:val="false"/>
          <w:color w:val="1A1A2E"/>
          <w:sz w:val="20"/>
          <w:szCs w:val="20"/>
        </w:rPr>
        <w:t>Analýza potřeb:</w:t>
      </w:r>
      <w:r>
        <w:rPr>
          <w:rFonts w:eastAsia="Arial" w:cs="Arial"/>
          <w:b w:val="false"/>
          <w:bCs w:val="false"/>
          <w:color w:val="1A1A2E"/>
          <w:sz w:val="20"/>
          <w:szCs w:val="20"/>
        </w:rPr>
        <w:t xml:space="preserve"> Identifikace klíčových bodů zadání a jejich transformace do funkčních modelů.</w:t>
      </w:r>
    </w:p>
    <w:p>
      <w:pPr>
        <w:pStyle w:val="Normal"/>
        <w:tabs>
          <w:tab w:val="clear" w:pos="720"/>
          <w:tab w:val="right" w:pos="9026" w:leader="none"/>
        </w:tabs>
        <w:spacing w:before="160" w:after="2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 xml:space="preserve">AI </w:t>
      </w:r>
      <w:r>
        <w:rPr>
          <w:rFonts w:eastAsia="Arial" w:cs="Arial"/>
          <w:b/>
          <w:bCs/>
          <w:color w:val="1A1A2E"/>
          <w:sz w:val="22"/>
          <w:szCs w:val="22"/>
        </w:rPr>
        <w:t>Evaluátor</w:t>
      </w:r>
      <w:r>
        <w:rPr>
          <w:rFonts w:eastAsia="Arial" w:cs="Arial"/>
          <w:color w:val="1A1A2E"/>
          <w:sz w:val="22"/>
          <w:szCs w:val="22"/>
        </w:rPr>
        <w:t xml:space="preserve"> – DataAnnotation (Remote)</w:t>
      </w:r>
      <w:r>
        <w:rPr>
          <w:rFonts w:eastAsia="Arial" w:cs="Arial"/>
          <w:i/>
          <w:iCs/>
          <w:color w:val="555555"/>
          <w:sz w:val="20"/>
          <w:szCs w:val="20"/>
        </w:rPr>
        <w:tab/>
        <w:t>Březen 2024 – současnost</w:t>
      </w:r>
    </w:p>
    <w:p>
      <w:pPr>
        <w:pStyle w:val="TextBody"/>
        <w:numPr>
          <w:ilvl w:val="0"/>
          <w:numId w:val="7"/>
        </w:numPr>
        <w:spacing w:before="40" w:after="40"/>
        <w:rPr/>
      </w:pPr>
      <w:bookmarkStart w:id="0" w:name="p-rc_578f72bc08abb26f-221"/>
      <w:bookmarkEnd w:id="0"/>
      <w:r>
        <w:rPr>
          <w:rFonts w:eastAsia="Arial" w:cs="Arial"/>
          <w:b/>
          <w:bCs w:val="false"/>
          <w:color w:val="1A1A2E"/>
          <w:sz w:val="20"/>
          <w:szCs w:val="20"/>
        </w:rPr>
        <w:t>Solution Insight:</w:t>
      </w:r>
      <w:r>
        <w:rPr>
          <w:rFonts w:eastAsia="Arial" w:cs="Arial"/>
          <w:b w:val="false"/>
          <w:bCs w:val="false"/>
          <w:color w:val="1A1A2E"/>
          <w:sz w:val="20"/>
          <w:szCs w:val="20"/>
        </w:rPr>
        <w:t xml:space="preserve"> </w:t>
      </w:r>
      <w:r>
        <w:rPr>
          <w:rFonts w:eastAsia="Arial" w:cs="Arial"/>
          <w:b w:val="false"/>
          <w:bCs w:val="false"/>
          <w:color w:val="1A1A2E"/>
          <w:sz w:val="20"/>
          <w:szCs w:val="20"/>
        </w:rPr>
        <w:t>P</w:t>
      </w:r>
      <w:r>
        <w:rPr>
          <w:rFonts w:eastAsia="Arial" w:cs="Arial"/>
          <w:b w:val="false"/>
          <w:bCs w:val="false"/>
          <w:color w:val="1A1A2E"/>
          <w:sz w:val="20"/>
          <w:szCs w:val="20"/>
        </w:rPr>
        <w:t>orozumění fungování LLM modelů, které mi umožňuje realisticky odhadnout přidanou hodnotu AI produktů pro koncového uživatele.</w:t>
      </w:r>
    </w:p>
    <w:p>
      <w:pPr>
        <w:pStyle w:val="TextBody"/>
        <w:numPr>
          <w:ilvl w:val="0"/>
          <w:numId w:val="2"/>
        </w:numPr>
        <w:spacing w:before="40" w:after="40"/>
        <w:rPr/>
      </w:pPr>
      <w:r>
        <w:rPr>
          <w:rFonts w:eastAsia="Arial" w:cs="Arial"/>
          <w:b/>
          <w:bCs w:val="false"/>
          <w:color w:val="1A1A2E"/>
          <w:sz w:val="20"/>
          <w:szCs w:val="20"/>
        </w:rPr>
        <w:t>Kritické myšlení:</w:t>
      </w:r>
      <w:r>
        <w:rPr>
          <w:rFonts w:eastAsia="Arial" w:cs="Arial"/>
          <w:b w:val="false"/>
          <w:bCs w:val="false"/>
          <w:color w:val="1A1A2E"/>
          <w:sz w:val="20"/>
          <w:szCs w:val="20"/>
        </w:rPr>
        <w:t xml:space="preserve"> Práce s moderními nástroji zaměřená na kvalitu výstupů a jejich praktickou použitelnost v byznysu.</w:t>
      </w:r>
    </w:p>
    <w:p>
      <w:pPr>
        <w:pStyle w:val="Normal"/>
        <w:pBdr>
          <w:bottom w:val="single" w:sz="6" w:space="4" w:color="1F5C99"/>
        </w:pBdr>
        <w:spacing w:before="240" w:after="60"/>
        <w:rPr/>
      </w:pPr>
      <w:r>
        <w:rPr>
          <w:rFonts w:eastAsia="Arial" w:cs="Arial"/>
          <w:b/>
          <w:bCs/>
          <w:color w:val="1F5C99"/>
          <w:sz w:val="26"/>
          <w:szCs w:val="26"/>
        </w:rPr>
        <w:t>PROJEKTY &amp; INICIATIVY</w:t>
      </w:r>
    </w:p>
    <w:p>
      <w:pPr>
        <w:pStyle w:val="Normal"/>
        <w:tabs>
          <w:tab w:val="clear" w:pos="720"/>
          <w:tab w:val="right" w:pos="9026" w:leader="none"/>
        </w:tabs>
        <w:spacing w:before="160" w:after="2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>Člen týmu – Incoming Global Volunteer</w:t>
      </w:r>
      <w:r>
        <w:rPr>
          <w:rFonts w:eastAsia="Arial" w:cs="Arial"/>
          <w:color w:val="1A1A2E"/>
          <w:sz w:val="22"/>
          <w:szCs w:val="22"/>
        </w:rPr>
        <w:t xml:space="preserve"> – AIESEC (Praha)</w:t>
      </w:r>
      <w:r>
        <w:rPr>
          <w:rFonts w:eastAsia="Arial" w:cs="Arial"/>
          <w:i/>
          <w:iCs/>
          <w:color w:val="555555"/>
          <w:sz w:val="20"/>
          <w:szCs w:val="20"/>
        </w:rPr>
        <w:tab/>
        <w:t>Březen 2026 – současnost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b/>
          <w:bCs w:val="false"/>
          <w:color w:val="1A1A2E"/>
          <w:sz w:val="20"/>
          <w:szCs w:val="20"/>
        </w:rPr>
        <w:t>Mezinárodní nábor:</w:t>
      </w:r>
      <w:r>
        <w:rPr>
          <w:rFonts w:eastAsia="Arial" w:cs="Arial"/>
          <w:b w:val="false"/>
          <w:bCs w:val="false"/>
          <w:color w:val="1A1A2E"/>
          <w:sz w:val="20"/>
          <w:szCs w:val="20"/>
        </w:rPr>
        <w:t xml:space="preserve"> Aktivní komunikace s lidmi z celého světa, budování sítě kontaktů a networking.</w:t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Arial" w:cs="Arial"/>
          <w:b/>
          <w:bCs w:val="false"/>
          <w:color w:val="1A1A2E"/>
          <w:sz w:val="20"/>
          <w:szCs w:val="20"/>
        </w:rPr>
        <w:t>Kulturní adaptabilita:</w:t>
      </w:r>
      <w:r>
        <w:rPr>
          <w:rFonts w:eastAsia="Arial" w:cs="Arial"/>
          <w:b w:val="false"/>
          <w:bCs w:val="false"/>
          <w:color w:val="1A1A2E"/>
          <w:sz w:val="20"/>
          <w:szCs w:val="20"/>
        </w:rPr>
        <w:t xml:space="preserve"> </w:t>
      </w:r>
      <w:r>
        <w:rPr>
          <w:rFonts w:eastAsia="Arial" w:cs="Arial"/>
          <w:b w:val="false"/>
          <w:bCs w:val="false"/>
          <w:color w:val="1A1A2E"/>
          <w:sz w:val="20"/>
          <w:szCs w:val="20"/>
        </w:rPr>
        <w:t>V</w:t>
      </w:r>
      <w:r>
        <w:rPr>
          <w:rFonts w:eastAsia="Arial" w:cs="Arial"/>
          <w:b w:val="false"/>
          <w:bCs w:val="false"/>
          <w:color w:val="1A1A2E"/>
          <w:sz w:val="20"/>
          <w:szCs w:val="20"/>
        </w:rPr>
        <w:t>yjednávání a spolupráce v mezinárodním týmu.</w:t>
      </w:r>
    </w:p>
    <w:p>
      <w:pPr>
        <w:pStyle w:val="Normal"/>
        <w:tabs>
          <w:tab w:val="clear" w:pos="720"/>
          <w:tab w:val="right" w:pos="9026" w:leader="none"/>
        </w:tabs>
        <w:spacing w:before="160" w:after="2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>Výzkumná spolupráce</w:t>
      </w:r>
      <w:r>
        <w:rPr>
          <w:rFonts w:eastAsia="Arial" w:cs="Arial"/>
          <w:color w:val="1A1A2E"/>
          <w:sz w:val="22"/>
          <w:szCs w:val="22"/>
        </w:rPr>
        <w:t xml:space="preserve"> – Sense Arena (Remote)</w:t>
      </w:r>
      <w:r>
        <w:rPr>
          <w:rFonts w:eastAsia="Arial" w:cs="Arial"/>
          <w:i/>
          <w:iCs/>
          <w:color w:val="555555"/>
          <w:sz w:val="20"/>
          <w:szCs w:val="20"/>
        </w:rPr>
        <w:tab/>
        <w:t>Duben 2025 – současnost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b/>
          <w:bCs w:val="false"/>
          <w:color w:val="1A1A2E"/>
          <w:sz w:val="20"/>
          <w:szCs w:val="20"/>
        </w:rPr>
        <w:t>Data-Driven Sales Support:</w:t>
      </w:r>
      <w:r>
        <w:rPr>
          <w:rFonts w:eastAsia="Arial" w:cs="Arial"/>
          <w:b w:val="false"/>
          <w:bCs w:val="false"/>
          <w:color w:val="1A1A2E"/>
          <w:sz w:val="20"/>
          <w:szCs w:val="20"/>
        </w:rPr>
        <w:t xml:space="preserve"> Analýza efektivity VR tréninku s cílem vytvořit prokazatelné argumenty pro prodejní a marketingové týmy.</w:t>
      </w:r>
    </w:p>
    <w:p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eastAsia="Arial" w:cs="Arial"/>
          <w:b/>
          <w:bCs w:val="false"/>
          <w:color w:val="1A1A2E"/>
          <w:sz w:val="20"/>
          <w:szCs w:val="20"/>
        </w:rPr>
        <w:t>Stakeholder Management:</w:t>
      </w:r>
      <w:r>
        <w:rPr>
          <w:rFonts w:eastAsia="Arial" w:cs="Arial"/>
          <w:b w:val="false"/>
          <w:bCs w:val="false"/>
          <w:color w:val="1A1A2E"/>
          <w:sz w:val="20"/>
          <w:szCs w:val="20"/>
        </w:rPr>
        <w:t xml:space="preserve"> Prezentace a obhajoba výsledků analýz před vedením firmy a konzultace jejich využití v obchodní strategii.</w:t>
      </w:r>
    </w:p>
    <w:p>
      <w:pPr>
        <w:pStyle w:val="Normal"/>
        <w:pBdr>
          <w:bottom w:val="single" w:sz="6" w:space="4" w:color="1F5C99"/>
        </w:pBdr>
        <w:spacing w:before="240" w:after="60"/>
        <w:rPr/>
      </w:pPr>
      <w:r>
        <w:rPr>
          <w:rFonts w:eastAsia="Arial" w:cs="Arial"/>
          <w:b/>
          <w:bCs/>
          <w:color w:val="1F5C99"/>
          <w:sz w:val="26"/>
          <w:szCs w:val="26"/>
        </w:rPr>
        <w:t>VZDĚLÁNÍ</w:t>
      </w:r>
    </w:p>
    <w:p>
      <w:pPr>
        <w:pStyle w:val="Normal"/>
        <w:tabs>
          <w:tab w:val="clear" w:pos="720"/>
          <w:tab w:val="right" w:pos="9026" w:leader="none"/>
        </w:tabs>
        <w:spacing w:before="160" w:after="2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>Kognitivní informatika (Mgr.)</w:t>
      </w:r>
      <w:r>
        <w:rPr>
          <w:rFonts w:eastAsia="Arial" w:cs="Arial"/>
          <w:i/>
          <w:iCs/>
          <w:color w:val="555555"/>
          <w:sz w:val="20"/>
          <w:szCs w:val="20"/>
        </w:rPr>
        <w:tab/>
        <w:t>Září 2024 – současnost</w:t>
      </w:r>
    </w:p>
    <w:p>
      <w:pPr>
        <w:pStyle w:val="Normal"/>
        <w:spacing w:before="0" w:after="20"/>
        <w:rPr/>
      </w:pPr>
      <w:r>
        <w:rPr>
          <w:rFonts w:eastAsia="Arial" w:cs="Arial"/>
          <w:i/>
          <w:iCs/>
          <w:color w:val="555555"/>
          <w:sz w:val="20"/>
          <w:szCs w:val="20"/>
        </w:rPr>
        <w:t>Vysoká škola ekonomická v Praze</w:t>
      </w:r>
    </w:p>
    <w:p>
      <w:pPr>
        <w:pStyle w:val="ListParagraph"/>
        <w:numPr>
          <w:ilvl w:val="0"/>
          <w:numId w:val="12"/>
        </w:numPr>
        <w:spacing w:before="40" w:after="40"/>
        <w:rPr/>
      </w:pPr>
      <w:r>
        <w:rPr>
          <w:rFonts w:eastAsia="Arial" w:cs="Arial"/>
          <w:b/>
          <w:bCs w:val="false"/>
          <w:color w:val="1A1A2E"/>
          <w:sz w:val="20"/>
          <w:szCs w:val="20"/>
        </w:rPr>
        <w:t>Erasmus – ADA University, Ázerbájdžán:</w:t>
      </w:r>
      <w:r>
        <w:rPr>
          <w:rFonts w:eastAsia="Arial" w:cs="Arial"/>
          <w:b w:val="false"/>
          <w:bCs w:val="false"/>
          <w:color w:val="1A1A2E"/>
          <w:sz w:val="20"/>
          <w:szCs w:val="20"/>
        </w:rPr>
        <w:t xml:space="preserve"> Studium v unikátním kulturním prostředí, rozvoj samostatnosti a schopnosti uspět v neznámém tržním prostředí.</w:t>
      </w:r>
    </w:p>
    <w:p>
      <w:pPr>
        <w:pStyle w:val="ListParagraph"/>
        <w:numPr>
          <w:ilvl w:val="0"/>
          <w:numId w:val="13"/>
        </w:numPr>
        <w:spacing w:before="40" w:after="40"/>
        <w:rPr/>
      </w:pPr>
      <w:r>
        <w:rPr>
          <w:rFonts w:eastAsia="Arial" w:cs="Arial"/>
          <w:b/>
          <w:bCs/>
          <w:color w:val="1A1A2E"/>
          <w:sz w:val="20"/>
          <w:szCs w:val="20"/>
        </w:rPr>
        <w:t>Diplomová práce (Sense Arena):</w:t>
      </w:r>
      <w:r>
        <w:rPr>
          <w:rFonts w:eastAsia="Arial" w:cs="Arial"/>
          <w:b w:val="false"/>
          <w:bCs w:val="false"/>
          <w:color w:val="1A1A2E"/>
          <w:sz w:val="20"/>
          <w:szCs w:val="20"/>
        </w:rPr>
        <w:t xml:space="preserve"> </w:t>
      </w:r>
      <w:r>
        <w:rPr>
          <w:rFonts w:eastAsia="Arial" w:cs="Arial"/>
          <w:b w:val="false"/>
          <w:bCs w:val="false"/>
          <w:color w:val="1A1A2E"/>
          <w:sz w:val="20"/>
          <w:szCs w:val="20"/>
        </w:rPr>
        <w:t>Využití VR treninku pro hokejové brankáře</w:t>
      </w:r>
    </w:p>
    <w:p>
      <w:pPr>
        <w:pStyle w:val="Normal"/>
        <w:tabs>
          <w:tab w:val="clear" w:pos="720"/>
          <w:tab w:val="right" w:pos="9026" w:leader="none"/>
        </w:tabs>
        <w:spacing w:before="160" w:after="2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>Matematické metody v ekonomii (Bc.)</w:t>
      </w:r>
      <w:r>
        <w:rPr>
          <w:rFonts w:eastAsia="Arial" w:cs="Arial"/>
          <w:i/>
          <w:iCs/>
          <w:color w:val="555555"/>
          <w:sz w:val="20"/>
          <w:szCs w:val="20"/>
        </w:rPr>
        <w:tab/>
        <w:t>Září 2020 – Červen 2024</w:t>
      </w:r>
    </w:p>
    <w:p>
      <w:pPr>
        <w:pStyle w:val="Normal"/>
        <w:spacing w:before="0" w:after="20"/>
        <w:rPr/>
      </w:pPr>
      <w:r>
        <w:rPr>
          <w:rFonts w:eastAsia="Arial" w:cs="Arial"/>
          <w:i/>
          <w:iCs/>
          <w:color w:val="555555"/>
          <w:sz w:val="20"/>
          <w:szCs w:val="20"/>
        </w:rPr>
        <w:t>Vysoká škola ekonomická v Praze</w:t>
      </w:r>
    </w:p>
    <w:p>
      <w:pPr>
        <w:pStyle w:val="ListParagraph"/>
        <w:numPr>
          <w:ilvl w:val="0"/>
          <w:numId w:val="14"/>
        </w:numPr>
        <w:spacing w:before="40" w:after="40"/>
        <w:rPr/>
      </w:pPr>
      <w:r>
        <w:rPr>
          <w:rFonts w:eastAsia="Arial" w:cs="Arial"/>
          <w:b/>
          <w:bCs w:val="false"/>
          <w:color w:val="1A1A2E"/>
          <w:sz w:val="20"/>
          <w:szCs w:val="20"/>
        </w:rPr>
        <w:t>Erasmus – Tilburg University, Nizozemsko:</w:t>
      </w:r>
      <w:r>
        <w:rPr>
          <w:rFonts w:eastAsia="Arial" w:cs="Arial"/>
          <w:b w:val="false"/>
          <w:bCs w:val="false"/>
          <w:color w:val="1A1A2E"/>
          <w:sz w:val="20"/>
          <w:szCs w:val="20"/>
        </w:rPr>
        <w:t xml:space="preserve"> Absolvování kurzu Creative Entrepreneurship, který mi dal základy </w:t>
      </w:r>
      <w:r>
        <w:rPr>
          <w:rFonts w:eastAsia="Arial" w:cs="Arial"/>
          <w:b w:val="false"/>
          <w:bCs w:val="false"/>
          <w:color w:val="1A1A2E"/>
          <w:sz w:val="20"/>
          <w:szCs w:val="20"/>
        </w:rPr>
        <w:t>kreativního podnikatelského myšlení</w:t>
      </w:r>
      <w:r>
        <w:rPr>
          <w:rFonts w:eastAsia="Arial" w:cs="Arial"/>
          <w:b w:val="false"/>
          <w:bCs w:val="false"/>
          <w:color w:val="1A1A2E"/>
          <w:sz w:val="20"/>
          <w:szCs w:val="20"/>
        </w:rPr>
        <w:t xml:space="preserve"> a tvorby byznys</w:t>
      </w:r>
      <w:r>
        <w:rPr>
          <w:rFonts w:eastAsia="Arial" w:cs="Arial"/>
          <w:b w:val="false"/>
          <w:bCs w:val="false"/>
          <w:color w:val="1A1A2E"/>
          <w:sz w:val="20"/>
          <w:szCs w:val="20"/>
        </w:rPr>
        <w:t>u</w:t>
      </w:r>
      <w:r>
        <w:rPr>
          <w:rFonts w:eastAsia="Arial" w:cs="Arial"/>
          <w:b w:val="false"/>
          <w:bCs w:val="false"/>
          <w:color w:val="1A1A2E"/>
          <w:sz w:val="20"/>
          <w:szCs w:val="20"/>
        </w:rPr>
        <w:t>.</w:t>
      </w:r>
    </w:p>
    <w:p>
      <w:pPr>
        <w:pStyle w:val="ListParagraph"/>
        <w:numPr>
          <w:ilvl w:val="0"/>
          <w:numId w:val="15"/>
        </w:numPr>
        <w:spacing w:before="40" w:after="40"/>
        <w:rPr/>
      </w:pPr>
      <w:r>
        <w:rPr>
          <w:rFonts w:eastAsia="Arial" w:cs="Arial"/>
          <w:b/>
          <w:bCs/>
          <w:color w:val="1A1A2E"/>
          <w:sz w:val="20"/>
          <w:szCs w:val="20"/>
        </w:rPr>
        <w:t>Bakalářská práce:</w:t>
      </w:r>
      <w:r>
        <w:rPr>
          <w:rFonts w:eastAsia="Arial" w:cs="Arial"/>
          <w:b w:val="false"/>
          <w:bCs w:val="false"/>
          <w:color w:val="1A1A2E"/>
          <w:sz w:val="20"/>
          <w:szCs w:val="20"/>
        </w:rPr>
        <w:t xml:space="preserve"> </w:t>
      </w:r>
      <w:r>
        <w:rPr>
          <w:rFonts w:eastAsia="Arial" w:cs="Arial"/>
          <w:b w:val="false"/>
          <w:bCs w:val="false"/>
          <w:color w:val="1A1A2E"/>
          <w:sz w:val="20"/>
          <w:szCs w:val="20"/>
        </w:rPr>
        <w:t>M</w:t>
      </w:r>
      <w:r>
        <w:rPr>
          <w:rFonts w:eastAsia="Arial" w:cs="Arial"/>
          <w:b w:val="false"/>
          <w:bCs w:val="false"/>
          <w:color w:val="1A1A2E"/>
          <w:sz w:val="20"/>
          <w:szCs w:val="20"/>
        </w:rPr>
        <w:t>odelování volatility Bitcoinu</w:t>
      </w:r>
    </w:p>
    <w:p>
      <w:pPr>
        <w:pStyle w:val="Normal"/>
        <w:pBdr>
          <w:bottom w:val="single" w:sz="6" w:space="4" w:color="1F5C99"/>
        </w:pBdr>
        <w:spacing w:before="240" w:after="60"/>
        <w:rPr/>
      </w:pPr>
      <w:r>
        <w:rPr>
          <w:rFonts w:eastAsia="Arial" w:cs="Arial"/>
          <w:b/>
          <w:bCs/>
          <w:color w:val="1F5C99"/>
          <w:sz w:val="26"/>
          <w:szCs w:val="26"/>
        </w:rPr>
        <w:t>JAZYKY &amp; DOVEDNOSTI</w:t>
      </w:r>
    </w:p>
    <w:p>
      <w:pPr>
        <w:pStyle w:val="Normal"/>
        <w:spacing w:before="120" w:after="40"/>
        <w:rPr/>
      </w:pPr>
      <w:r>
        <w:rPr>
          <w:rFonts w:eastAsia="Arial" w:cs="Arial"/>
          <w:b/>
          <w:bCs/>
          <w:color w:val="1A1A2E"/>
          <w:sz w:val="20"/>
          <w:szCs w:val="20"/>
        </w:rPr>
        <w:t xml:space="preserve">Jazyky: </w:t>
      </w:r>
      <w:r>
        <w:rPr>
          <w:rFonts w:eastAsia="Arial" w:cs="Arial"/>
          <w:color w:val="1A1A2E"/>
          <w:sz w:val="20"/>
          <w:szCs w:val="20"/>
        </w:rPr>
        <w:t>Čeština (rodný) • Angličtina (</w:t>
      </w:r>
      <w:r>
        <w:rPr>
          <w:rFonts w:eastAsia="Arial" w:cs="Arial"/>
          <w:color w:val="1A1A2E"/>
          <w:sz w:val="20"/>
          <w:szCs w:val="20"/>
        </w:rPr>
        <w:t>C</w:t>
      </w:r>
      <w:r>
        <w:rPr>
          <w:rFonts w:eastAsia="Arial" w:cs="Arial"/>
          <w:color w:val="1A1A2E"/>
          <w:sz w:val="20"/>
          <w:szCs w:val="20"/>
        </w:rPr>
        <w:t>1/C2</w:t>
      </w:r>
      <w:r>
        <w:rPr>
          <w:rFonts w:eastAsia="Arial" w:cs="Arial"/>
          <w:color w:val="1A1A2E"/>
          <w:sz w:val="20"/>
          <w:szCs w:val="20"/>
        </w:rPr>
        <w:t>) • Němčina (</w:t>
      </w:r>
      <w:r>
        <w:rPr>
          <w:rFonts w:eastAsia="Arial" w:cs="Arial"/>
          <w:color w:val="1A1A2E"/>
          <w:sz w:val="20"/>
          <w:szCs w:val="20"/>
        </w:rPr>
        <w:t>B</w:t>
      </w:r>
      <w:r>
        <w:rPr>
          <w:rFonts w:eastAsia="Arial" w:cs="Arial"/>
          <w:color w:val="1A1A2E"/>
          <w:sz w:val="20"/>
          <w:szCs w:val="20"/>
        </w:rPr>
        <w:t>1/B2</w:t>
      </w:r>
      <w:r>
        <w:rPr>
          <w:rFonts w:eastAsia="Arial" w:cs="Arial"/>
          <w:color w:val="1A1A2E"/>
          <w:sz w:val="20"/>
          <w:szCs w:val="20"/>
        </w:rPr>
        <w:t>) • Španělština (</w:t>
      </w:r>
      <w:r>
        <w:rPr>
          <w:rFonts w:eastAsia="Arial" w:cs="Arial"/>
          <w:color w:val="1A1A2E"/>
          <w:sz w:val="20"/>
          <w:szCs w:val="20"/>
        </w:rPr>
        <w:t>A</w:t>
      </w:r>
      <w:r>
        <w:rPr>
          <w:rFonts w:eastAsia="Arial" w:cs="Arial"/>
          <w:color w:val="1A1A2E"/>
          <w:sz w:val="20"/>
          <w:szCs w:val="20"/>
        </w:rPr>
        <w:t>1</w:t>
      </w:r>
      <w:r>
        <w:rPr>
          <w:rFonts w:eastAsia="Arial" w:cs="Arial"/>
          <w:color w:val="1A1A2E"/>
          <w:sz w:val="20"/>
          <w:szCs w:val="20"/>
        </w:rPr>
        <w:t>)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1A1A2E"/>
          <w:sz w:val="20"/>
          <w:szCs w:val="20"/>
        </w:rPr>
        <w:t>Dovednosti</w:t>
      </w:r>
      <w:r>
        <w:rPr>
          <w:rFonts w:eastAsia="Arial" w:cs="Arial"/>
          <w:b/>
          <w:bCs/>
          <w:color w:val="1A1A2E"/>
          <w:sz w:val="20"/>
          <w:szCs w:val="20"/>
        </w:rPr>
        <w:t xml:space="preserve">: </w:t>
      </w:r>
      <w:r>
        <w:rPr>
          <w:rFonts w:eastAsia="Arial" w:cs="Arial"/>
          <w:b w:val="false"/>
          <w:bCs w:val="false"/>
          <w:color w:val="1A1A2E"/>
          <w:sz w:val="20"/>
          <w:szCs w:val="20"/>
        </w:rPr>
        <w:t xml:space="preserve">Sales </w:t>
      </w:r>
      <w:r>
        <w:rPr>
          <w:rFonts w:eastAsia="Arial" w:cs="Arial"/>
          <w:b w:val="false"/>
          <w:bCs w:val="false"/>
          <w:color w:val="1A1A2E"/>
          <w:sz w:val="20"/>
          <w:szCs w:val="20"/>
        </w:rPr>
        <w:t xml:space="preserve">a </w:t>
      </w:r>
      <w:r>
        <w:rPr>
          <w:rFonts w:eastAsia="Arial" w:cs="Arial"/>
          <w:b w:val="false"/>
          <w:bCs w:val="false"/>
          <w:color w:val="1A1A2E"/>
          <w:sz w:val="20"/>
          <w:szCs w:val="20"/>
        </w:rPr>
        <w:t xml:space="preserve">Business mindset • Prezentace a </w:t>
      </w:r>
      <w:r>
        <w:rPr>
          <w:rFonts w:eastAsia="Arial" w:cs="Arial"/>
          <w:b w:val="false"/>
          <w:bCs w:val="false"/>
          <w:color w:val="1A1A2E"/>
          <w:sz w:val="20"/>
          <w:szCs w:val="20"/>
        </w:rPr>
        <w:t>K</w:t>
      </w:r>
      <w:r>
        <w:rPr>
          <w:rFonts w:eastAsia="Arial" w:cs="Arial"/>
          <w:b w:val="false"/>
          <w:bCs w:val="false"/>
          <w:color w:val="1A1A2E"/>
          <w:sz w:val="20"/>
          <w:szCs w:val="20"/>
        </w:rPr>
        <w:t xml:space="preserve">omunikace • </w:t>
      </w:r>
      <w:r>
        <w:rPr>
          <w:rFonts w:eastAsia="Arial" w:cs="Arial"/>
          <w:b w:val="false"/>
          <w:bCs w:val="false"/>
          <w:color w:val="1A1A2E"/>
          <w:sz w:val="20"/>
          <w:szCs w:val="20"/>
        </w:rPr>
        <w:t>Práce s klienty</w:t>
      </w:r>
    </w:p>
    <w:sectPr>
      <w:type w:val="nextPage"/>
      <w:pgSz w:w="11906" w:h="16838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left"/>
      <w:pPr>
        <w:tabs>
          <w:tab w:val="num" w:pos="0"/>
        </w:tabs>
        <w:ind w:left="540" w:hanging="30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"/>
      <w:lvlJc w:val="left"/>
      <w:pPr>
        <w:tabs>
          <w:tab w:val="num" w:pos="0"/>
        </w:tabs>
        <w:ind w:left="540" w:hanging="30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</w:num>
  <w:num w:numId="5">
    <w:abstractNumId w:val="2"/>
  </w:num>
  <w:num w:numId="6">
    <w:abstractNumId w:val="2"/>
  </w:num>
  <w:num w:numId="7">
    <w:abstractNumId w:val="2"/>
    <w:lvlOverride w:ilvl="0">
      <w:startOverride w:val="1"/>
    </w:lvlOverride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LibreOffice/7.3.7.2$Linux_X86_64 LibreOffice_project/30$Build-2</Application>
  <AppVersion>15.0000</AppVersion>
  <Pages>1</Pages>
  <Words>326</Words>
  <Characters>2071</Characters>
  <CharactersWithSpaces>2372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2026-05-08T12:02:15Z</dcterms:created>
  <dc:creator>Un-named</dc:creator>
  <dc:description/>
  <dc:language>en-US</dc:language>
  <cp:lastModifiedBy/>
  <dcterms:modified xsi:type="dcterms:W3CDTF">2026-05-08T22:36:02Z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