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实验3-4 测试对比试验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宋体"/>
          <w:b/>
          <w:bCs/>
          <w:sz w:val="28"/>
          <w:szCs w:val="28"/>
        </w:rPr>
        <w:t>停等机制与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GBN</w:t>
      </w:r>
      <w:r>
        <w:rPr>
          <w:rFonts w:ascii="Times New Roman" w:hAnsi="Times New Roman" w:eastAsia="宋体"/>
          <w:b/>
          <w:bCs/>
          <w:sz w:val="28"/>
          <w:szCs w:val="28"/>
        </w:rPr>
        <w:t>滑动窗口机制性能对比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都选用1.jpg文件进行测试，文件大小为1814KB。分别设置停等机制和滑动窗口机制的丢包率为0%，5%，10%，20%。统计传输完测试文件的总体测试时间，将结果绘制成图表，如下所示：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1143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上图所示，丢包率为0%时，滑动窗口机制和停等机制相差不大，说明没有丢包时，滑动窗口和停等机制性能相差不大。当丢包率为5%时，滑动窗口所用的时间明显比停等机制所用的时间短，说明滑动窗口机制的性能更好。但当丢包率增长到10%和20%时，停等机制用的时间更短，尤其是20%时滑动窗口机制的时间比停等机制的时间长的更显著，分析原因，可能是丢包率太高滑动窗口机制需要重传的包更多了，增加了时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GBN</w:t>
      </w:r>
      <w:r>
        <w:rPr>
          <w:rFonts w:ascii="Times New Roman" w:hAnsi="Times New Roman" w:eastAsia="宋体"/>
          <w:b/>
          <w:bCs/>
          <w:sz w:val="28"/>
          <w:szCs w:val="28"/>
        </w:rPr>
        <w:t>滑动窗口机制中不同窗口大小对性能的影响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选用1.jpg文件进行测试，文件大小为1814KB。</w:t>
      </w:r>
      <w:r>
        <w:rPr>
          <w:rFonts w:hint="eastAsia"/>
          <w:sz w:val="24"/>
          <w:szCs w:val="24"/>
          <w:lang w:val="en-US" w:eastAsia="zh-CN"/>
        </w:rPr>
        <w:t>设置滑动窗口的大小分别为5，10，15，30，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丢包率为0%，5%，10%，20%进行对比实验。统计传输完文件的总时间，进行画图对比：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1143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上图所示，当没有丢包时（丢包率为0%），可以看到滑动窗口大小为5，10，15，20传输完文件所用的时间相差不大，但总体还是呈时间更少的方向，性能有一定的提升。当丢包率为5%，可以明显看到，随滑动窗口的增大，所用时间减少，说明滑动窗口增大可以提升传输性能。当丢包率为10%和15%时，可以看到，随滑动窗口的增大，所用的时间反而增加了，说明滑动窗口增大削减了性能。原因可能是丢包率高的时候，需要超时重传的的包更多了，增加了时延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t>有拥塞控制和无拥塞控制的性能比较。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设置无拥塞控制时滑动窗口大小最大为20，同时拥塞控制开始设置阈值为16，当滑动窗口增长超过20时，取20（取拥塞控制滑动窗口和流量控制滑动窗口的较小值）。分别统计二者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丢包率为0%，5%，10%，20%时，传输完文件所用的时间。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11430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图所示，当丢包率为0%（没有丢包）时，没有拥塞控制的性能更好一些，但是开始丢包后，发现有拥塞控制的时间都比无拥塞控制的时间断，说明拥塞控制在有丢包时性能更好，且随着丢包率的增大，可以发现差距越来越大，拥塞控制性能优异表现的更显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5B248"/>
    <w:multiLevelType w:val="singleLevel"/>
    <w:tmpl w:val="1215B2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00057855"/>
    <w:rsid w:val="00057855"/>
    <w:rsid w:val="04BA59A5"/>
    <w:rsid w:val="06DA38B3"/>
    <w:rsid w:val="06F757B1"/>
    <w:rsid w:val="07AD1A14"/>
    <w:rsid w:val="086F1377"/>
    <w:rsid w:val="218A5CB1"/>
    <w:rsid w:val="273870AC"/>
    <w:rsid w:val="323B3EF4"/>
    <w:rsid w:val="338A5319"/>
    <w:rsid w:val="346713D3"/>
    <w:rsid w:val="38F3252A"/>
    <w:rsid w:val="45494E01"/>
    <w:rsid w:val="4607616F"/>
    <w:rsid w:val="4E901D52"/>
    <w:rsid w:val="52B9474D"/>
    <w:rsid w:val="540B354D"/>
    <w:rsid w:val="5F230066"/>
    <w:rsid w:val="63464323"/>
    <w:rsid w:val="6401649C"/>
    <w:rsid w:val="648A0240"/>
    <w:rsid w:val="6784409B"/>
    <w:rsid w:val="71145A61"/>
    <w:rsid w:val="71873565"/>
    <w:rsid w:val="73255C89"/>
    <w:rsid w:val="7CFB18E7"/>
    <w:rsid w:val="7D3110DC"/>
    <w:rsid w:val="7F64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停等机制和滑动窗口机制对比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停等机制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21.374</c:v>
                </c:pt>
                <c:pt idx="1">
                  <c:v>30.594</c:v>
                </c:pt>
                <c:pt idx="2">
                  <c:v>37.325</c:v>
                </c:pt>
                <c:pt idx="3">
                  <c:v>53.176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滑动窗口机制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20.616</c:v>
                </c:pt>
                <c:pt idx="1">
                  <c:v>28.658</c:v>
                </c:pt>
                <c:pt idx="2" c:formatCode="#,##0.000">
                  <c:v>38.475</c:v>
                </c:pt>
                <c:pt idx="3">
                  <c:v>56.292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overlap val="0"/>
        <c:axId val="592931859"/>
        <c:axId val="75170701"/>
      </c:barChart>
      <c:catAx>
        <c:axId val="5929318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170701"/>
        <c:crosses val="autoZero"/>
        <c:auto val="1"/>
        <c:lblAlgn val="ctr"/>
        <c:lblOffset val="100"/>
        <c:noMultiLvlLbl val="0"/>
      </c:catAx>
      <c:valAx>
        <c:axId val="7517070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29318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不同滑动窗口大小性能对比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0.15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20.616</c:v>
                </c:pt>
                <c:pt idx="1">
                  <c:v>28.658</c:v>
                </c:pt>
                <c:pt idx="2">
                  <c:v>38.475</c:v>
                </c:pt>
                <c:pt idx="3">
                  <c:v>56.292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0.15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21.59</c:v>
                </c:pt>
                <c:pt idx="1">
                  <c:v>27.167</c:v>
                </c:pt>
                <c:pt idx="2">
                  <c:v>40.112</c:v>
                </c:pt>
                <c:pt idx="3">
                  <c:v>58.251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0.15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20.738</c:v>
                </c:pt>
                <c:pt idx="1">
                  <c:v>26.247</c:v>
                </c:pt>
                <c:pt idx="2">
                  <c:v>41.721</c:v>
                </c:pt>
                <c:pt idx="3">
                  <c:v>60.153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0.15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20.61</c:v>
                </c:pt>
                <c:pt idx="1">
                  <c:v>25.954</c:v>
                </c:pt>
                <c:pt idx="2">
                  <c:v>44.146</c:v>
                </c:pt>
                <c:pt idx="3">
                  <c:v>66.739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4203532"/>
        <c:axId val="87260797"/>
      </c:barChart>
      <c:catAx>
        <c:axId val="4342035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260797"/>
        <c:crosses val="autoZero"/>
        <c:auto val="1"/>
        <c:lblAlgn val="ctr"/>
        <c:lblOffset val="100"/>
        <c:noMultiLvlLbl val="0"/>
      </c:catAx>
      <c:valAx>
        <c:axId val="8726079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42035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拥塞控制和无拥塞控制对比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无拥塞控制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22.101</c:v>
                </c:pt>
                <c:pt idx="1">
                  <c:v>33.19</c:v>
                </c:pt>
                <c:pt idx="2">
                  <c:v>42.2</c:v>
                </c:pt>
                <c:pt idx="3">
                  <c:v>62.961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有拥塞控制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0%</c:formatCode>
                <c:ptCount val="4"/>
                <c:pt idx="0" c:formatCode="0%">
                  <c:v>0</c:v>
                </c:pt>
                <c:pt idx="1" c:formatCode="0%">
                  <c:v>0.05</c:v>
                </c:pt>
                <c:pt idx="2" c:formatCode="0%">
                  <c:v>0.1</c:v>
                </c:pt>
                <c:pt idx="3" c:formatCode="0%">
                  <c:v>0.2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23.113</c:v>
                </c:pt>
                <c:pt idx="1">
                  <c:v>28.38</c:v>
                </c:pt>
                <c:pt idx="2">
                  <c:v>32.469</c:v>
                </c:pt>
                <c:pt idx="3">
                  <c:v>51.595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overlap val="0"/>
        <c:axId val="114295114"/>
        <c:axId val="739808399"/>
      </c:barChart>
      <c:catAx>
        <c:axId val="1142951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808399"/>
        <c:crosses val="autoZero"/>
        <c:auto val="1"/>
        <c:lblAlgn val="ctr"/>
        <c:lblOffset val="100"/>
        <c:noMultiLvlLbl val="0"/>
      </c:catAx>
      <c:valAx>
        <c:axId val="7398083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2951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2022-12-30T02:06:00Z</dcterms:created>
  <dc:creator>栀恋°</dc:creator>
  <cp:lastModifiedBy>栀恋°</cp:lastModifiedBy>
  <dcterms:modified xsi:type="dcterms:W3CDTF">2023-02-07T04:08:48Z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96877C6F49A447A290F3C6EA3FF3D4DE</vt:lpwstr>
  </property>
</Properties>
</file>