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4116C">
      <w:pPr>
        <w:spacing w:after="720"/>
      </w:pPr>
      <w:bookmarkStart w:id="46" w:name="_GoBack"/>
      <w:bookmarkEnd w:id="46"/>
      <w:r>
        <w:drawing>
          <wp:inline distT="0" distB="0" distL="114300" distR="114300">
            <wp:extent cx="657860" cy="657860"/>
            <wp:effectExtent l="0" t="0" r="0" b="0"/>
            <wp:docPr id="1" name="Picture 1" descr="AEGENT logo" title="AE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EGENT logo" title="AEGENT"/>
                    <pic:cNvPicPr>
                      <a:picLocks noChangeAspect="1"/>
                    </pic:cNvPicPr>
                  </pic:nvPicPr>
                  <pic:blipFill>
                    <a:blip r:embed="rId14"/>
                    <a:stretch>
                      <a:fillRect/>
                    </a:stretch>
                  </pic:blipFill>
                  <pic:spPr>
                    <a:xfrm>
                      <a:off x="0" y="0"/>
                      <a:ext cx="658368" cy="658368"/>
                    </a:xfrm>
                    <a:prstGeom prst="rect">
                      <a:avLst/>
                    </a:prstGeom>
                  </pic:spPr>
                </pic:pic>
              </a:graphicData>
            </a:graphic>
          </wp:inline>
        </w:drawing>
      </w:r>
      <w:r>
        <w:rPr>
          <w:rFonts w:ascii="Calibri" w:hAnsi="Calibri" w:eastAsia="Calibri"/>
          <w:b/>
          <w:color w:val="17213C"/>
          <w:sz w:val="22"/>
        </w:rPr>
        <w:t xml:space="preserve">   AEGENT SECURITY REVIEW</w:t>
      </w:r>
    </w:p>
    <w:p w14:paraId="377AC8E1">
      <w:pPr>
        <w:spacing w:after="160"/>
      </w:pPr>
      <w:r>
        <w:rPr>
          <w:rFonts w:ascii="Calibri" w:hAnsi="Calibri" w:eastAsia="Calibri"/>
          <w:b/>
          <w:color w:val="5B4BDB"/>
          <w:sz w:val="18"/>
        </w:rPr>
        <w:t>POINT-IN-TIME FIRST-PARTY ASSESSMENT</w:t>
      </w:r>
    </w:p>
    <w:p w14:paraId="1F09206D">
      <w:pPr>
        <w:pStyle w:val="33"/>
        <w:spacing w:after="160"/>
      </w:pPr>
      <w:r>
        <w:rPr>
          <w:rFonts w:ascii="Calibri Light" w:hAnsi="Calibri Light" w:eastAsia="Calibri Light"/>
          <w:b/>
          <w:color w:val="17213C"/>
          <w:sz w:val="60"/>
        </w:rPr>
        <w:t>Smart-Contract</w:t>
      </w:r>
      <w:r>
        <w:rPr>
          <w:rFonts w:ascii="Calibri Light" w:hAnsi="Calibri Light" w:eastAsia="Calibri Light"/>
          <w:b/>
          <w:color w:val="17213C"/>
          <w:sz w:val="60"/>
        </w:rPr>
        <w:br w:type="textWrapping"/>
      </w:r>
      <w:r>
        <w:rPr>
          <w:rFonts w:ascii="Calibri Light" w:hAnsi="Calibri Light" w:eastAsia="Calibri Light"/>
          <w:b/>
          <w:color w:val="17213C"/>
          <w:sz w:val="60"/>
        </w:rPr>
        <w:t>Security Assessment</w:t>
      </w:r>
    </w:p>
    <w:p w14:paraId="0297BFAD">
      <w:pPr>
        <w:pStyle w:val="27"/>
      </w:pPr>
      <w:r>
        <w:rPr>
          <w:rFonts w:ascii="Calibri" w:hAnsi="Calibri" w:eastAsia="Calibri"/>
          <w:color w:val="667085"/>
          <w:sz w:val="30"/>
        </w:rPr>
        <w:t>AEGENT Market, Redemption, Vault and Staking Contracts</w:t>
      </w:r>
    </w:p>
    <w:tbl>
      <w:tblPr>
        <w:tblStyle w:val="34"/>
        <w:tblW w:w="0" w:type="auto"/>
        <w:tblInd w:w="0" w:type="dxa"/>
        <w:tblLayout w:type="fixed"/>
        <w:tblCellMar>
          <w:top w:w="0" w:type="dxa"/>
          <w:left w:w="108" w:type="dxa"/>
          <w:bottom w:w="0" w:type="dxa"/>
          <w:right w:w="108" w:type="dxa"/>
        </w:tblCellMar>
      </w:tblPr>
      <w:tblGrid>
        <w:gridCol w:w="9360"/>
      </w:tblGrid>
      <w:tr w14:paraId="2BE71332">
        <w:tblPrEx>
          <w:tblCellMar>
            <w:top w:w="0" w:type="dxa"/>
            <w:left w:w="108" w:type="dxa"/>
            <w:bottom w:w="0" w:type="dxa"/>
            <w:right w:w="108" w:type="dxa"/>
          </w:tblCellMar>
        </w:tblPrEx>
        <w:tc>
          <w:tcPr>
            <w:tcW w:w="9360" w:type="dxa"/>
            <w:tcBorders>
              <w:top w:val="single" w:color="5B4BDB" w:sz="0" w:space="0"/>
              <w:left w:val="single" w:color="5B4BDB" w:sz="0" w:space="0"/>
              <w:bottom w:val="single" w:color="5B4BDB" w:sz="0" w:space="0"/>
              <w:right w:val="single" w:color="5B4BDB" w:sz="0" w:space="0"/>
              <w:insideH w:val="single" w:sz="0" w:space="0"/>
              <w:insideV w:val="single" w:sz="0" w:space="0"/>
            </w:tcBorders>
            <w:shd w:val="clear" w:color="auto" w:fill="5B4BDB"/>
            <w:tcMar>
              <w:top w:w="18" w:type="dxa"/>
              <w:left w:w="0" w:type="dxa"/>
              <w:bottom w:w="18" w:type="dxa"/>
              <w:right w:w="0" w:type="dxa"/>
            </w:tcMar>
          </w:tcPr>
          <w:p w14:paraId="74671040"/>
        </w:tc>
      </w:tr>
    </w:tbl>
    <w:p w14:paraId="28FA80B7">
      <w:pPr>
        <w:spacing w:after="80"/>
      </w:pPr>
    </w:p>
    <w:p w14:paraId="12589E7F">
      <w:pPr>
        <w:pBdr>
          <w:left w:val="single" w:color="B54708" w:sz="22" w:space="8"/>
        </w:pBdr>
        <w:shd w:val="clear" w:fill="FFF4E5"/>
        <w:spacing w:after="280"/>
      </w:pPr>
      <w:r>
        <w:rPr>
          <w:rFonts w:ascii="Calibri" w:hAnsi="Calibri" w:eastAsia="Calibri"/>
          <w:b/>
          <w:color w:val="B54708"/>
          <w:sz w:val="22"/>
        </w:rPr>
        <w:t>REMEDIATION REQUIRED BEFORE MAINNET</w:t>
      </w:r>
    </w:p>
    <w:tbl>
      <w:tblPr>
        <w:tblStyle w:val="34"/>
        <w:tblW w:w="9360" w:type="dxa"/>
        <w:jc w:val="center"/>
        <w:tblLayout w:type="fixed"/>
        <w:tblCellMar>
          <w:top w:w="0" w:type="dxa"/>
          <w:left w:w="108" w:type="dxa"/>
          <w:bottom w:w="0" w:type="dxa"/>
          <w:right w:w="108" w:type="dxa"/>
        </w:tblCellMar>
      </w:tblPr>
      <w:tblGrid>
        <w:gridCol w:w="3100"/>
        <w:gridCol w:w="6260"/>
      </w:tblGrid>
      <w:tr w14:paraId="3E8C8F48">
        <w:tblPrEx>
          <w:tblCellMar>
            <w:top w:w="0" w:type="dxa"/>
            <w:left w:w="108" w:type="dxa"/>
            <w:bottom w:w="0" w:type="dxa"/>
            <w:right w:w="108" w:type="dxa"/>
          </w:tblCellMar>
        </w:tblPrEx>
        <w:trPr>
          <w:cantSplit/>
          <w:tblHeader/>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042755F">
            <w:pPr>
              <w:spacing w:after="0"/>
            </w:pPr>
            <w:r>
              <w:rPr>
                <w:rFonts w:ascii="Calibri" w:hAnsi="Calibri" w:eastAsia="Calibri"/>
                <w:b/>
                <w:color w:val="17213C"/>
                <w:sz w:val="17"/>
              </w:rPr>
              <w:t>DOCUMENT CONTROL</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0B0851D">
            <w:pPr>
              <w:spacing w:after="0"/>
            </w:pPr>
            <w:r>
              <w:rPr>
                <w:rFonts w:ascii="Calibri" w:hAnsi="Calibri" w:eastAsia="Calibri"/>
                <w:b/>
                <w:color w:val="17213C"/>
                <w:sz w:val="17"/>
              </w:rPr>
              <w:t>VALUE</w:t>
            </w:r>
          </w:p>
        </w:tc>
      </w:tr>
      <w:tr w14:paraId="7A8CE1C3">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D141596">
            <w:pPr>
              <w:spacing w:after="0"/>
            </w:pPr>
            <w:r>
              <w:rPr>
                <w:rFonts w:ascii="Calibri" w:hAnsi="Calibri" w:eastAsia="Calibri"/>
                <w:b/>
                <w:color w:val="222A35"/>
                <w:sz w:val="17"/>
              </w:rPr>
              <w:t>AEGENT internal document ID</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2E1FF2D">
            <w:pPr>
              <w:spacing w:after="0"/>
            </w:pPr>
            <w:r>
              <w:rPr>
                <w:rFonts w:ascii="Calibri" w:hAnsi="Calibri" w:eastAsia="Calibri"/>
                <w:b w:val="0"/>
                <w:color w:val="222A35"/>
                <w:sz w:val="17"/>
              </w:rPr>
              <w:t>AEG-SAR-2026-0730-01</w:t>
            </w:r>
          </w:p>
        </w:tc>
      </w:tr>
      <w:tr w14:paraId="4648BD3B">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3B187227">
            <w:pPr>
              <w:spacing w:after="0"/>
            </w:pPr>
            <w:r>
              <w:rPr>
                <w:rFonts w:ascii="Calibri" w:hAnsi="Calibri" w:eastAsia="Calibri"/>
                <w:b/>
                <w:color w:val="222A35"/>
                <w:sz w:val="17"/>
              </w:rPr>
              <w:t>Version / classification</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0A546A0A">
            <w:pPr>
              <w:spacing w:after="0"/>
            </w:pPr>
            <w:r>
              <w:rPr>
                <w:rFonts w:ascii="Calibri" w:hAnsi="Calibri" w:eastAsia="Calibri"/>
                <w:b w:val="0"/>
                <w:color w:val="222A35"/>
                <w:sz w:val="17"/>
              </w:rPr>
              <w:t>1.0  /  PUBLIC</w:t>
            </w:r>
          </w:p>
        </w:tc>
      </w:tr>
      <w:tr w14:paraId="3EC8B7FD">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6A77CBE">
            <w:pPr>
              <w:spacing w:after="0"/>
            </w:pPr>
            <w:r>
              <w:rPr>
                <w:rFonts w:ascii="Calibri" w:hAnsi="Calibri" w:eastAsia="Calibri"/>
                <w:b/>
                <w:color w:val="222A35"/>
                <w:sz w:val="17"/>
              </w:rPr>
              <w:t>Issue date</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FBE8E46">
            <w:pPr>
              <w:spacing w:after="0"/>
            </w:pPr>
            <w:r>
              <w:rPr>
                <w:rFonts w:ascii="Calibri" w:hAnsi="Calibri" w:eastAsia="Calibri"/>
                <w:b w:val="0"/>
                <w:color w:val="222A35"/>
                <w:sz w:val="17"/>
              </w:rPr>
              <w:t>30 July 2026</w:t>
            </w:r>
          </w:p>
        </w:tc>
      </w:tr>
      <w:tr w14:paraId="10CCC230">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38A22DD">
            <w:pPr>
              <w:spacing w:after="0"/>
            </w:pPr>
            <w:r>
              <w:rPr>
                <w:rFonts w:ascii="Calibri" w:hAnsi="Calibri" w:eastAsia="Calibri"/>
                <w:b/>
                <w:color w:val="222A35"/>
                <w:sz w:val="17"/>
              </w:rPr>
              <w:t>Evidence snapshot</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86BC2B1">
            <w:pPr>
              <w:spacing w:after="0"/>
            </w:pPr>
            <w:r>
              <w:rPr>
                <w:rFonts w:ascii="Calibri" w:hAnsi="Calibri" w:eastAsia="Calibri"/>
                <w:b w:val="0"/>
                <w:color w:val="222A35"/>
                <w:sz w:val="17"/>
              </w:rPr>
              <w:t>20260730T020710Z</w:t>
            </w:r>
          </w:p>
        </w:tc>
      </w:tr>
      <w:tr w14:paraId="7E6E167B">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21440CA">
            <w:pPr>
              <w:spacing w:after="0"/>
            </w:pPr>
            <w:r>
              <w:rPr>
                <w:rFonts w:ascii="Calibri" w:hAnsi="Calibri" w:eastAsia="Calibri"/>
                <w:b/>
                <w:color w:val="222A35"/>
                <w:sz w:val="17"/>
              </w:rPr>
              <w:t>Scope root SHA-256</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8C5BD93">
            <w:pPr>
              <w:spacing w:after="0"/>
            </w:pPr>
            <w:r>
              <w:rPr>
                <w:rFonts w:ascii="Calibri" w:hAnsi="Calibri" w:eastAsia="Calibri"/>
                <w:b w:val="0"/>
                <w:color w:val="222A35"/>
                <w:sz w:val="17"/>
              </w:rPr>
              <w:t>5c51c8e5df9126e3b0a5ce15e98869f6130e43bb13e4caaebf30853286763f0c</w:t>
            </w:r>
          </w:p>
        </w:tc>
      </w:tr>
    </w:tbl>
    <w:p w14:paraId="2BC762DB">
      <w:pPr>
        <w:spacing w:after="20"/>
      </w:pPr>
    </w:p>
    <w:p w14:paraId="35ABB793">
      <w:pPr>
        <w:spacing w:before="320" w:after="0"/>
      </w:pPr>
      <w:r>
        <w:rPr>
          <w:rFonts w:ascii="Calibri" w:hAnsi="Calibri" w:eastAsia="Calibri"/>
          <w:b/>
          <w:color w:val="667085"/>
          <w:sz w:val="16"/>
        </w:rPr>
        <w:t>AUTHORED AND ISSUED BY</w:t>
      </w:r>
      <w:r>
        <w:rPr>
          <w:rFonts w:ascii="Calibri" w:hAnsi="Calibri" w:eastAsia="Calibri"/>
          <w:b/>
          <w:color w:val="667085"/>
          <w:sz w:val="16"/>
        </w:rPr>
        <w:br w:type="textWrapping"/>
      </w:r>
      <w:r>
        <w:rPr>
          <w:rFonts w:ascii="Calibri" w:hAnsi="Calibri" w:eastAsia="Calibri"/>
          <w:b/>
          <w:color w:val="17213C"/>
          <w:sz w:val="22"/>
        </w:rPr>
        <w:t>AEGENT Security Review Team</w:t>
      </w:r>
    </w:p>
    <w:p w14:paraId="193DF7B2">
      <w:pPr>
        <w:sectPr>
          <w:headerReference r:id="rId7" w:type="first"/>
          <w:footerReference r:id="rId10" w:type="first"/>
          <w:headerReference r:id="rId5" w:type="default"/>
          <w:footerReference r:id="rId8" w:type="default"/>
          <w:headerReference r:id="rId6" w:type="even"/>
          <w:footerReference r:id="rId9" w:type="even"/>
          <w:pgSz w:w="12240" w:h="15840"/>
          <w:pgMar w:top="1181" w:right="1440" w:bottom="1181" w:left="1440" w:header="708" w:footer="708" w:gutter="0"/>
          <w:cols w:space="720" w:num="1"/>
          <w:titlePg/>
          <w:docGrid w:linePitch="360" w:charSpace="0"/>
        </w:sectPr>
      </w:pPr>
    </w:p>
    <w:p w14:paraId="525DD43E">
      <w:pPr>
        <w:pStyle w:val="168"/>
      </w:pPr>
      <w:r>
        <w:t>Document control</w:t>
      </w:r>
    </w:p>
    <w:tbl>
      <w:tblPr>
        <w:tblStyle w:val="34"/>
        <w:tblW w:w="9360" w:type="dxa"/>
        <w:jc w:val="center"/>
        <w:tblLayout w:type="fixed"/>
        <w:tblCellMar>
          <w:top w:w="0" w:type="dxa"/>
          <w:left w:w="108" w:type="dxa"/>
          <w:bottom w:w="0" w:type="dxa"/>
          <w:right w:w="108" w:type="dxa"/>
        </w:tblCellMar>
      </w:tblPr>
      <w:tblGrid>
        <w:gridCol w:w="3000"/>
        <w:gridCol w:w="6360"/>
      </w:tblGrid>
      <w:tr w14:paraId="16090207">
        <w:tblPrEx>
          <w:tblCellMar>
            <w:top w:w="0" w:type="dxa"/>
            <w:left w:w="108" w:type="dxa"/>
            <w:bottom w:w="0" w:type="dxa"/>
            <w:right w:w="108" w:type="dxa"/>
          </w:tblCellMar>
        </w:tblPrEx>
        <w:trPr>
          <w:cantSplit/>
          <w:tblHeader/>
          <w:jc w:val="center"/>
        </w:trPr>
        <w:tc>
          <w:tcPr>
            <w:tcW w:w="30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7321645">
            <w:pPr>
              <w:spacing w:after="0"/>
            </w:pPr>
            <w:r>
              <w:rPr>
                <w:rFonts w:ascii="Calibri" w:hAnsi="Calibri" w:eastAsia="Calibri"/>
                <w:b/>
                <w:color w:val="17213C"/>
                <w:sz w:val="17"/>
              </w:rPr>
              <w:t>FIELD</w:t>
            </w:r>
          </w:p>
        </w:tc>
        <w:tc>
          <w:tcPr>
            <w:tcW w:w="63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7C8873B9">
            <w:pPr>
              <w:spacing w:after="0"/>
            </w:pPr>
            <w:r>
              <w:rPr>
                <w:rFonts w:ascii="Calibri" w:hAnsi="Calibri" w:eastAsia="Calibri"/>
                <w:b/>
                <w:color w:val="17213C"/>
                <w:sz w:val="17"/>
              </w:rPr>
              <w:t>CONTROLLED VALUE</w:t>
            </w:r>
          </w:p>
        </w:tc>
      </w:tr>
      <w:tr w14:paraId="00E44974">
        <w:tblPrEx>
          <w:tblCellMar>
            <w:top w:w="0" w:type="dxa"/>
            <w:left w:w="108" w:type="dxa"/>
            <w:bottom w:w="0" w:type="dxa"/>
            <w:right w:w="108" w:type="dxa"/>
          </w:tblCellMar>
        </w:tblPrEx>
        <w:trPr>
          <w:cantSplit/>
          <w:jc w:val="center"/>
        </w:trPr>
        <w:tc>
          <w:tcPr>
            <w:tcW w:w="30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B08EF82">
            <w:pPr>
              <w:spacing w:after="0"/>
            </w:pPr>
            <w:r>
              <w:rPr>
                <w:rFonts w:ascii="Calibri" w:hAnsi="Calibri" w:eastAsia="Calibri"/>
                <w:b/>
                <w:color w:val="222A35"/>
                <w:sz w:val="17"/>
              </w:rPr>
              <w:t>AEGENT internal document ID</w:t>
            </w:r>
          </w:p>
        </w:tc>
        <w:tc>
          <w:tcPr>
            <w:tcW w:w="63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9DE1057">
            <w:pPr>
              <w:spacing w:after="0"/>
            </w:pPr>
            <w:r>
              <w:rPr>
                <w:rFonts w:ascii="Calibri" w:hAnsi="Calibri" w:eastAsia="Calibri"/>
                <w:b w:val="0"/>
                <w:color w:val="222A35"/>
                <w:sz w:val="17"/>
              </w:rPr>
              <w:t>AEG-SAR-2026-0730-01</w:t>
            </w:r>
          </w:p>
        </w:tc>
      </w:tr>
      <w:tr w14:paraId="50F40A46">
        <w:tblPrEx>
          <w:tblCellMar>
            <w:top w:w="0" w:type="dxa"/>
            <w:left w:w="108" w:type="dxa"/>
            <w:bottom w:w="0" w:type="dxa"/>
            <w:right w:w="108" w:type="dxa"/>
          </w:tblCellMar>
        </w:tblPrEx>
        <w:trPr>
          <w:cantSplit/>
          <w:jc w:val="center"/>
        </w:trPr>
        <w:tc>
          <w:tcPr>
            <w:tcW w:w="30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04422F37">
            <w:pPr>
              <w:spacing w:after="0"/>
            </w:pPr>
            <w:r>
              <w:rPr>
                <w:rFonts w:ascii="Calibri" w:hAnsi="Calibri" w:eastAsia="Calibri"/>
                <w:b/>
                <w:color w:val="222A35"/>
                <w:sz w:val="17"/>
              </w:rPr>
              <w:t>Report title</w:t>
            </w:r>
          </w:p>
        </w:tc>
        <w:tc>
          <w:tcPr>
            <w:tcW w:w="63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9BEE12C">
            <w:pPr>
              <w:spacing w:after="0"/>
            </w:pPr>
            <w:r>
              <w:rPr>
                <w:rFonts w:ascii="Calibri" w:hAnsi="Calibri" w:eastAsia="Calibri"/>
                <w:b w:val="0"/>
                <w:color w:val="222A35"/>
                <w:sz w:val="17"/>
              </w:rPr>
              <w:t>Smart-Contract Security Assessment — AEGENT Market, Redemption, Vault and Staking Contracts</w:t>
            </w:r>
          </w:p>
        </w:tc>
      </w:tr>
      <w:tr w14:paraId="13FA018C">
        <w:tblPrEx>
          <w:tblCellMar>
            <w:top w:w="0" w:type="dxa"/>
            <w:left w:w="108" w:type="dxa"/>
            <w:bottom w:w="0" w:type="dxa"/>
            <w:right w:w="108" w:type="dxa"/>
          </w:tblCellMar>
        </w:tblPrEx>
        <w:trPr>
          <w:cantSplit/>
          <w:jc w:val="center"/>
        </w:trPr>
        <w:tc>
          <w:tcPr>
            <w:tcW w:w="30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246CB22">
            <w:pPr>
              <w:spacing w:after="0"/>
            </w:pPr>
            <w:r>
              <w:rPr>
                <w:rFonts w:ascii="Calibri" w:hAnsi="Calibri" w:eastAsia="Calibri"/>
                <w:b/>
                <w:color w:val="222A35"/>
                <w:sz w:val="17"/>
              </w:rPr>
              <w:t>Version</w:t>
            </w:r>
          </w:p>
        </w:tc>
        <w:tc>
          <w:tcPr>
            <w:tcW w:w="63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8F673BD">
            <w:pPr>
              <w:spacing w:after="0"/>
            </w:pPr>
            <w:r>
              <w:rPr>
                <w:rFonts w:ascii="Calibri" w:hAnsi="Calibri" w:eastAsia="Calibri"/>
                <w:b w:val="0"/>
                <w:color w:val="222A35"/>
                <w:sz w:val="17"/>
              </w:rPr>
              <w:t>1.0</w:t>
            </w:r>
          </w:p>
        </w:tc>
      </w:tr>
      <w:tr w14:paraId="76CEC331">
        <w:tblPrEx>
          <w:tblCellMar>
            <w:top w:w="0" w:type="dxa"/>
            <w:left w:w="108" w:type="dxa"/>
            <w:bottom w:w="0" w:type="dxa"/>
            <w:right w:w="108" w:type="dxa"/>
          </w:tblCellMar>
        </w:tblPrEx>
        <w:trPr>
          <w:cantSplit/>
          <w:jc w:val="center"/>
        </w:trPr>
        <w:tc>
          <w:tcPr>
            <w:tcW w:w="30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9F744C9">
            <w:pPr>
              <w:spacing w:after="0"/>
            </w:pPr>
            <w:r>
              <w:rPr>
                <w:rFonts w:ascii="Calibri" w:hAnsi="Calibri" w:eastAsia="Calibri"/>
                <w:b/>
                <w:color w:val="222A35"/>
                <w:sz w:val="17"/>
              </w:rPr>
              <w:t>Status</w:t>
            </w:r>
          </w:p>
        </w:tc>
        <w:tc>
          <w:tcPr>
            <w:tcW w:w="63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B5ED3DB">
            <w:pPr>
              <w:spacing w:after="0"/>
            </w:pPr>
            <w:r>
              <w:rPr>
                <w:rFonts w:ascii="Calibri" w:hAnsi="Calibri" w:eastAsia="Calibri"/>
                <w:b w:val="0"/>
                <w:color w:val="222A35"/>
                <w:sz w:val="17"/>
              </w:rPr>
              <w:t>Final first-party assessment</w:t>
            </w:r>
          </w:p>
        </w:tc>
      </w:tr>
      <w:tr w14:paraId="1663B82F">
        <w:tblPrEx>
          <w:tblCellMar>
            <w:top w:w="0" w:type="dxa"/>
            <w:left w:w="108" w:type="dxa"/>
            <w:bottom w:w="0" w:type="dxa"/>
            <w:right w:w="108" w:type="dxa"/>
          </w:tblCellMar>
        </w:tblPrEx>
        <w:trPr>
          <w:cantSplit/>
          <w:jc w:val="center"/>
        </w:trPr>
        <w:tc>
          <w:tcPr>
            <w:tcW w:w="30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F34C0BE">
            <w:pPr>
              <w:spacing w:after="0"/>
            </w:pPr>
            <w:r>
              <w:rPr>
                <w:rFonts w:ascii="Calibri" w:hAnsi="Calibri" w:eastAsia="Calibri"/>
                <w:b/>
                <w:color w:val="222A35"/>
                <w:sz w:val="17"/>
              </w:rPr>
              <w:t>Classification</w:t>
            </w:r>
          </w:p>
        </w:tc>
        <w:tc>
          <w:tcPr>
            <w:tcW w:w="63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8D2412F">
            <w:pPr>
              <w:spacing w:after="0"/>
            </w:pPr>
            <w:r>
              <w:rPr>
                <w:rFonts w:ascii="Calibri" w:hAnsi="Calibri" w:eastAsia="Calibri"/>
                <w:b w:val="0"/>
                <w:color w:val="222A35"/>
                <w:sz w:val="17"/>
              </w:rPr>
              <w:t>PUBLIC</w:t>
            </w:r>
          </w:p>
        </w:tc>
      </w:tr>
      <w:tr w14:paraId="76B18143">
        <w:tblPrEx>
          <w:tblCellMar>
            <w:top w:w="0" w:type="dxa"/>
            <w:left w:w="108" w:type="dxa"/>
            <w:bottom w:w="0" w:type="dxa"/>
            <w:right w:w="108" w:type="dxa"/>
          </w:tblCellMar>
        </w:tblPrEx>
        <w:trPr>
          <w:cantSplit/>
          <w:jc w:val="center"/>
        </w:trPr>
        <w:tc>
          <w:tcPr>
            <w:tcW w:w="30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B04F930">
            <w:pPr>
              <w:spacing w:after="0"/>
            </w:pPr>
            <w:r>
              <w:rPr>
                <w:rFonts w:ascii="Calibri" w:hAnsi="Calibri" w:eastAsia="Calibri"/>
                <w:b/>
                <w:color w:val="222A35"/>
                <w:sz w:val="17"/>
              </w:rPr>
              <w:t>Author / issuer</w:t>
            </w:r>
          </w:p>
        </w:tc>
        <w:tc>
          <w:tcPr>
            <w:tcW w:w="63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D3F36D2">
            <w:pPr>
              <w:spacing w:after="0"/>
            </w:pPr>
            <w:r>
              <w:rPr>
                <w:rFonts w:ascii="Calibri" w:hAnsi="Calibri" w:eastAsia="Calibri"/>
                <w:b w:val="0"/>
                <w:color w:val="222A35"/>
                <w:sz w:val="17"/>
              </w:rPr>
              <w:t>AEGENT Security Review Team</w:t>
            </w:r>
          </w:p>
        </w:tc>
      </w:tr>
      <w:tr w14:paraId="1EA95493">
        <w:tblPrEx>
          <w:tblCellMar>
            <w:top w:w="0" w:type="dxa"/>
            <w:left w:w="108" w:type="dxa"/>
            <w:bottom w:w="0" w:type="dxa"/>
            <w:right w:w="108" w:type="dxa"/>
          </w:tblCellMar>
        </w:tblPrEx>
        <w:trPr>
          <w:cantSplit/>
          <w:jc w:val="center"/>
        </w:trPr>
        <w:tc>
          <w:tcPr>
            <w:tcW w:w="30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513918A">
            <w:pPr>
              <w:spacing w:after="0"/>
            </w:pPr>
            <w:r>
              <w:rPr>
                <w:rFonts w:ascii="Calibri" w:hAnsi="Calibri" w:eastAsia="Calibri"/>
                <w:b/>
                <w:color w:val="222A35"/>
                <w:sz w:val="17"/>
              </w:rPr>
              <w:t>Issue date</w:t>
            </w:r>
          </w:p>
        </w:tc>
        <w:tc>
          <w:tcPr>
            <w:tcW w:w="63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6B463F5">
            <w:pPr>
              <w:spacing w:after="0"/>
            </w:pPr>
            <w:r>
              <w:rPr>
                <w:rFonts w:ascii="Calibri" w:hAnsi="Calibri" w:eastAsia="Calibri"/>
                <w:b w:val="0"/>
                <w:color w:val="222A35"/>
                <w:sz w:val="17"/>
              </w:rPr>
              <w:t>30 July 2026</w:t>
            </w:r>
          </w:p>
        </w:tc>
      </w:tr>
      <w:tr w14:paraId="5DA01629">
        <w:tblPrEx>
          <w:tblCellMar>
            <w:top w:w="0" w:type="dxa"/>
            <w:left w:w="108" w:type="dxa"/>
            <w:bottom w:w="0" w:type="dxa"/>
            <w:right w:w="108" w:type="dxa"/>
          </w:tblCellMar>
        </w:tblPrEx>
        <w:trPr>
          <w:cantSplit/>
          <w:jc w:val="center"/>
        </w:trPr>
        <w:tc>
          <w:tcPr>
            <w:tcW w:w="30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A440D54">
            <w:pPr>
              <w:spacing w:after="0"/>
            </w:pPr>
            <w:r>
              <w:rPr>
                <w:rFonts w:ascii="Calibri" w:hAnsi="Calibri" w:eastAsia="Calibri"/>
                <w:b/>
                <w:color w:val="222A35"/>
                <w:sz w:val="17"/>
              </w:rPr>
              <w:t>Assessment window</w:t>
            </w:r>
          </w:p>
        </w:tc>
        <w:tc>
          <w:tcPr>
            <w:tcW w:w="63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FAA9A81">
            <w:pPr>
              <w:spacing w:after="0"/>
            </w:pPr>
            <w:r>
              <w:rPr>
                <w:rFonts w:ascii="Calibri" w:hAnsi="Calibri" w:eastAsia="Calibri"/>
                <w:b w:val="0"/>
                <w:color w:val="222A35"/>
                <w:sz w:val="17"/>
              </w:rPr>
              <w:t>29–30 July 2026; evidence execution 30 July 2026</w:t>
            </w:r>
          </w:p>
        </w:tc>
      </w:tr>
      <w:tr w14:paraId="387BC324">
        <w:tblPrEx>
          <w:tblCellMar>
            <w:top w:w="0" w:type="dxa"/>
            <w:left w:w="108" w:type="dxa"/>
            <w:bottom w:w="0" w:type="dxa"/>
            <w:right w:w="108" w:type="dxa"/>
          </w:tblCellMar>
        </w:tblPrEx>
        <w:trPr>
          <w:cantSplit/>
          <w:jc w:val="center"/>
        </w:trPr>
        <w:tc>
          <w:tcPr>
            <w:tcW w:w="30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B86A3EB">
            <w:pPr>
              <w:spacing w:after="0"/>
            </w:pPr>
            <w:r>
              <w:rPr>
                <w:rFonts w:ascii="Calibri" w:hAnsi="Calibri" w:eastAsia="Calibri"/>
                <w:b/>
                <w:color w:val="222A35"/>
                <w:sz w:val="17"/>
              </w:rPr>
              <w:t>Evidence run</w:t>
            </w:r>
          </w:p>
        </w:tc>
        <w:tc>
          <w:tcPr>
            <w:tcW w:w="63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56740B1">
            <w:pPr>
              <w:spacing w:after="0"/>
            </w:pPr>
            <w:r>
              <w:rPr>
                <w:rFonts w:ascii="Calibri" w:hAnsi="Calibri" w:eastAsia="Calibri"/>
                <w:b w:val="0"/>
                <w:color w:val="222A35"/>
                <w:sz w:val="17"/>
              </w:rPr>
              <w:t>20260730T020710Z</w:t>
            </w:r>
          </w:p>
        </w:tc>
      </w:tr>
      <w:tr w14:paraId="796687FB">
        <w:tblPrEx>
          <w:tblCellMar>
            <w:top w:w="0" w:type="dxa"/>
            <w:left w:w="108" w:type="dxa"/>
            <w:bottom w:w="0" w:type="dxa"/>
            <w:right w:w="108" w:type="dxa"/>
          </w:tblCellMar>
        </w:tblPrEx>
        <w:trPr>
          <w:cantSplit/>
          <w:jc w:val="center"/>
        </w:trPr>
        <w:tc>
          <w:tcPr>
            <w:tcW w:w="30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32124FC4">
            <w:pPr>
              <w:spacing w:after="0"/>
            </w:pPr>
            <w:r>
              <w:rPr>
                <w:rFonts w:ascii="Calibri" w:hAnsi="Calibri" w:eastAsia="Calibri"/>
                <w:b/>
                <w:color w:val="222A35"/>
                <w:sz w:val="17"/>
              </w:rPr>
              <w:t>Scope root SHA-256</w:t>
            </w:r>
          </w:p>
        </w:tc>
        <w:tc>
          <w:tcPr>
            <w:tcW w:w="63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AC60991">
            <w:pPr>
              <w:spacing w:after="0"/>
            </w:pPr>
            <w:r>
              <w:rPr>
                <w:rFonts w:ascii="Calibri" w:hAnsi="Calibri" w:eastAsia="Calibri"/>
                <w:b w:val="0"/>
                <w:color w:val="222A35"/>
                <w:sz w:val="17"/>
              </w:rPr>
              <w:t>5c51c8e5df9126e3b0a5ce15e98869f6130e43bb13e4caaebf30853286763f0c</w:t>
            </w:r>
          </w:p>
        </w:tc>
      </w:tr>
      <w:tr w14:paraId="5D9A4390">
        <w:tblPrEx>
          <w:tblCellMar>
            <w:top w:w="0" w:type="dxa"/>
            <w:left w:w="108" w:type="dxa"/>
            <w:bottom w:w="0" w:type="dxa"/>
            <w:right w:w="108" w:type="dxa"/>
          </w:tblCellMar>
        </w:tblPrEx>
        <w:trPr>
          <w:cantSplit/>
          <w:jc w:val="center"/>
        </w:trPr>
        <w:tc>
          <w:tcPr>
            <w:tcW w:w="30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501F4A5">
            <w:pPr>
              <w:spacing w:after="0"/>
            </w:pPr>
            <w:r>
              <w:rPr>
                <w:rFonts w:ascii="Calibri" w:hAnsi="Calibri" w:eastAsia="Calibri"/>
                <w:b/>
                <w:color w:val="222A35"/>
                <w:sz w:val="17"/>
              </w:rPr>
              <w:t>Evidence manifest SHA-256</w:t>
            </w:r>
          </w:p>
        </w:tc>
        <w:tc>
          <w:tcPr>
            <w:tcW w:w="63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E73FC36">
            <w:pPr>
              <w:spacing w:after="0"/>
            </w:pPr>
            <w:r>
              <w:rPr>
                <w:rFonts w:ascii="Calibri" w:hAnsi="Calibri" w:eastAsia="Calibri"/>
                <w:b w:val="0"/>
                <w:color w:val="222A35"/>
                <w:sz w:val="17"/>
              </w:rPr>
              <w:t>760c48a488c7c0ab228773e18631e8463c82d879aac2c32ba03ed96c918b9b40</w:t>
            </w:r>
          </w:p>
        </w:tc>
      </w:tr>
      <w:tr w14:paraId="6C96034B">
        <w:tblPrEx>
          <w:tblCellMar>
            <w:top w:w="0" w:type="dxa"/>
            <w:left w:w="108" w:type="dxa"/>
            <w:bottom w:w="0" w:type="dxa"/>
            <w:right w:w="108" w:type="dxa"/>
          </w:tblCellMar>
        </w:tblPrEx>
        <w:trPr>
          <w:cantSplit/>
          <w:jc w:val="center"/>
        </w:trPr>
        <w:tc>
          <w:tcPr>
            <w:tcW w:w="30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0F461589">
            <w:pPr>
              <w:spacing w:after="0"/>
            </w:pPr>
            <w:r>
              <w:rPr>
                <w:rFonts w:ascii="Calibri" w:hAnsi="Calibri" w:eastAsia="Calibri"/>
                <w:b/>
                <w:color w:val="222A35"/>
                <w:sz w:val="17"/>
              </w:rPr>
              <w:t>Repository context</w:t>
            </w:r>
          </w:p>
        </w:tc>
        <w:tc>
          <w:tcPr>
            <w:tcW w:w="63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72F73B0">
            <w:pPr>
              <w:spacing w:after="0"/>
            </w:pPr>
            <w:r>
              <w:rPr>
                <w:rFonts w:ascii="Calibri" w:hAnsi="Calibri" w:eastAsia="Calibri"/>
                <w:b w:val="0"/>
                <w:color w:val="222A35"/>
                <w:sz w:val="17"/>
              </w:rPr>
              <w:t>cae20adbf0497c46906e36cb98bcd3d19232c98b (context only; snapshot is uncommitted)</w:t>
            </w:r>
          </w:p>
        </w:tc>
      </w:tr>
    </w:tbl>
    <w:p w14:paraId="12F85C39">
      <w:pPr>
        <w:spacing w:after="20"/>
      </w:pPr>
    </w:p>
    <w:p w14:paraId="77116EBA">
      <w:pPr>
        <w:pStyle w:val="169"/>
      </w:pPr>
      <w:r>
        <w:t>Assessment statement</w:t>
      </w:r>
    </w:p>
    <w:p w14:paraId="6357031C">
      <w:r>
        <w:rPr>
          <w:rFonts w:ascii="Calibri" w:hAnsi="Calibri" w:eastAsia="Calibri"/>
        </w:rPr>
        <w:t>This report is a formal AEGENT-authored, point-in-time first-party security assessment of the exact frozen source snapshot identified above. It is suitable for public technical disclosure, internal release gating and submission to an independent security provider. It is not a warranty, certificate or independent third-party audit.</w:t>
      </w:r>
    </w:p>
    <w:p w14:paraId="1CA52DC9">
      <w:r>
        <w:rPr>
          <w:rFonts w:ascii="Calibri" w:hAnsi="Calibri" w:eastAsia="Calibri"/>
        </w:rPr>
        <w:t>Any change to a scoped source file, interface, deployment script, test or configuration invalidates the corresponding evidence and requires a new snapshot and retest. The contextual Git commit is recorded only to locate the surrounding repository; it does not contain the uncommitted snapshot.</w:t>
      </w:r>
    </w:p>
    <w:p w14:paraId="5F620373">
      <w:pPr>
        <w:pStyle w:val="169"/>
      </w:pPr>
      <w:r>
        <w:t>Revision history</w:t>
      </w:r>
    </w:p>
    <w:tbl>
      <w:tblPr>
        <w:tblStyle w:val="34"/>
        <w:tblW w:w="9360" w:type="dxa"/>
        <w:jc w:val="center"/>
        <w:tblLayout w:type="fixed"/>
        <w:tblCellMar>
          <w:top w:w="0" w:type="dxa"/>
          <w:left w:w="108" w:type="dxa"/>
          <w:bottom w:w="0" w:type="dxa"/>
          <w:right w:w="108" w:type="dxa"/>
        </w:tblCellMar>
      </w:tblPr>
      <w:tblGrid>
        <w:gridCol w:w="1200"/>
        <w:gridCol w:w="1800"/>
        <w:gridCol w:w="2500"/>
        <w:gridCol w:w="3860"/>
      </w:tblGrid>
      <w:tr w14:paraId="0F9AD879">
        <w:tblPrEx>
          <w:tblCellMar>
            <w:top w:w="0" w:type="dxa"/>
            <w:left w:w="108" w:type="dxa"/>
            <w:bottom w:w="0" w:type="dxa"/>
            <w:right w:w="108" w:type="dxa"/>
          </w:tblCellMar>
        </w:tblPrEx>
        <w:trPr>
          <w:cantSplit/>
          <w:tblHeader/>
          <w:jc w:val="center"/>
        </w:trPr>
        <w:tc>
          <w:tcPr>
            <w:tcW w:w="12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242DF837">
            <w:pPr>
              <w:spacing w:after="0"/>
            </w:pPr>
            <w:r>
              <w:rPr>
                <w:rFonts w:ascii="Calibri" w:hAnsi="Calibri" w:eastAsia="Calibri"/>
                <w:b/>
                <w:color w:val="17213C"/>
                <w:sz w:val="16"/>
              </w:rPr>
              <w:t>VERSION</w:t>
            </w:r>
          </w:p>
        </w:tc>
        <w:tc>
          <w:tcPr>
            <w:tcW w:w="18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0B84D0D">
            <w:pPr>
              <w:spacing w:after="0"/>
            </w:pPr>
            <w:r>
              <w:rPr>
                <w:rFonts w:ascii="Calibri" w:hAnsi="Calibri" w:eastAsia="Calibri"/>
                <w:b/>
                <w:color w:val="17213C"/>
                <w:sz w:val="16"/>
              </w:rPr>
              <w:t>DATE</w:t>
            </w:r>
          </w:p>
        </w:tc>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16F2E11">
            <w:pPr>
              <w:spacing w:after="0"/>
            </w:pPr>
            <w:r>
              <w:rPr>
                <w:rFonts w:ascii="Calibri" w:hAnsi="Calibri" w:eastAsia="Calibri"/>
                <w:b/>
                <w:color w:val="17213C"/>
                <w:sz w:val="16"/>
              </w:rPr>
              <w:t>AUTHOR</w:t>
            </w:r>
          </w:p>
        </w:tc>
        <w:tc>
          <w:tcPr>
            <w:tcW w:w="38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22DB5A6E">
            <w:pPr>
              <w:spacing w:after="0"/>
            </w:pPr>
            <w:r>
              <w:rPr>
                <w:rFonts w:ascii="Calibri" w:hAnsi="Calibri" w:eastAsia="Calibri"/>
                <w:b/>
                <w:color w:val="17213C"/>
                <w:sz w:val="16"/>
              </w:rPr>
              <w:t>CHANGE</w:t>
            </w:r>
          </w:p>
        </w:tc>
      </w:tr>
      <w:tr w14:paraId="10359DFF">
        <w:tblPrEx>
          <w:tblCellMar>
            <w:top w:w="0" w:type="dxa"/>
            <w:left w:w="108" w:type="dxa"/>
            <w:bottom w:w="0" w:type="dxa"/>
            <w:right w:w="108" w:type="dxa"/>
          </w:tblCellMar>
        </w:tblPrEx>
        <w:trPr>
          <w:cantSplit/>
          <w:jc w:val="center"/>
        </w:trPr>
        <w:tc>
          <w:tcPr>
            <w:tcW w:w="12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CECDE5D">
            <w:pPr>
              <w:spacing w:after="0"/>
            </w:pPr>
            <w:r>
              <w:rPr>
                <w:rFonts w:ascii="Calibri" w:hAnsi="Calibri" w:eastAsia="Calibri"/>
                <w:b w:val="0"/>
                <w:color w:val="222A35"/>
                <w:sz w:val="16"/>
              </w:rPr>
              <w:t>1.0</w:t>
            </w:r>
          </w:p>
        </w:tc>
        <w:tc>
          <w:tcPr>
            <w:tcW w:w="18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0FEAC19">
            <w:pPr>
              <w:spacing w:after="0"/>
            </w:pPr>
            <w:r>
              <w:rPr>
                <w:rFonts w:ascii="Calibri" w:hAnsi="Calibri" w:eastAsia="Calibri"/>
                <w:b w:val="0"/>
                <w:color w:val="222A35"/>
                <w:sz w:val="16"/>
              </w:rPr>
              <w:t>30 July 2026</w:t>
            </w:r>
          </w:p>
        </w:tc>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A391B9D">
            <w:pPr>
              <w:spacing w:after="0"/>
            </w:pPr>
            <w:r>
              <w:rPr>
                <w:rFonts w:ascii="Calibri" w:hAnsi="Calibri" w:eastAsia="Calibri"/>
                <w:b w:val="0"/>
                <w:color w:val="222A35"/>
                <w:sz w:val="16"/>
              </w:rPr>
              <w:t>AEGENT Security Review Team</w:t>
            </w:r>
          </w:p>
        </w:tc>
        <w:tc>
          <w:tcPr>
            <w:tcW w:w="38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E561482">
            <w:pPr>
              <w:spacing w:after="0"/>
            </w:pPr>
            <w:r>
              <w:rPr>
                <w:rFonts w:ascii="Calibri" w:hAnsi="Calibri" w:eastAsia="Calibri"/>
                <w:b w:val="0"/>
                <w:color w:val="222A35"/>
                <w:sz w:val="16"/>
              </w:rPr>
              <w:t>Formal consolidated report rebuilt against updated source snapshot.</w:t>
            </w:r>
          </w:p>
        </w:tc>
      </w:tr>
    </w:tbl>
    <w:p w14:paraId="15BA111A">
      <w:pPr>
        <w:spacing w:after="20"/>
      </w:pPr>
    </w:p>
    <w:p w14:paraId="00E62180">
      <w:r>
        <w:br w:type="page"/>
      </w:r>
    </w:p>
    <w:p w14:paraId="266D56D9">
      <w:pPr>
        <w:pStyle w:val="168"/>
      </w:pPr>
      <w:r>
        <w:t>Table of contents</w:t>
      </w:r>
    </w:p>
    <w:p w14:paraId="3C9E5B48">
      <w:pPr>
        <w:pStyle w:val="26"/>
        <w:tabs>
          <w:tab w:val="right" w:leader="dot" w:pos="9360"/>
        </w:tabs>
      </w:pPr>
      <w:r>
        <w:fldChar w:fldCharType="begin"/>
      </w:r>
      <w:r>
        <w:instrText xml:space="preserve">TOC \o "1-2" \h \z \u</w:instrText>
      </w:r>
      <w:r>
        <w:fldChar w:fldCharType="separate"/>
      </w:r>
      <w:r>
        <w:fldChar w:fldCharType="begin"/>
      </w:r>
      <w:r>
        <w:instrText xml:space="preserve"> HYPERLINK \l _Toc17220 </w:instrText>
      </w:r>
      <w:r>
        <w:fldChar w:fldCharType="separate"/>
      </w:r>
      <w:r>
        <w:t>1. Executive summary</w:t>
      </w:r>
      <w:r>
        <w:tab/>
      </w:r>
      <w:r>
        <w:fldChar w:fldCharType="begin"/>
      </w:r>
      <w:r>
        <w:instrText xml:space="preserve"> PAGEREF _Toc17220 \h </w:instrText>
      </w:r>
      <w:r>
        <w:fldChar w:fldCharType="separate"/>
      </w:r>
      <w:r>
        <w:t>4</w:t>
      </w:r>
      <w:r>
        <w:fldChar w:fldCharType="end"/>
      </w:r>
      <w:r>
        <w:fldChar w:fldCharType="end"/>
      </w:r>
    </w:p>
    <w:p w14:paraId="7F899DEA">
      <w:pPr>
        <w:pStyle w:val="29"/>
        <w:tabs>
          <w:tab w:val="right" w:leader="dot" w:pos="9360"/>
        </w:tabs>
      </w:pPr>
      <w:r>
        <w:fldChar w:fldCharType="begin"/>
      </w:r>
      <w:r>
        <w:instrText xml:space="preserve"> HYPERLINK \l _Toc8702 </w:instrText>
      </w:r>
      <w:r>
        <w:fldChar w:fldCharType="separate"/>
      </w:r>
      <w:r>
        <w:t>1.1 Assessment facts at a glance</w:t>
      </w:r>
      <w:r>
        <w:tab/>
      </w:r>
      <w:r>
        <w:fldChar w:fldCharType="begin"/>
      </w:r>
      <w:r>
        <w:instrText xml:space="preserve"> PAGEREF _Toc8702 \h </w:instrText>
      </w:r>
      <w:r>
        <w:fldChar w:fldCharType="separate"/>
      </w:r>
      <w:r>
        <w:t>4</w:t>
      </w:r>
      <w:r>
        <w:fldChar w:fldCharType="end"/>
      </w:r>
      <w:r>
        <w:fldChar w:fldCharType="end"/>
      </w:r>
    </w:p>
    <w:p w14:paraId="5374C5DF">
      <w:pPr>
        <w:pStyle w:val="29"/>
        <w:tabs>
          <w:tab w:val="right" w:leader="dot" w:pos="9360"/>
        </w:tabs>
      </w:pPr>
      <w:r>
        <w:fldChar w:fldCharType="begin"/>
      </w:r>
      <w:r>
        <w:instrText xml:space="preserve"> HYPERLINK \l _Toc22195 </w:instrText>
      </w:r>
      <w:r>
        <w:fldChar w:fldCharType="separate"/>
      </w:r>
      <w:r>
        <w:t>1.2 Finding disposition</w:t>
      </w:r>
      <w:r>
        <w:tab/>
      </w:r>
      <w:r>
        <w:fldChar w:fldCharType="begin"/>
      </w:r>
      <w:r>
        <w:instrText xml:space="preserve"> PAGEREF _Toc22195 \h </w:instrText>
      </w:r>
      <w:r>
        <w:fldChar w:fldCharType="separate"/>
      </w:r>
      <w:r>
        <w:t>4</w:t>
      </w:r>
      <w:r>
        <w:fldChar w:fldCharType="end"/>
      </w:r>
      <w:r>
        <w:fldChar w:fldCharType="end"/>
      </w:r>
    </w:p>
    <w:p w14:paraId="37F8A6FB">
      <w:pPr>
        <w:pStyle w:val="26"/>
        <w:tabs>
          <w:tab w:val="right" w:leader="dot" w:pos="9360"/>
        </w:tabs>
      </w:pPr>
      <w:r>
        <w:fldChar w:fldCharType="begin"/>
      </w:r>
      <w:r>
        <w:instrText xml:space="preserve"> HYPERLINK \l _Toc11290 </w:instrText>
      </w:r>
      <w:r>
        <w:fldChar w:fldCharType="separate"/>
      </w:r>
      <w:r>
        <w:t>2. Engagement and scope</w:t>
      </w:r>
      <w:r>
        <w:tab/>
      </w:r>
      <w:r>
        <w:fldChar w:fldCharType="begin"/>
      </w:r>
      <w:r>
        <w:instrText xml:space="preserve"> PAGEREF _Toc11290 \h </w:instrText>
      </w:r>
      <w:r>
        <w:fldChar w:fldCharType="separate"/>
      </w:r>
      <w:r>
        <w:t>6</w:t>
      </w:r>
      <w:r>
        <w:fldChar w:fldCharType="end"/>
      </w:r>
      <w:r>
        <w:fldChar w:fldCharType="end"/>
      </w:r>
    </w:p>
    <w:p w14:paraId="6D0880E3">
      <w:pPr>
        <w:pStyle w:val="29"/>
        <w:tabs>
          <w:tab w:val="right" w:leader="dot" w:pos="9360"/>
        </w:tabs>
      </w:pPr>
      <w:r>
        <w:fldChar w:fldCharType="begin"/>
      </w:r>
      <w:r>
        <w:instrText xml:space="preserve"> HYPERLINK \l _Toc24263 </w:instrText>
      </w:r>
      <w:r>
        <w:fldChar w:fldCharType="separate"/>
      </w:r>
      <w:r>
        <w:t>2.1 Objectives</w:t>
      </w:r>
      <w:r>
        <w:tab/>
      </w:r>
      <w:r>
        <w:fldChar w:fldCharType="begin"/>
      </w:r>
      <w:r>
        <w:instrText xml:space="preserve"> PAGEREF _Toc24263 \h </w:instrText>
      </w:r>
      <w:r>
        <w:fldChar w:fldCharType="separate"/>
      </w:r>
      <w:r>
        <w:t>6</w:t>
      </w:r>
      <w:r>
        <w:fldChar w:fldCharType="end"/>
      </w:r>
      <w:r>
        <w:fldChar w:fldCharType="end"/>
      </w:r>
    </w:p>
    <w:p w14:paraId="2D9D5968">
      <w:pPr>
        <w:pStyle w:val="29"/>
        <w:tabs>
          <w:tab w:val="right" w:leader="dot" w:pos="9360"/>
        </w:tabs>
      </w:pPr>
      <w:r>
        <w:fldChar w:fldCharType="begin"/>
      </w:r>
      <w:r>
        <w:instrText xml:space="preserve"> HYPERLINK \l _Toc17865 </w:instrText>
      </w:r>
      <w:r>
        <w:fldChar w:fldCharType="separate"/>
      </w:r>
      <w:r>
        <w:t>2.2 In-scope components</w:t>
      </w:r>
      <w:r>
        <w:tab/>
      </w:r>
      <w:r>
        <w:fldChar w:fldCharType="begin"/>
      </w:r>
      <w:r>
        <w:instrText xml:space="preserve"> PAGEREF _Toc17865 \h </w:instrText>
      </w:r>
      <w:r>
        <w:fldChar w:fldCharType="separate"/>
      </w:r>
      <w:r>
        <w:t>6</w:t>
      </w:r>
      <w:r>
        <w:fldChar w:fldCharType="end"/>
      </w:r>
      <w:r>
        <w:fldChar w:fldCharType="end"/>
      </w:r>
    </w:p>
    <w:p w14:paraId="3519E20E">
      <w:pPr>
        <w:pStyle w:val="29"/>
        <w:tabs>
          <w:tab w:val="right" w:leader="dot" w:pos="9360"/>
        </w:tabs>
      </w:pPr>
      <w:r>
        <w:fldChar w:fldCharType="begin"/>
      </w:r>
      <w:r>
        <w:instrText xml:space="preserve"> HYPERLINK \l _Toc3220 </w:instrText>
      </w:r>
      <w:r>
        <w:fldChar w:fldCharType="separate"/>
      </w:r>
      <w:r>
        <w:t>2.3 Scope identity</w:t>
      </w:r>
      <w:r>
        <w:tab/>
      </w:r>
      <w:r>
        <w:fldChar w:fldCharType="begin"/>
      </w:r>
      <w:r>
        <w:instrText xml:space="preserve"> PAGEREF _Toc3220 \h </w:instrText>
      </w:r>
      <w:r>
        <w:fldChar w:fldCharType="separate"/>
      </w:r>
      <w:r>
        <w:t>6</w:t>
      </w:r>
      <w:r>
        <w:fldChar w:fldCharType="end"/>
      </w:r>
      <w:r>
        <w:fldChar w:fldCharType="end"/>
      </w:r>
    </w:p>
    <w:p w14:paraId="42071A1A">
      <w:pPr>
        <w:pStyle w:val="29"/>
        <w:tabs>
          <w:tab w:val="right" w:leader="dot" w:pos="9360"/>
        </w:tabs>
      </w:pPr>
      <w:r>
        <w:fldChar w:fldCharType="begin"/>
      </w:r>
      <w:r>
        <w:instrText xml:space="preserve"> HYPERLINK \l _Toc6633 </w:instrText>
      </w:r>
      <w:r>
        <w:fldChar w:fldCharType="separate"/>
      </w:r>
      <w:r>
        <w:t>2.4 Explicit exclusions</w:t>
      </w:r>
      <w:r>
        <w:tab/>
      </w:r>
      <w:r>
        <w:fldChar w:fldCharType="begin"/>
      </w:r>
      <w:r>
        <w:instrText xml:space="preserve"> PAGEREF _Toc6633 \h </w:instrText>
      </w:r>
      <w:r>
        <w:fldChar w:fldCharType="separate"/>
      </w:r>
      <w:r>
        <w:t>6</w:t>
      </w:r>
      <w:r>
        <w:fldChar w:fldCharType="end"/>
      </w:r>
      <w:r>
        <w:fldChar w:fldCharType="end"/>
      </w:r>
    </w:p>
    <w:p w14:paraId="79A353A4">
      <w:pPr>
        <w:pStyle w:val="26"/>
        <w:tabs>
          <w:tab w:val="right" w:leader="dot" w:pos="9360"/>
        </w:tabs>
      </w:pPr>
      <w:r>
        <w:fldChar w:fldCharType="begin"/>
      </w:r>
      <w:r>
        <w:instrText xml:space="preserve"> HYPERLINK \l _Toc3386 </w:instrText>
      </w:r>
      <w:r>
        <w:fldChar w:fldCharType="separate"/>
      </w:r>
      <w:r>
        <w:t>3. Architecture and trust boundaries</w:t>
      </w:r>
      <w:r>
        <w:tab/>
      </w:r>
      <w:r>
        <w:fldChar w:fldCharType="begin"/>
      </w:r>
      <w:r>
        <w:instrText xml:space="preserve"> PAGEREF _Toc3386 \h </w:instrText>
      </w:r>
      <w:r>
        <w:fldChar w:fldCharType="separate"/>
      </w:r>
      <w:r>
        <w:t>8</w:t>
      </w:r>
      <w:r>
        <w:fldChar w:fldCharType="end"/>
      </w:r>
      <w:r>
        <w:fldChar w:fldCharType="end"/>
      </w:r>
    </w:p>
    <w:p w14:paraId="674B4144">
      <w:pPr>
        <w:pStyle w:val="29"/>
        <w:tabs>
          <w:tab w:val="right" w:leader="dot" w:pos="9360"/>
        </w:tabs>
      </w:pPr>
      <w:r>
        <w:fldChar w:fldCharType="begin"/>
      </w:r>
      <w:r>
        <w:instrText xml:space="preserve"> HYPERLINK \l _Toc24583 </w:instrText>
      </w:r>
      <w:r>
        <w:fldChar w:fldCharType="separate"/>
      </w:r>
      <w:r>
        <w:t>3.1 Principal assets</w:t>
      </w:r>
      <w:r>
        <w:tab/>
      </w:r>
      <w:r>
        <w:fldChar w:fldCharType="begin"/>
      </w:r>
      <w:r>
        <w:instrText xml:space="preserve"> PAGEREF _Toc24583 \h </w:instrText>
      </w:r>
      <w:r>
        <w:fldChar w:fldCharType="separate"/>
      </w:r>
      <w:r>
        <w:t>8</w:t>
      </w:r>
      <w:r>
        <w:fldChar w:fldCharType="end"/>
      </w:r>
      <w:r>
        <w:fldChar w:fldCharType="end"/>
      </w:r>
    </w:p>
    <w:p w14:paraId="021ABF1A">
      <w:pPr>
        <w:pStyle w:val="29"/>
        <w:tabs>
          <w:tab w:val="right" w:leader="dot" w:pos="9360"/>
        </w:tabs>
      </w:pPr>
      <w:r>
        <w:fldChar w:fldCharType="begin"/>
      </w:r>
      <w:r>
        <w:instrText xml:space="preserve"> HYPERLINK \l _Toc9553 </w:instrText>
      </w:r>
      <w:r>
        <w:fldChar w:fldCharType="separate"/>
      </w:r>
      <w:r>
        <w:t>3.2 Actors and assumptions</w:t>
      </w:r>
      <w:r>
        <w:tab/>
      </w:r>
      <w:r>
        <w:fldChar w:fldCharType="begin"/>
      </w:r>
      <w:r>
        <w:instrText xml:space="preserve"> PAGEREF _Toc9553 \h </w:instrText>
      </w:r>
      <w:r>
        <w:fldChar w:fldCharType="separate"/>
      </w:r>
      <w:r>
        <w:t>8</w:t>
      </w:r>
      <w:r>
        <w:fldChar w:fldCharType="end"/>
      </w:r>
      <w:r>
        <w:fldChar w:fldCharType="end"/>
      </w:r>
    </w:p>
    <w:p w14:paraId="1D0941D9">
      <w:pPr>
        <w:pStyle w:val="29"/>
        <w:tabs>
          <w:tab w:val="right" w:leader="dot" w:pos="9360"/>
        </w:tabs>
      </w:pPr>
      <w:r>
        <w:fldChar w:fldCharType="begin"/>
      </w:r>
      <w:r>
        <w:instrText xml:space="preserve"> HYPERLINK \l _Toc4243 </w:instrText>
      </w:r>
      <w:r>
        <w:fldChar w:fldCharType="separate"/>
      </w:r>
      <w:r>
        <w:t>3.3 Staking economic semantics</w:t>
      </w:r>
      <w:r>
        <w:tab/>
      </w:r>
      <w:r>
        <w:fldChar w:fldCharType="begin"/>
      </w:r>
      <w:r>
        <w:instrText xml:space="preserve"> PAGEREF _Toc4243 \h </w:instrText>
      </w:r>
      <w:r>
        <w:fldChar w:fldCharType="separate"/>
      </w:r>
      <w:r>
        <w:t>9</w:t>
      </w:r>
      <w:r>
        <w:fldChar w:fldCharType="end"/>
      </w:r>
      <w:r>
        <w:fldChar w:fldCharType="end"/>
      </w:r>
    </w:p>
    <w:p w14:paraId="603E11E9">
      <w:pPr>
        <w:pStyle w:val="26"/>
        <w:tabs>
          <w:tab w:val="right" w:leader="dot" w:pos="9360"/>
        </w:tabs>
      </w:pPr>
      <w:r>
        <w:fldChar w:fldCharType="begin"/>
      </w:r>
      <w:r>
        <w:instrText xml:space="preserve"> HYPERLINK \l _Toc216 </w:instrText>
      </w:r>
      <w:r>
        <w:fldChar w:fldCharType="separate"/>
      </w:r>
      <w:r>
        <w:t>4. Methodology</w:t>
      </w:r>
      <w:r>
        <w:tab/>
      </w:r>
      <w:r>
        <w:fldChar w:fldCharType="begin"/>
      </w:r>
      <w:r>
        <w:instrText xml:space="preserve"> PAGEREF _Toc216 \h </w:instrText>
      </w:r>
      <w:r>
        <w:fldChar w:fldCharType="separate"/>
      </w:r>
      <w:r>
        <w:t>10</w:t>
      </w:r>
      <w:r>
        <w:fldChar w:fldCharType="end"/>
      </w:r>
      <w:r>
        <w:fldChar w:fldCharType="end"/>
      </w:r>
    </w:p>
    <w:p w14:paraId="4028B7F8">
      <w:pPr>
        <w:pStyle w:val="29"/>
        <w:tabs>
          <w:tab w:val="right" w:leader="dot" w:pos="9360"/>
        </w:tabs>
      </w:pPr>
      <w:r>
        <w:fldChar w:fldCharType="begin"/>
      </w:r>
      <w:r>
        <w:instrText xml:space="preserve"> HYPERLINK \l _Toc12189 </w:instrText>
      </w:r>
      <w:r>
        <w:fldChar w:fldCharType="separate"/>
      </w:r>
      <w:r>
        <w:t>4.1 Review domains</w:t>
      </w:r>
      <w:r>
        <w:tab/>
      </w:r>
      <w:r>
        <w:fldChar w:fldCharType="begin"/>
      </w:r>
      <w:r>
        <w:instrText xml:space="preserve"> PAGEREF _Toc12189 \h </w:instrText>
      </w:r>
      <w:r>
        <w:fldChar w:fldCharType="separate"/>
      </w:r>
      <w:r>
        <w:t>10</w:t>
      </w:r>
      <w:r>
        <w:fldChar w:fldCharType="end"/>
      </w:r>
      <w:r>
        <w:fldChar w:fldCharType="end"/>
      </w:r>
    </w:p>
    <w:p w14:paraId="49B9D24C">
      <w:pPr>
        <w:pStyle w:val="29"/>
        <w:tabs>
          <w:tab w:val="right" w:leader="dot" w:pos="9360"/>
        </w:tabs>
      </w:pPr>
      <w:r>
        <w:fldChar w:fldCharType="begin"/>
      </w:r>
      <w:r>
        <w:instrText xml:space="preserve"> HYPERLINK \l _Toc9091 </w:instrText>
      </w:r>
      <w:r>
        <w:fldChar w:fldCharType="separate"/>
      </w:r>
      <w:r>
        <w:t>4.2 Automated tools</w:t>
      </w:r>
      <w:r>
        <w:tab/>
      </w:r>
      <w:r>
        <w:fldChar w:fldCharType="begin"/>
      </w:r>
      <w:r>
        <w:instrText xml:space="preserve"> PAGEREF _Toc9091 \h </w:instrText>
      </w:r>
      <w:r>
        <w:fldChar w:fldCharType="separate"/>
      </w:r>
      <w:r>
        <w:t>10</w:t>
      </w:r>
      <w:r>
        <w:fldChar w:fldCharType="end"/>
      </w:r>
      <w:r>
        <w:fldChar w:fldCharType="end"/>
      </w:r>
    </w:p>
    <w:p w14:paraId="2F309DFB">
      <w:pPr>
        <w:pStyle w:val="29"/>
        <w:tabs>
          <w:tab w:val="right" w:leader="dot" w:pos="9360"/>
        </w:tabs>
      </w:pPr>
      <w:r>
        <w:fldChar w:fldCharType="begin"/>
      </w:r>
      <w:r>
        <w:instrText xml:space="preserve"> HYPERLINK \l _Toc2652 </w:instrText>
      </w:r>
      <w:r>
        <w:fldChar w:fldCharType="separate"/>
      </w:r>
      <w:r>
        <w:t>4.3 Severity model</w:t>
      </w:r>
      <w:r>
        <w:tab/>
      </w:r>
      <w:r>
        <w:fldChar w:fldCharType="begin"/>
      </w:r>
      <w:r>
        <w:instrText xml:space="preserve"> PAGEREF _Toc2652 \h </w:instrText>
      </w:r>
      <w:r>
        <w:fldChar w:fldCharType="separate"/>
      </w:r>
      <w:r>
        <w:t>10</w:t>
      </w:r>
      <w:r>
        <w:fldChar w:fldCharType="end"/>
      </w:r>
      <w:r>
        <w:fldChar w:fldCharType="end"/>
      </w:r>
    </w:p>
    <w:p w14:paraId="13F04D8A">
      <w:pPr>
        <w:pStyle w:val="29"/>
        <w:tabs>
          <w:tab w:val="right" w:leader="dot" w:pos="9360"/>
        </w:tabs>
      </w:pPr>
      <w:r>
        <w:fldChar w:fldCharType="begin"/>
      </w:r>
      <w:r>
        <w:instrText xml:space="preserve"> HYPERLINK \l _Toc1185 </w:instrText>
      </w:r>
      <w:r>
        <w:fldChar w:fldCharType="separate"/>
      </w:r>
      <w:r>
        <w:t>4.4 Status model</w:t>
      </w:r>
      <w:r>
        <w:tab/>
      </w:r>
      <w:r>
        <w:fldChar w:fldCharType="begin"/>
      </w:r>
      <w:r>
        <w:instrText xml:space="preserve"> PAGEREF _Toc1185 \h </w:instrText>
      </w:r>
      <w:r>
        <w:fldChar w:fldCharType="separate"/>
      </w:r>
      <w:r>
        <w:t>11</w:t>
      </w:r>
      <w:r>
        <w:fldChar w:fldCharType="end"/>
      </w:r>
      <w:r>
        <w:fldChar w:fldCharType="end"/>
      </w:r>
    </w:p>
    <w:p w14:paraId="1E0461DC">
      <w:pPr>
        <w:pStyle w:val="26"/>
        <w:tabs>
          <w:tab w:val="right" w:leader="dot" w:pos="9360"/>
        </w:tabs>
      </w:pPr>
      <w:r>
        <w:fldChar w:fldCharType="begin"/>
      </w:r>
      <w:r>
        <w:instrText xml:space="preserve"> HYPERLINK \l _Toc26131 </w:instrText>
      </w:r>
      <w:r>
        <w:fldChar w:fldCharType="separate"/>
      </w:r>
      <w:r>
        <w:t>5. Assessment results</w:t>
      </w:r>
      <w:r>
        <w:tab/>
      </w:r>
      <w:r>
        <w:fldChar w:fldCharType="begin"/>
      </w:r>
      <w:r>
        <w:instrText xml:space="preserve"> PAGEREF _Toc26131 \h </w:instrText>
      </w:r>
      <w:r>
        <w:fldChar w:fldCharType="separate"/>
      </w:r>
      <w:r>
        <w:t>12</w:t>
      </w:r>
      <w:r>
        <w:fldChar w:fldCharType="end"/>
      </w:r>
      <w:r>
        <w:fldChar w:fldCharType="end"/>
      </w:r>
    </w:p>
    <w:p w14:paraId="4D0A1402">
      <w:pPr>
        <w:pStyle w:val="29"/>
        <w:tabs>
          <w:tab w:val="right" w:leader="dot" w:pos="9360"/>
        </w:tabs>
      </w:pPr>
      <w:r>
        <w:fldChar w:fldCharType="begin"/>
      </w:r>
      <w:r>
        <w:instrText xml:space="preserve"> HYPERLINK \l _Toc31464 </w:instrText>
      </w:r>
      <w:r>
        <w:fldChar w:fldCharType="separate"/>
      </w:r>
      <w:r>
        <w:t>5.1 Positive controls verified</w:t>
      </w:r>
      <w:r>
        <w:tab/>
      </w:r>
      <w:r>
        <w:fldChar w:fldCharType="begin"/>
      </w:r>
      <w:r>
        <w:instrText xml:space="preserve"> PAGEREF _Toc31464 \h </w:instrText>
      </w:r>
      <w:r>
        <w:fldChar w:fldCharType="separate"/>
      </w:r>
      <w:r>
        <w:t>12</w:t>
      </w:r>
      <w:r>
        <w:fldChar w:fldCharType="end"/>
      </w:r>
      <w:r>
        <w:fldChar w:fldCharType="end"/>
      </w:r>
    </w:p>
    <w:p w14:paraId="2E923014">
      <w:pPr>
        <w:pStyle w:val="29"/>
        <w:tabs>
          <w:tab w:val="right" w:leader="dot" w:pos="9360"/>
        </w:tabs>
      </w:pPr>
      <w:r>
        <w:fldChar w:fldCharType="begin"/>
      </w:r>
      <w:r>
        <w:instrText xml:space="preserve"> HYPERLINK \l _Toc21272 </w:instrText>
      </w:r>
      <w:r>
        <w:fldChar w:fldCharType="separate"/>
      </w:r>
      <w:r>
        <w:t>5.2 Release-blocking items</w:t>
      </w:r>
      <w:r>
        <w:tab/>
      </w:r>
      <w:r>
        <w:fldChar w:fldCharType="begin"/>
      </w:r>
      <w:r>
        <w:instrText xml:space="preserve"> PAGEREF _Toc21272 \h </w:instrText>
      </w:r>
      <w:r>
        <w:fldChar w:fldCharType="separate"/>
      </w:r>
      <w:r>
        <w:t>12</w:t>
      </w:r>
      <w:r>
        <w:fldChar w:fldCharType="end"/>
      </w:r>
      <w:r>
        <w:fldChar w:fldCharType="end"/>
      </w:r>
    </w:p>
    <w:p w14:paraId="7A5569F8">
      <w:pPr>
        <w:pStyle w:val="26"/>
        <w:tabs>
          <w:tab w:val="right" w:leader="dot" w:pos="9360"/>
        </w:tabs>
      </w:pPr>
      <w:r>
        <w:fldChar w:fldCharType="begin"/>
      </w:r>
      <w:r>
        <w:instrText xml:space="preserve"> HYPERLINK \l _Toc32746 </w:instrText>
      </w:r>
      <w:r>
        <w:fldChar w:fldCharType="separate"/>
      </w:r>
      <w:r>
        <w:t>6. Detailed findings</w:t>
      </w:r>
      <w:r>
        <w:tab/>
      </w:r>
      <w:r>
        <w:fldChar w:fldCharType="begin"/>
      </w:r>
      <w:r>
        <w:instrText xml:space="preserve"> PAGEREF _Toc32746 \h </w:instrText>
      </w:r>
      <w:r>
        <w:fldChar w:fldCharType="separate"/>
      </w:r>
      <w:r>
        <w:t>13</w:t>
      </w:r>
      <w:r>
        <w:fldChar w:fldCharType="end"/>
      </w:r>
      <w:r>
        <w:fldChar w:fldCharType="end"/>
      </w:r>
    </w:p>
    <w:p w14:paraId="4D6A2C2D">
      <w:pPr>
        <w:pStyle w:val="29"/>
        <w:tabs>
          <w:tab w:val="right" w:leader="dot" w:pos="9360"/>
        </w:tabs>
      </w:pPr>
      <w:r>
        <w:fldChar w:fldCharType="begin"/>
      </w:r>
      <w:r>
        <w:instrText xml:space="preserve"> HYPERLINK \l _Toc11520 </w:instrText>
      </w:r>
      <w:r>
        <w:fldChar w:fldCharType="separate"/>
      </w:r>
      <w:r>
        <w:t>6.1 MED-01 — Manual-review threshold could be bypassed by splitting redemptions</w:t>
      </w:r>
      <w:r>
        <w:tab/>
      </w:r>
      <w:r>
        <w:fldChar w:fldCharType="begin"/>
      </w:r>
      <w:r>
        <w:instrText xml:space="preserve"> PAGEREF _Toc11520 \h </w:instrText>
      </w:r>
      <w:r>
        <w:fldChar w:fldCharType="separate"/>
      </w:r>
      <w:r>
        <w:t>14</w:t>
      </w:r>
      <w:r>
        <w:fldChar w:fldCharType="end"/>
      </w:r>
      <w:r>
        <w:fldChar w:fldCharType="end"/>
      </w:r>
    </w:p>
    <w:p w14:paraId="153E8E14">
      <w:pPr>
        <w:pStyle w:val="29"/>
        <w:tabs>
          <w:tab w:val="right" w:leader="dot" w:pos="9360"/>
        </w:tabs>
      </w:pPr>
      <w:r>
        <w:fldChar w:fldCharType="begin"/>
      </w:r>
      <w:r>
        <w:instrText xml:space="preserve"> HYPERLINK \l _Toc20489 </w:instrText>
      </w:r>
      <w:r>
        <w:fldChar w:fldCharType="separate"/>
      </w:r>
      <w:r>
        <w:t>6.2 MED-02 — Purchases could create redemption liabilities without enforced reserve coverage</w:t>
      </w:r>
      <w:r>
        <w:tab/>
      </w:r>
      <w:r>
        <w:fldChar w:fldCharType="begin"/>
      </w:r>
      <w:r>
        <w:instrText xml:space="preserve"> PAGEREF _Toc20489 \h </w:instrText>
      </w:r>
      <w:r>
        <w:fldChar w:fldCharType="separate"/>
      </w:r>
      <w:r>
        <w:t>15</w:t>
      </w:r>
      <w:r>
        <w:fldChar w:fldCharType="end"/>
      </w:r>
      <w:r>
        <w:fldChar w:fldCharType="end"/>
      </w:r>
    </w:p>
    <w:p w14:paraId="4648CBC7">
      <w:pPr>
        <w:pStyle w:val="29"/>
        <w:tabs>
          <w:tab w:val="right" w:leader="dot" w:pos="9360"/>
        </w:tabs>
      </w:pPr>
      <w:r>
        <w:fldChar w:fldCharType="begin"/>
      </w:r>
      <w:r>
        <w:instrText xml:space="preserve"> HYPERLINK \l _Toc22848 </w:instrText>
      </w:r>
      <w:r>
        <w:fldChar w:fldCharType="separate"/>
      </w:r>
      <w:r>
        <w:t>6.3 MED-03 — Oracle validation previously relied primarily on freshness</w:t>
      </w:r>
      <w:r>
        <w:tab/>
      </w:r>
      <w:r>
        <w:fldChar w:fldCharType="begin"/>
      </w:r>
      <w:r>
        <w:instrText xml:space="preserve"> PAGEREF _Toc22848 \h </w:instrText>
      </w:r>
      <w:r>
        <w:fldChar w:fldCharType="separate"/>
      </w:r>
      <w:r>
        <w:t>16</w:t>
      </w:r>
      <w:r>
        <w:fldChar w:fldCharType="end"/>
      </w:r>
      <w:r>
        <w:fldChar w:fldCharType="end"/>
      </w:r>
    </w:p>
    <w:p w14:paraId="31127A7B">
      <w:pPr>
        <w:pStyle w:val="29"/>
        <w:tabs>
          <w:tab w:val="right" w:leader="dot" w:pos="9360"/>
        </w:tabs>
      </w:pPr>
      <w:r>
        <w:fldChar w:fldCharType="begin"/>
      </w:r>
      <w:r>
        <w:instrText xml:space="preserve"> HYPERLINK \l _Toc8131 </w:instrText>
      </w:r>
      <w:r>
        <w:fldChar w:fldCharType="separate"/>
      </w:r>
      <w:r>
        <w:t>6.4 MED-04 — Staking oracle controls are materially weaker than purchase controls</w:t>
      </w:r>
      <w:r>
        <w:tab/>
      </w:r>
      <w:r>
        <w:fldChar w:fldCharType="begin"/>
      </w:r>
      <w:r>
        <w:instrText xml:space="preserve"> PAGEREF _Toc8131 \h </w:instrText>
      </w:r>
      <w:r>
        <w:fldChar w:fldCharType="separate"/>
      </w:r>
      <w:r>
        <w:t>17</w:t>
      </w:r>
      <w:r>
        <w:fldChar w:fldCharType="end"/>
      </w:r>
      <w:r>
        <w:fldChar w:fldCharType="end"/>
      </w:r>
    </w:p>
    <w:p w14:paraId="1E0EBE05">
      <w:pPr>
        <w:pStyle w:val="29"/>
        <w:tabs>
          <w:tab w:val="right" w:leader="dot" w:pos="9360"/>
        </w:tabs>
      </w:pPr>
      <w:r>
        <w:fldChar w:fldCharType="begin"/>
      </w:r>
      <w:r>
        <w:instrText xml:space="preserve"> HYPERLINK \l _Toc23321 </w:instrText>
      </w:r>
      <w:r>
        <w:fldChar w:fldCharType="separate"/>
      </w:r>
      <w:r>
        <w:t>6.5 LOW-01 — UTC day buckets permit a short-window boundary burst</w:t>
      </w:r>
      <w:r>
        <w:tab/>
      </w:r>
      <w:r>
        <w:fldChar w:fldCharType="begin"/>
      </w:r>
      <w:r>
        <w:instrText xml:space="preserve"> PAGEREF _Toc23321 \h </w:instrText>
      </w:r>
      <w:r>
        <w:fldChar w:fldCharType="separate"/>
      </w:r>
      <w:r>
        <w:t>18</w:t>
      </w:r>
      <w:r>
        <w:fldChar w:fldCharType="end"/>
      </w:r>
      <w:r>
        <w:fldChar w:fldCharType="end"/>
      </w:r>
    </w:p>
    <w:p w14:paraId="1501B1F1">
      <w:pPr>
        <w:pStyle w:val="29"/>
        <w:tabs>
          <w:tab w:val="right" w:leader="dot" w:pos="9360"/>
        </w:tabs>
      </w:pPr>
      <w:r>
        <w:fldChar w:fldCharType="begin"/>
      </w:r>
      <w:r>
        <w:instrText xml:space="preserve"> HYPERLINK \l _Toc5445 </w:instrText>
      </w:r>
      <w:r>
        <w:fldChar w:fldCharType="separate"/>
      </w:r>
      <w:r>
        <w:t>6.6 INFO-01 — Privileged operations are not constrained by protocol-level multisig or timelock</w:t>
      </w:r>
      <w:r>
        <w:tab/>
      </w:r>
      <w:r>
        <w:fldChar w:fldCharType="begin"/>
      </w:r>
      <w:r>
        <w:instrText xml:space="preserve"> PAGEREF _Toc5445 \h </w:instrText>
      </w:r>
      <w:r>
        <w:fldChar w:fldCharType="separate"/>
      </w:r>
      <w:r>
        <w:t>19</w:t>
      </w:r>
      <w:r>
        <w:fldChar w:fldCharType="end"/>
      </w:r>
      <w:r>
        <w:fldChar w:fldCharType="end"/>
      </w:r>
    </w:p>
    <w:p w14:paraId="03ED5BD0">
      <w:pPr>
        <w:pStyle w:val="29"/>
        <w:tabs>
          <w:tab w:val="right" w:leader="dot" w:pos="9360"/>
        </w:tabs>
      </w:pPr>
      <w:r>
        <w:fldChar w:fldCharType="begin"/>
      </w:r>
      <w:r>
        <w:instrText xml:space="preserve"> HYPERLINK \l _Toc29097 </w:instrText>
      </w:r>
      <w:r>
        <w:fldChar w:fldCharType="separate"/>
      </w:r>
      <w:r>
        <w:t>6.7 INFO-02 — Immutable beneficiaries and narrow recovery paths create liveness risk</w:t>
      </w:r>
      <w:r>
        <w:tab/>
      </w:r>
      <w:r>
        <w:fldChar w:fldCharType="begin"/>
      </w:r>
      <w:r>
        <w:instrText xml:space="preserve"> PAGEREF _Toc29097 \h </w:instrText>
      </w:r>
      <w:r>
        <w:fldChar w:fldCharType="separate"/>
      </w:r>
      <w:r>
        <w:t>20</w:t>
      </w:r>
      <w:r>
        <w:fldChar w:fldCharType="end"/>
      </w:r>
      <w:r>
        <w:fldChar w:fldCharType="end"/>
      </w:r>
    </w:p>
    <w:p w14:paraId="2273082C">
      <w:pPr>
        <w:pStyle w:val="29"/>
        <w:tabs>
          <w:tab w:val="right" w:leader="dot" w:pos="9360"/>
        </w:tabs>
      </w:pPr>
      <w:r>
        <w:fldChar w:fldCharType="begin"/>
      </w:r>
      <w:r>
        <w:instrText xml:space="preserve"> HYPERLINK \l _Toc3444 </w:instrText>
      </w:r>
      <w:r>
        <w:fldChar w:fldCharType="separate"/>
      </w:r>
      <w:r>
        <w:t>6.8 INFO-03 — Settlement events omit configuration evidence needed for independent reconstruction</w:t>
      </w:r>
      <w:r>
        <w:tab/>
      </w:r>
      <w:r>
        <w:fldChar w:fldCharType="begin"/>
      </w:r>
      <w:r>
        <w:instrText xml:space="preserve"> PAGEREF _Toc3444 \h </w:instrText>
      </w:r>
      <w:r>
        <w:fldChar w:fldCharType="separate"/>
      </w:r>
      <w:r>
        <w:t>21</w:t>
      </w:r>
      <w:r>
        <w:fldChar w:fldCharType="end"/>
      </w:r>
      <w:r>
        <w:fldChar w:fldCharType="end"/>
      </w:r>
    </w:p>
    <w:p w14:paraId="304B2483">
      <w:pPr>
        <w:pStyle w:val="29"/>
        <w:tabs>
          <w:tab w:val="right" w:leader="dot" w:pos="9360"/>
        </w:tabs>
      </w:pPr>
      <w:r>
        <w:fldChar w:fldCharType="begin"/>
      </w:r>
      <w:r>
        <w:instrText xml:space="preserve"> HYPERLINK \l _Toc29215 </w:instrText>
      </w:r>
      <w:r>
        <w:fldChar w:fldCharType="separate"/>
      </w:r>
      <w:r>
        <w:t>6.9 INFO-04 — Staking proceeds depend indefinitely on a user-triggered claim</w:t>
      </w:r>
      <w:r>
        <w:tab/>
      </w:r>
      <w:r>
        <w:fldChar w:fldCharType="begin"/>
      </w:r>
      <w:r>
        <w:instrText xml:space="preserve"> PAGEREF _Toc29215 \h </w:instrText>
      </w:r>
      <w:r>
        <w:fldChar w:fldCharType="separate"/>
      </w:r>
      <w:r>
        <w:t>22</w:t>
      </w:r>
      <w:r>
        <w:fldChar w:fldCharType="end"/>
      </w:r>
      <w:r>
        <w:fldChar w:fldCharType="end"/>
      </w:r>
    </w:p>
    <w:p w14:paraId="45745533">
      <w:pPr>
        <w:pStyle w:val="26"/>
        <w:tabs>
          <w:tab w:val="right" w:leader="dot" w:pos="9360"/>
        </w:tabs>
      </w:pPr>
      <w:r>
        <w:fldChar w:fldCharType="begin"/>
      </w:r>
      <w:r>
        <w:instrText xml:space="preserve"> HYPERLINK \l _Toc31524 </w:instrText>
      </w:r>
      <w:r>
        <w:fldChar w:fldCharType="separate"/>
      </w:r>
      <w:r>
        <w:t>7. Automated verification evidence</w:t>
      </w:r>
      <w:r>
        <w:tab/>
      </w:r>
      <w:r>
        <w:fldChar w:fldCharType="begin"/>
      </w:r>
      <w:r>
        <w:instrText xml:space="preserve"> PAGEREF _Toc31524 \h </w:instrText>
      </w:r>
      <w:r>
        <w:fldChar w:fldCharType="separate"/>
      </w:r>
      <w:r>
        <w:t>23</w:t>
      </w:r>
      <w:r>
        <w:fldChar w:fldCharType="end"/>
      </w:r>
      <w:r>
        <w:fldChar w:fldCharType="end"/>
      </w:r>
    </w:p>
    <w:p w14:paraId="1A03292C">
      <w:pPr>
        <w:pStyle w:val="29"/>
        <w:tabs>
          <w:tab w:val="right" w:leader="dot" w:pos="9360"/>
        </w:tabs>
      </w:pPr>
      <w:r>
        <w:fldChar w:fldCharType="begin"/>
      </w:r>
      <w:r>
        <w:instrText xml:space="preserve"> HYPERLINK \l _Toc23924 </w:instrText>
      </w:r>
      <w:r>
        <w:fldChar w:fldCharType="separate"/>
      </w:r>
      <w:r>
        <w:t>7.1 Compilation and dynamic tests</w:t>
      </w:r>
      <w:r>
        <w:tab/>
      </w:r>
      <w:r>
        <w:fldChar w:fldCharType="begin"/>
      </w:r>
      <w:r>
        <w:instrText xml:space="preserve"> PAGEREF _Toc23924 \h </w:instrText>
      </w:r>
      <w:r>
        <w:fldChar w:fldCharType="separate"/>
      </w:r>
      <w:r>
        <w:t>23</w:t>
      </w:r>
      <w:r>
        <w:fldChar w:fldCharType="end"/>
      </w:r>
      <w:r>
        <w:fldChar w:fldCharType="end"/>
      </w:r>
    </w:p>
    <w:p w14:paraId="56231703">
      <w:pPr>
        <w:pStyle w:val="29"/>
        <w:tabs>
          <w:tab w:val="right" w:leader="dot" w:pos="9360"/>
        </w:tabs>
      </w:pPr>
      <w:r>
        <w:fldChar w:fldCharType="begin"/>
      </w:r>
      <w:r>
        <w:instrText xml:space="preserve"> HYPERLINK \l _Toc5915 </w:instrText>
      </w:r>
      <w:r>
        <w:fldChar w:fldCharType="separate"/>
      </w:r>
      <w:r>
        <w:t>7.2 Coverage</w:t>
      </w:r>
      <w:r>
        <w:tab/>
      </w:r>
      <w:r>
        <w:fldChar w:fldCharType="begin"/>
      </w:r>
      <w:r>
        <w:instrText xml:space="preserve"> PAGEREF _Toc5915 \h </w:instrText>
      </w:r>
      <w:r>
        <w:fldChar w:fldCharType="separate"/>
      </w:r>
      <w:r>
        <w:t>23</w:t>
      </w:r>
      <w:r>
        <w:fldChar w:fldCharType="end"/>
      </w:r>
      <w:r>
        <w:fldChar w:fldCharType="end"/>
      </w:r>
    </w:p>
    <w:p w14:paraId="209C9327">
      <w:pPr>
        <w:pStyle w:val="29"/>
        <w:tabs>
          <w:tab w:val="right" w:leader="dot" w:pos="9360"/>
        </w:tabs>
      </w:pPr>
      <w:r>
        <w:fldChar w:fldCharType="begin"/>
      </w:r>
      <w:r>
        <w:instrText xml:space="preserve"> HYPERLINK \l _Toc32344 </w:instrText>
      </w:r>
      <w:r>
        <w:fldChar w:fldCharType="separate"/>
      </w:r>
      <w:r>
        <w:t>7.3 Slither static analysis</w:t>
      </w:r>
      <w:r>
        <w:tab/>
      </w:r>
      <w:r>
        <w:fldChar w:fldCharType="begin"/>
      </w:r>
      <w:r>
        <w:instrText xml:space="preserve"> PAGEREF _Toc32344 \h </w:instrText>
      </w:r>
      <w:r>
        <w:fldChar w:fldCharType="separate"/>
      </w:r>
      <w:r>
        <w:t>24</w:t>
      </w:r>
      <w:r>
        <w:fldChar w:fldCharType="end"/>
      </w:r>
      <w:r>
        <w:fldChar w:fldCharType="end"/>
      </w:r>
    </w:p>
    <w:p w14:paraId="292D6598">
      <w:pPr>
        <w:pStyle w:val="29"/>
        <w:tabs>
          <w:tab w:val="right" w:leader="dot" w:pos="9360"/>
        </w:tabs>
      </w:pPr>
      <w:r>
        <w:fldChar w:fldCharType="begin"/>
      </w:r>
      <w:r>
        <w:instrText xml:space="preserve"> HYPERLINK \l _Toc10811 </w:instrText>
      </w:r>
      <w:r>
        <w:fldChar w:fldCharType="separate"/>
      </w:r>
      <w:r>
        <w:t>7.4 Dependency audit</w:t>
      </w:r>
      <w:r>
        <w:tab/>
      </w:r>
      <w:r>
        <w:fldChar w:fldCharType="begin"/>
      </w:r>
      <w:r>
        <w:instrText xml:space="preserve"> PAGEREF _Toc10811 \h </w:instrText>
      </w:r>
      <w:r>
        <w:fldChar w:fldCharType="separate"/>
      </w:r>
      <w:r>
        <w:t>24</w:t>
      </w:r>
      <w:r>
        <w:fldChar w:fldCharType="end"/>
      </w:r>
      <w:r>
        <w:fldChar w:fldCharType="end"/>
      </w:r>
    </w:p>
    <w:p w14:paraId="777C5301">
      <w:pPr>
        <w:pStyle w:val="26"/>
        <w:tabs>
          <w:tab w:val="right" w:leader="dot" w:pos="9360"/>
        </w:tabs>
      </w:pPr>
      <w:r>
        <w:fldChar w:fldCharType="begin"/>
      </w:r>
      <w:r>
        <w:instrText xml:space="preserve"> HYPERLINK \l _Toc26417 </w:instrText>
      </w:r>
      <w:r>
        <w:fldChar w:fldCharType="separate"/>
      </w:r>
      <w:r>
        <w:t>8. Operational and deployment readiness</w:t>
      </w:r>
      <w:r>
        <w:tab/>
      </w:r>
      <w:r>
        <w:fldChar w:fldCharType="begin"/>
      </w:r>
      <w:r>
        <w:instrText xml:space="preserve"> PAGEREF _Toc26417 \h </w:instrText>
      </w:r>
      <w:r>
        <w:fldChar w:fldCharType="separate"/>
      </w:r>
      <w:r>
        <w:t>25</w:t>
      </w:r>
      <w:r>
        <w:fldChar w:fldCharType="end"/>
      </w:r>
      <w:r>
        <w:fldChar w:fldCharType="end"/>
      </w:r>
    </w:p>
    <w:p w14:paraId="1D0D440A">
      <w:pPr>
        <w:pStyle w:val="29"/>
        <w:tabs>
          <w:tab w:val="right" w:leader="dot" w:pos="9360"/>
        </w:tabs>
      </w:pPr>
      <w:r>
        <w:fldChar w:fldCharType="begin"/>
      </w:r>
      <w:r>
        <w:instrText xml:space="preserve"> HYPERLINK \l _Toc32287 </w:instrText>
      </w:r>
      <w:r>
        <w:fldChar w:fldCharType="separate"/>
      </w:r>
      <w:r>
        <w:t>8.1 Deployment script boundary</w:t>
      </w:r>
      <w:r>
        <w:tab/>
      </w:r>
      <w:r>
        <w:fldChar w:fldCharType="begin"/>
      </w:r>
      <w:r>
        <w:instrText xml:space="preserve"> PAGEREF _Toc32287 \h </w:instrText>
      </w:r>
      <w:r>
        <w:fldChar w:fldCharType="separate"/>
      </w:r>
      <w:r>
        <w:t>25</w:t>
      </w:r>
      <w:r>
        <w:fldChar w:fldCharType="end"/>
      </w:r>
      <w:r>
        <w:fldChar w:fldCharType="end"/>
      </w:r>
    </w:p>
    <w:p w14:paraId="1EBBCE42">
      <w:pPr>
        <w:pStyle w:val="29"/>
        <w:tabs>
          <w:tab w:val="right" w:leader="dot" w:pos="9360"/>
        </w:tabs>
      </w:pPr>
      <w:r>
        <w:fldChar w:fldCharType="begin"/>
      </w:r>
      <w:r>
        <w:instrText xml:space="preserve"> HYPERLINK \l _Toc24790 </w:instrText>
      </w:r>
      <w:r>
        <w:fldChar w:fldCharType="separate"/>
      </w:r>
      <w:r>
        <w:t>8.2 Oracle-breaker keeper</w:t>
      </w:r>
      <w:r>
        <w:tab/>
      </w:r>
      <w:r>
        <w:fldChar w:fldCharType="begin"/>
      </w:r>
      <w:r>
        <w:instrText xml:space="preserve"> PAGEREF _Toc24790 \h </w:instrText>
      </w:r>
      <w:r>
        <w:fldChar w:fldCharType="separate"/>
      </w:r>
      <w:r>
        <w:t>25</w:t>
      </w:r>
      <w:r>
        <w:fldChar w:fldCharType="end"/>
      </w:r>
      <w:r>
        <w:fldChar w:fldCharType="end"/>
      </w:r>
    </w:p>
    <w:p w14:paraId="16E33131">
      <w:pPr>
        <w:pStyle w:val="29"/>
        <w:tabs>
          <w:tab w:val="right" w:leader="dot" w:pos="9360"/>
        </w:tabs>
      </w:pPr>
      <w:r>
        <w:fldChar w:fldCharType="begin"/>
      </w:r>
      <w:r>
        <w:instrText xml:space="preserve"> HYPERLINK \l _Toc20315 </w:instrText>
      </w:r>
      <w:r>
        <w:fldChar w:fldCharType="separate"/>
      </w:r>
      <w:r>
        <w:t>8.3 Mandatory mainnet gates</w:t>
      </w:r>
      <w:r>
        <w:tab/>
      </w:r>
      <w:r>
        <w:fldChar w:fldCharType="begin"/>
      </w:r>
      <w:r>
        <w:instrText xml:space="preserve"> PAGEREF _Toc20315 \h </w:instrText>
      </w:r>
      <w:r>
        <w:fldChar w:fldCharType="separate"/>
      </w:r>
      <w:r>
        <w:t>25</w:t>
      </w:r>
      <w:r>
        <w:fldChar w:fldCharType="end"/>
      </w:r>
      <w:r>
        <w:fldChar w:fldCharType="end"/>
      </w:r>
    </w:p>
    <w:p w14:paraId="7780D328">
      <w:pPr>
        <w:pStyle w:val="26"/>
        <w:tabs>
          <w:tab w:val="right" w:leader="dot" w:pos="9360"/>
        </w:tabs>
      </w:pPr>
      <w:r>
        <w:fldChar w:fldCharType="begin"/>
      </w:r>
      <w:r>
        <w:instrText xml:space="preserve"> HYPERLINK \l _Toc22587 </w:instrText>
      </w:r>
      <w:r>
        <w:fldChar w:fldCharType="separate"/>
      </w:r>
      <w:r>
        <w:t>9. Residual risk and limitations</w:t>
      </w:r>
      <w:r>
        <w:tab/>
      </w:r>
      <w:r>
        <w:fldChar w:fldCharType="begin"/>
      </w:r>
      <w:r>
        <w:instrText xml:space="preserve"> PAGEREF _Toc22587 \h </w:instrText>
      </w:r>
      <w:r>
        <w:fldChar w:fldCharType="separate"/>
      </w:r>
      <w:r>
        <w:t>26</w:t>
      </w:r>
      <w:r>
        <w:fldChar w:fldCharType="end"/>
      </w:r>
      <w:r>
        <w:fldChar w:fldCharType="end"/>
      </w:r>
    </w:p>
    <w:p w14:paraId="2A14187B">
      <w:pPr>
        <w:pStyle w:val="29"/>
        <w:tabs>
          <w:tab w:val="right" w:leader="dot" w:pos="9360"/>
        </w:tabs>
      </w:pPr>
      <w:r>
        <w:fldChar w:fldCharType="begin"/>
      </w:r>
      <w:r>
        <w:instrText xml:space="preserve"> HYPERLINK \l _Toc14081 </w:instrText>
      </w:r>
      <w:r>
        <w:fldChar w:fldCharType="separate"/>
      </w:r>
      <w:r>
        <w:t>9.1 Responsible disclosure</w:t>
      </w:r>
      <w:r>
        <w:tab/>
      </w:r>
      <w:r>
        <w:fldChar w:fldCharType="begin"/>
      </w:r>
      <w:r>
        <w:instrText xml:space="preserve"> PAGEREF _Toc14081 \h </w:instrText>
      </w:r>
      <w:r>
        <w:fldChar w:fldCharType="separate"/>
      </w:r>
      <w:r>
        <w:t>26</w:t>
      </w:r>
      <w:r>
        <w:fldChar w:fldCharType="end"/>
      </w:r>
      <w:r>
        <w:fldChar w:fldCharType="end"/>
      </w:r>
    </w:p>
    <w:p w14:paraId="6904ADE9">
      <w:pPr>
        <w:pStyle w:val="26"/>
        <w:tabs>
          <w:tab w:val="right" w:leader="dot" w:pos="9360"/>
        </w:tabs>
      </w:pPr>
      <w:r>
        <w:fldChar w:fldCharType="begin"/>
      </w:r>
      <w:r>
        <w:instrText xml:space="preserve"> HYPERLINK \l _Toc2670 </w:instrText>
      </w:r>
      <w:r>
        <w:fldChar w:fldCharType="separate"/>
      </w:r>
      <w:r>
        <w:t>10. Conclusion</w:t>
      </w:r>
      <w:r>
        <w:tab/>
      </w:r>
      <w:r>
        <w:fldChar w:fldCharType="begin"/>
      </w:r>
      <w:r>
        <w:instrText xml:space="preserve"> PAGEREF _Toc2670 \h </w:instrText>
      </w:r>
      <w:r>
        <w:fldChar w:fldCharType="separate"/>
      </w:r>
      <w:r>
        <w:t>27</w:t>
      </w:r>
      <w:r>
        <w:fldChar w:fldCharType="end"/>
      </w:r>
      <w:r>
        <w:fldChar w:fldCharType="end"/>
      </w:r>
    </w:p>
    <w:p w14:paraId="25DF8DD1">
      <w:pPr>
        <w:pStyle w:val="26"/>
        <w:tabs>
          <w:tab w:val="right" w:leader="dot" w:pos="9360"/>
        </w:tabs>
      </w:pPr>
      <w:r>
        <w:fldChar w:fldCharType="begin"/>
      </w:r>
      <w:r>
        <w:instrText xml:space="preserve"> HYPERLINK \l _Toc27934 </w:instrText>
      </w:r>
      <w:r>
        <w:fldChar w:fldCharType="separate"/>
      </w:r>
      <w:r>
        <w:t>Appendix A — Scope file hashes</w:t>
      </w:r>
      <w:r>
        <w:tab/>
      </w:r>
      <w:r>
        <w:fldChar w:fldCharType="begin"/>
      </w:r>
      <w:r>
        <w:instrText xml:space="preserve"> PAGEREF _Toc27934 \h </w:instrText>
      </w:r>
      <w:r>
        <w:fldChar w:fldCharType="separate"/>
      </w:r>
      <w:r>
        <w:t>28</w:t>
      </w:r>
      <w:r>
        <w:fldChar w:fldCharType="end"/>
      </w:r>
      <w:r>
        <w:fldChar w:fldCharType="end"/>
      </w:r>
    </w:p>
    <w:p w14:paraId="33636937">
      <w:pPr>
        <w:pStyle w:val="26"/>
        <w:tabs>
          <w:tab w:val="right" w:leader="dot" w:pos="9360"/>
        </w:tabs>
      </w:pPr>
      <w:r>
        <w:fldChar w:fldCharType="begin"/>
      </w:r>
      <w:r>
        <w:instrText xml:space="preserve"> HYPERLINK \l _Toc27029 </w:instrText>
      </w:r>
      <w:r>
        <w:fldChar w:fldCharType="separate"/>
      </w:r>
      <w:r>
        <w:t>Appendix B — Reproducible command profile</w:t>
      </w:r>
      <w:r>
        <w:tab/>
      </w:r>
      <w:r>
        <w:fldChar w:fldCharType="begin"/>
      </w:r>
      <w:r>
        <w:instrText xml:space="preserve"> PAGEREF _Toc27029 \h </w:instrText>
      </w:r>
      <w:r>
        <w:fldChar w:fldCharType="separate"/>
      </w:r>
      <w:r>
        <w:t>29</w:t>
      </w:r>
      <w:r>
        <w:fldChar w:fldCharType="end"/>
      </w:r>
      <w:r>
        <w:fldChar w:fldCharType="end"/>
      </w:r>
    </w:p>
    <w:p w14:paraId="288EDEB2">
      <w:pPr>
        <w:pStyle w:val="26"/>
        <w:tabs>
          <w:tab w:val="right" w:leader="dot" w:pos="9360"/>
        </w:tabs>
      </w:pPr>
      <w:r>
        <w:fldChar w:fldCharType="begin"/>
      </w:r>
      <w:r>
        <w:instrText xml:space="preserve"> HYPERLINK \l _Toc5193 </w:instrText>
      </w:r>
      <w:r>
        <w:fldChar w:fldCharType="separate"/>
      </w:r>
      <w:r>
        <w:t>Appendix C — Evidence index</w:t>
      </w:r>
      <w:r>
        <w:tab/>
      </w:r>
      <w:r>
        <w:fldChar w:fldCharType="begin"/>
      </w:r>
      <w:r>
        <w:instrText xml:space="preserve"> PAGEREF _Toc5193 \h </w:instrText>
      </w:r>
      <w:r>
        <w:fldChar w:fldCharType="separate"/>
      </w:r>
      <w:r>
        <w:t>29</w:t>
      </w:r>
      <w:r>
        <w:fldChar w:fldCharType="end"/>
      </w:r>
      <w:r>
        <w:fldChar w:fldCharType="end"/>
      </w:r>
    </w:p>
    <w:p w14:paraId="3C7C2A89">
      <w:pPr>
        <w:pStyle w:val="26"/>
        <w:tabs>
          <w:tab w:val="right" w:leader="dot" w:pos="9360"/>
        </w:tabs>
      </w:pPr>
      <w:r>
        <w:fldChar w:fldCharType="begin"/>
      </w:r>
      <w:r>
        <w:instrText xml:space="preserve"> HYPERLINK \l _Toc19153 </w:instrText>
      </w:r>
      <w:r>
        <w:fldChar w:fldCharType="separate"/>
      </w:r>
      <w:r>
        <w:t>Appendix D — Terminology</w:t>
      </w:r>
      <w:r>
        <w:tab/>
      </w:r>
      <w:r>
        <w:fldChar w:fldCharType="begin"/>
      </w:r>
      <w:r>
        <w:instrText xml:space="preserve"> PAGEREF _Toc19153 \h </w:instrText>
      </w:r>
      <w:r>
        <w:fldChar w:fldCharType="separate"/>
      </w:r>
      <w:r>
        <w:t>29</w:t>
      </w:r>
      <w:r>
        <w:fldChar w:fldCharType="end"/>
      </w:r>
      <w:r>
        <w:fldChar w:fldCharType="end"/>
      </w:r>
    </w:p>
    <w:p w14:paraId="0C9DC272">
      <w:r>
        <w:fldChar w:fldCharType="end"/>
      </w:r>
    </w:p>
    <w:p w14:paraId="154E085E">
      <w:pPr>
        <w:pStyle w:val="167"/>
      </w:pPr>
      <w:r>
        <w:rPr>
          <w:rFonts w:ascii="Calibri" w:hAnsi="Calibri" w:eastAsia="Calibri"/>
          <w:color w:val="667085"/>
          <w:sz w:val="17"/>
        </w:rPr>
        <w:t>The table of contents and page references are updated during the controlled PDF export.</w:t>
      </w:r>
    </w:p>
    <w:p w14:paraId="7CBEE956">
      <w:r>
        <w:br w:type="page"/>
      </w:r>
    </w:p>
    <w:p w14:paraId="6BD4A823">
      <w:pPr>
        <w:pStyle w:val="3"/>
        <w:keepNext/>
      </w:pPr>
      <w:bookmarkStart w:id="0" w:name="_Toc17220"/>
      <w:r>
        <w:t>1. Executive summary</w:t>
      </w:r>
      <w:bookmarkEnd w:id="0"/>
    </w:p>
    <w:tbl>
      <w:tblPr>
        <w:tblStyle w:val="34"/>
        <w:tblW w:w="9360" w:type="dxa"/>
        <w:jc w:val="center"/>
        <w:tblLayout w:type="fixed"/>
        <w:tblCellMar>
          <w:top w:w="0" w:type="dxa"/>
          <w:left w:w="108" w:type="dxa"/>
          <w:bottom w:w="0" w:type="dxa"/>
          <w:right w:w="108" w:type="dxa"/>
        </w:tblCellMar>
      </w:tblPr>
      <w:tblGrid>
        <w:gridCol w:w="9360"/>
      </w:tblGrid>
      <w:tr w14:paraId="7CBF9F94">
        <w:tblPrEx>
          <w:tblCellMar>
            <w:top w:w="0" w:type="dxa"/>
            <w:left w:w="108" w:type="dxa"/>
            <w:bottom w:w="0" w:type="dxa"/>
            <w:right w:w="108" w:type="dxa"/>
          </w:tblCellMar>
        </w:tblPrEx>
        <w:trPr>
          <w:jc w:val="center"/>
        </w:trPr>
        <w:tc>
          <w:tcPr>
            <w:tcW w:w="9360" w:type="dxa"/>
            <w:tcBorders>
              <w:top w:val="single" w:color="FFF4E5" w:sz="0" w:space="0"/>
              <w:left w:val="single" w:color="FFF4E5" w:sz="0" w:space="0"/>
              <w:bottom w:val="single" w:color="FFF4E5" w:sz="0" w:space="0"/>
              <w:right w:val="single" w:color="FFF4E5" w:sz="0" w:space="0"/>
              <w:insideH w:val="single" w:sz="0" w:space="0"/>
              <w:insideV w:val="single" w:sz="0" w:space="0"/>
            </w:tcBorders>
            <w:shd w:val="clear" w:color="auto" w:fill="FFF4E5"/>
            <w:tcMar>
              <w:top w:w="80" w:type="dxa"/>
              <w:left w:w="120" w:type="dxa"/>
              <w:bottom w:w="80" w:type="dxa"/>
              <w:right w:w="120" w:type="dxa"/>
            </w:tcMar>
            <w:vAlign w:val="center"/>
          </w:tcPr>
          <w:p w14:paraId="6A931044">
            <w:pPr>
              <w:pBdr>
                <w:left w:val="single" w:color="B54708" w:sz="22" w:space="10"/>
              </w:pBdr>
              <w:spacing w:after="60"/>
            </w:pPr>
            <w:r>
              <w:rPr>
                <w:rFonts w:ascii="Calibri" w:hAnsi="Calibri" w:eastAsia="Calibri"/>
                <w:b/>
                <w:color w:val="B54708"/>
                <w:sz w:val="18"/>
              </w:rPr>
              <w:t>REMEDIATION REQUIRED BEFORE MAINNET</w:t>
            </w:r>
          </w:p>
          <w:p w14:paraId="0A6E4E99">
            <w:pPr>
              <w:pBdr>
                <w:left w:val="single" w:color="B54708" w:sz="22" w:space="10"/>
              </w:pBdr>
              <w:spacing w:after="0"/>
            </w:pPr>
            <w:r>
              <w:rPr>
                <w:rFonts w:ascii="Calibri" w:hAnsi="Calibri" w:eastAsia="Calibri"/>
                <w:color w:val="222A35"/>
                <w:sz w:val="21"/>
              </w:rPr>
              <w:t>During the procedures described and within the frozen scope, no Critical or High finding was identified. One open Medium issue remains in Staking oracle validation, together with one open Low and four open Informational findings. Mainnet enablement should remain blocked until MED-04 is remediated or explicitly risk-accepted and the deployment gates in Section 8 are independently verified.</w:t>
            </w:r>
          </w:p>
        </w:tc>
      </w:tr>
    </w:tbl>
    <w:p w14:paraId="4C854BDB">
      <w:pPr>
        <w:spacing w:after="20"/>
      </w:pPr>
    </w:p>
    <w:tbl>
      <w:tblPr>
        <w:tblStyle w:val="34"/>
        <w:tblW w:w="9360" w:type="dxa"/>
        <w:jc w:val="center"/>
        <w:tblLayout w:type="fixed"/>
        <w:tblCellMar>
          <w:top w:w="0" w:type="dxa"/>
          <w:left w:w="108" w:type="dxa"/>
          <w:bottom w:w="0" w:type="dxa"/>
          <w:right w:w="108" w:type="dxa"/>
        </w:tblCellMar>
      </w:tblPr>
      <w:tblGrid>
        <w:gridCol w:w="1872"/>
        <w:gridCol w:w="1872"/>
        <w:gridCol w:w="1872"/>
        <w:gridCol w:w="1872"/>
        <w:gridCol w:w="1872"/>
      </w:tblGrid>
      <w:tr w14:paraId="3A7E7523">
        <w:tblPrEx>
          <w:tblCellMar>
            <w:top w:w="0" w:type="dxa"/>
            <w:left w:w="108" w:type="dxa"/>
            <w:bottom w:w="0" w:type="dxa"/>
            <w:right w:w="108" w:type="dxa"/>
          </w:tblCellMar>
        </w:tblPrEx>
        <w:trPr>
          <w:jc w:val="center"/>
        </w:trPr>
        <w:tc>
          <w:tcPr>
            <w:tcW w:w="1872" w:type="dxa"/>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EECEB"/>
            <w:tcMar>
              <w:top w:w="80" w:type="dxa"/>
              <w:left w:w="120" w:type="dxa"/>
              <w:bottom w:w="80" w:type="dxa"/>
              <w:right w:w="120" w:type="dxa"/>
            </w:tcMar>
            <w:vAlign w:val="center"/>
          </w:tcPr>
          <w:p w14:paraId="0CE36346">
            <w:pPr>
              <w:spacing w:after="0"/>
              <w:jc w:val="center"/>
            </w:pPr>
            <w:r>
              <w:rPr>
                <w:rFonts w:ascii="Calibri" w:hAnsi="Calibri" w:eastAsia="Calibri"/>
                <w:b/>
                <w:color w:val="B42318"/>
                <w:sz w:val="17"/>
              </w:rPr>
              <w:t>CRITICAL</w:t>
            </w:r>
            <w:r>
              <w:rPr>
                <w:rFonts w:ascii="Calibri" w:hAnsi="Calibri" w:eastAsia="Calibri"/>
                <w:b/>
                <w:color w:val="B42318"/>
                <w:sz w:val="17"/>
              </w:rPr>
              <w:br w:type="textWrapping"/>
            </w:r>
            <w:r>
              <w:rPr>
                <w:rFonts w:ascii="Calibri" w:hAnsi="Calibri" w:eastAsia="Calibri"/>
                <w:b/>
                <w:color w:val="B42318"/>
                <w:sz w:val="44"/>
              </w:rPr>
              <w:t>0</w:t>
            </w:r>
            <w:r>
              <w:rPr>
                <w:rFonts w:ascii="Calibri" w:hAnsi="Calibri" w:eastAsia="Calibri"/>
                <w:b/>
                <w:color w:val="B42318"/>
                <w:sz w:val="44"/>
              </w:rPr>
              <w:br w:type="textWrapping"/>
            </w:r>
            <w:r>
              <w:rPr>
                <w:rFonts w:ascii="Calibri" w:hAnsi="Calibri" w:eastAsia="Calibri"/>
                <w:color w:val="B42318"/>
                <w:sz w:val="15"/>
              </w:rPr>
              <w:t>OPEN</w:t>
            </w:r>
          </w:p>
        </w:tc>
        <w:tc>
          <w:tcPr>
            <w:tcW w:w="1872" w:type="dxa"/>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EECEB"/>
            <w:tcMar>
              <w:top w:w="80" w:type="dxa"/>
              <w:left w:w="120" w:type="dxa"/>
              <w:bottom w:w="80" w:type="dxa"/>
              <w:right w:w="120" w:type="dxa"/>
            </w:tcMar>
            <w:vAlign w:val="center"/>
          </w:tcPr>
          <w:p w14:paraId="12C7A5B3">
            <w:pPr>
              <w:spacing w:after="0"/>
              <w:jc w:val="center"/>
            </w:pPr>
            <w:r>
              <w:rPr>
                <w:rFonts w:ascii="Calibri" w:hAnsi="Calibri" w:eastAsia="Calibri"/>
                <w:b/>
                <w:color w:val="B42318"/>
                <w:sz w:val="17"/>
              </w:rPr>
              <w:t>HIGH</w:t>
            </w:r>
            <w:r>
              <w:rPr>
                <w:rFonts w:ascii="Calibri" w:hAnsi="Calibri" w:eastAsia="Calibri"/>
                <w:b/>
                <w:color w:val="B42318"/>
                <w:sz w:val="17"/>
              </w:rPr>
              <w:br w:type="textWrapping"/>
            </w:r>
            <w:r>
              <w:rPr>
                <w:rFonts w:ascii="Calibri" w:hAnsi="Calibri" w:eastAsia="Calibri"/>
                <w:b/>
                <w:color w:val="B42318"/>
                <w:sz w:val="44"/>
              </w:rPr>
              <w:t>0</w:t>
            </w:r>
            <w:r>
              <w:rPr>
                <w:rFonts w:ascii="Calibri" w:hAnsi="Calibri" w:eastAsia="Calibri"/>
                <w:b/>
                <w:color w:val="B42318"/>
                <w:sz w:val="44"/>
              </w:rPr>
              <w:br w:type="textWrapping"/>
            </w:r>
            <w:r>
              <w:rPr>
                <w:rFonts w:ascii="Calibri" w:hAnsi="Calibri" w:eastAsia="Calibri"/>
                <w:color w:val="B42318"/>
                <w:sz w:val="15"/>
              </w:rPr>
              <w:t>OPEN</w:t>
            </w:r>
          </w:p>
        </w:tc>
        <w:tc>
          <w:tcPr>
            <w:tcW w:w="1872" w:type="dxa"/>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FF4E5"/>
            <w:tcMar>
              <w:top w:w="80" w:type="dxa"/>
              <w:left w:w="120" w:type="dxa"/>
              <w:bottom w:w="80" w:type="dxa"/>
              <w:right w:w="120" w:type="dxa"/>
            </w:tcMar>
            <w:vAlign w:val="center"/>
          </w:tcPr>
          <w:p w14:paraId="2FEE93C8">
            <w:pPr>
              <w:spacing w:after="0"/>
              <w:jc w:val="center"/>
            </w:pPr>
            <w:r>
              <w:rPr>
                <w:rFonts w:ascii="Calibri" w:hAnsi="Calibri" w:eastAsia="Calibri"/>
                <w:b/>
                <w:color w:val="B54708"/>
                <w:sz w:val="17"/>
              </w:rPr>
              <w:t>MEDIUM</w:t>
            </w:r>
            <w:r>
              <w:rPr>
                <w:rFonts w:ascii="Calibri" w:hAnsi="Calibri" w:eastAsia="Calibri"/>
                <w:b/>
                <w:color w:val="B54708"/>
                <w:sz w:val="17"/>
              </w:rPr>
              <w:br w:type="textWrapping"/>
            </w:r>
            <w:r>
              <w:rPr>
                <w:rFonts w:ascii="Calibri" w:hAnsi="Calibri" w:eastAsia="Calibri"/>
                <w:b/>
                <w:color w:val="B54708"/>
                <w:sz w:val="44"/>
              </w:rPr>
              <w:t>1</w:t>
            </w:r>
            <w:r>
              <w:rPr>
                <w:rFonts w:ascii="Calibri" w:hAnsi="Calibri" w:eastAsia="Calibri"/>
                <w:b/>
                <w:color w:val="B54708"/>
                <w:sz w:val="44"/>
              </w:rPr>
              <w:br w:type="textWrapping"/>
            </w:r>
            <w:r>
              <w:rPr>
                <w:rFonts w:ascii="Calibri" w:hAnsi="Calibri" w:eastAsia="Calibri"/>
                <w:color w:val="B54708"/>
                <w:sz w:val="15"/>
              </w:rPr>
              <w:t>OPEN</w:t>
            </w:r>
          </w:p>
        </w:tc>
        <w:tc>
          <w:tcPr>
            <w:tcW w:w="1872" w:type="dxa"/>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FF8C5"/>
            <w:tcMar>
              <w:top w:w="80" w:type="dxa"/>
              <w:left w:w="120" w:type="dxa"/>
              <w:bottom w:w="80" w:type="dxa"/>
              <w:right w:w="120" w:type="dxa"/>
            </w:tcMar>
            <w:vAlign w:val="center"/>
          </w:tcPr>
          <w:p w14:paraId="184FD593">
            <w:pPr>
              <w:spacing w:after="0"/>
              <w:jc w:val="center"/>
            </w:pPr>
            <w:r>
              <w:rPr>
                <w:rFonts w:ascii="Calibri" w:hAnsi="Calibri" w:eastAsia="Calibri"/>
                <w:b/>
                <w:color w:val="9A6700"/>
                <w:sz w:val="17"/>
              </w:rPr>
              <w:t>LOW</w:t>
            </w:r>
            <w:r>
              <w:rPr>
                <w:rFonts w:ascii="Calibri" w:hAnsi="Calibri" w:eastAsia="Calibri"/>
                <w:b/>
                <w:color w:val="9A6700"/>
                <w:sz w:val="17"/>
              </w:rPr>
              <w:br w:type="textWrapping"/>
            </w:r>
            <w:r>
              <w:rPr>
                <w:rFonts w:ascii="Calibri" w:hAnsi="Calibri" w:eastAsia="Calibri"/>
                <w:b/>
                <w:color w:val="9A6700"/>
                <w:sz w:val="44"/>
              </w:rPr>
              <w:t>1</w:t>
            </w:r>
            <w:r>
              <w:rPr>
                <w:rFonts w:ascii="Calibri" w:hAnsi="Calibri" w:eastAsia="Calibri"/>
                <w:b/>
                <w:color w:val="9A6700"/>
                <w:sz w:val="44"/>
              </w:rPr>
              <w:br w:type="textWrapping"/>
            </w:r>
            <w:r>
              <w:rPr>
                <w:rFonts w:ascii="Calibri" w:hAnsi="Calibri" w:eastAsia="Calibri"/>
                <w:color w:val="9A6700"/>
                <w:sz w:val="15"/>
              </w:rPr>
              <w:t>OPEN</w:t>
            </w:r>
          </w:p>
        </w:tc>
        <w:tc>
          <w:tcPr>
            <w:tcW w:w="1872" w:type="dxa"/>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EAF2FF"/>
            <w:tcMar>
              <w:top w:w="80" w:type="dxa"/>
              <w:left w:w="120" w:type="dxa"/>
              <w:bottom w:w="80" w:type="dxa"/>
              <w:right w:w="120" w:type="dxa"/>
            </w:tcMar>
            <w:vAlign w:val="center"/>
          </w:tcPr>
          <w:p w14:paraId="5B0B3380">
            <w:pPr>
              <w:spacing w:after="0"/>
              <w:jc w:val="center"/>
            </w:pPr>
            <w:r>
              <w:rPr>
                <w:rFonts w:ascii="Calibri" w:hAnsi="Calibri" w:eastAsia="Calibri"/>
                <w:b/>
                <w:color w:val="175CD3"/>
                <w:sz w:val="17"/>
              </w:rPr>
              <w:t>INFO</w:t>
            </w:r>
            <w:r>
              <w:rPr>
                <w:rFonts w:ascii="Calibri" w:hAnsi="Calibri" w:eastAsia="Calibri"/>
                <w:b/>
                <w:color w:val="175CD3"/>
                <w:sz w:val="17"/>
              </w:rPr>
              <w:br w:type="textWrapping"/>
            </w:r>
            <w:r>
              <w:rPr>
                <w:rFonts w:ascii="Calibri" w:hAnsi="Calibri" w:eastAsia="Calibri"/>
                <w:b/>
                <w:color w:val="175CD3"/>
                <w:sz w:val="44"/>
              </w:rPr>
              <w:t>4</w:t>
            </w:r>
            <w:r>
              <w:rPr>
                <w:rFonts w:ascii="Calibri" w:hAnsi="Calibri" w:eastAsia="Calibri"/>
                <w:b/>
                <w:color w:val="175CD3"/>
                <w:sz w:val="44"/>
              </w:rPr>
              <w:br w:type="textWrapping"/>
            </w:r>
            <w:r>
              <w:rPr>
                <w:rFonts w:ascii="Calibri" w:hAnsi="Calibri" w:eastAsia="Calibri"/>
                <w:color w:val="175CD3"/>
                <w:sz w:val="15"/>
              </w:rPr>
              <w:t>OPEN</w:t>
            </w:r>
          </w:p>
        </w:tc>
      </w:tr>
    </w:tbl>
    <w:p w14:paraId="17027EDC">
      <w:pPr>
        <w:spacing w:after="20"/>
      </w:pPr>
    </w:p>
    <w:p w14:paraId="72FCB7C4">
      <w:r>
        <w:rPr>
          <w:rFonts w:ascii="Calibri" w:hAnsi="Calibri" w:eastAsia="Calibri"/>
        </w:rPr>
        <w:t>The updated snapshot materially improves the original design. Cumulative wallet thresholds close the redemption splitting path; reserve coverage is enforced before every purchase; and Swap now applies feed-specific age, bounds, deviation controls and a permissionless persistent breaker.</w:t>
      </w:r>
    </w:p>
    <w:p w14:paraId="16E4628D">
      <w:r>
        <w:rPr>
          <w:rFonts w:ascii="Calibri" w:hAnsi="Calibri" w:eastAsia="Calibri"/>
        </w:rPr>
        <w:t>The remaining security priority is consistency: Staking still applies a freshness-only oracle model that is weaker than Swap. Governance, immutable beneficiary design, event evidence and claim-dependent proceeds release also remain explicit operational risks.</w:t>
      </w:r>
    </w:p>
    <w:p w14:paraId="5B89957F">
      <w:pPr>
        <w:pStyle w:val="4"/>
        <w:keepNext/>
      </w:pPr>
      <w:bookmarkStart w:id="1" w:name="_Toc8702"/>
      <w:r>
        <w:t>1.1 Assessment facts at a glance</w:t>
      </w:r>
      <w:bookmarkEnd w:id="1"/>
    </w:p>
    <w:tbl>
      <w:tblPr>
        <w:tblStyle w:val="34"/>
        <w:tblW w:w="9360" w:type="dxa"/>
        <w:jc w:val="center"/>
        <w:tblLayout w:type="fixed"/>
        <w:tblCellMar>
          <w:top w:w="0" w:type="dxa"/>
          <w:left w:w="108" w:type="dxa"/>
          <w:bottom w:w="0" w:type="dxa"/>
          <w:right w:w="108" w:type="dxa"/>
        </w:tblCellMar>
      </w:tblPr>
      <w:tblGrid>
        <w:gridCol w:w="3300"/>
        <w:gridCol w:w="6060"/>
      </w:tblGrid>
      <w:tr w14:paraId="0890B6B8">
        <w:tblPrEx>
          <w:tblCellMar>
            <w:top w:w="0" w:type="dxa"/>
            <w:left w:w="108" w:type="dxa"/>
            <w:bottom w:w="0" w:type="dxa"/>
            <w:right w:w="108" w:type="dxa"/>
          </w:tblCellMar>
        </w:tblPrEx>
        <w:trPr>
          <w:cantSplit/>
          <w:tblHeader/>
          <w:jc w:val="center"/>
        </w:trPr>
        <w:tc>
          <w:tcPr>
            <w:tcW w:w="33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6480D44E">
            <w:pPr>
              <w:spacing w:after="0"/>
            </w:pPr>
            <w:r>
              <w:rPr>
                <w:rFonts w:ascii="Calibri" w:hAnsi="Calibri" w:eastAsia="Calibri"/>
                <w:b/>
                <w:color w:val="17213C"/>
                <w:sz w:val="17"/>
              </w:rPr>
              <w:t>METRIC</w:t>
            </w:r>
          </w:p>
        </w:tc>
        <w:tc>
          <w:tcPr>
            <w:tcW w:w="60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DF2B1DF">
            <w:pPr>
              <w:spacing w:after="0"/>
            </w:pPr>
            <w:r>
              <w:rPr>
                <w:rFonts w:ascii="Calibri" w:hAnsi="Calibri" w:eastAsia="Calibri"/>
                <w:b/>
                <w:color w:val="17213C"/>
                <w:sz w:val="17"/>
              </w:rPr>
              <w:t>VERIFIED RESULT</w:t>
            </w:r>
          </w:p>
        </w:tc>
      </w:tr>
      <w:tr w14:paraId="7DCCAED5">
        <w:tblPrEx>
          <w:tblCellMar>
            <w:top w:w="0" w:type="dxa"/>
            <w:left w:w="108" w:type="dxa"/>
            <w:bottom w:w="0" w:type="dxa"/>
            <w:right w:w="108" w:type="dxa"/>
          </w:tblCellMar>
        </w:tblPrEx>
        <w:trPr>
          <w:cantSplit/>
          <w:jc w:val="center"/>
        </w:trPr>
        <w:tc>
          <w:tcPr>
            <w:tcW w:w="33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BE9E179">
            <w:pPr>
              <w:spacing w:after="0"/>
            </w:pPr>
            <w:r>
              <w:rPr>
                <w:rFonts w:ascii="Calibri" w:hAnsi="Calibri" w:eastAsia="Calibri"/>
                <w:b/>
                <w:color w:val="222A35"/>
                <w:sz w:val="17"/>
              </w:rPr>
              <w:t>Production Solidity scope</w:t>
            </w:r>
          </w:p>
        </w:tc>
        <w:tc>
          <w:tcPr>
            <w:tcW w:w="60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C49195F">
            <w:pPr>
              <w:spacing w:after="0"/>
            </w:pPr>
            <w:r>
              <w:rPr>
                <w:rFonts w:ascii="Calibri" w:hAnsi="Calibri" w:eastAsia="Calibri"/>
                <w:b w:val="0"/>
                <w:color w:val="222A35"/>
                <w:sz w:val="17"/>
              </w:rPr>
              <w:t>5 core contracts + 6 interfaces; 3,287 LOC</w:t>
            </w:r>
          </w:p>
        </w:tc>
      </w:tr>
      <w:tr w14:paraId="164F2639">
        <w:tblPrEx>
          <w:tblCellMar>
            <w:top w:w="0" w:type="dxa"/>
            <w:left w:w="108" w:type="dxa"/>
            <w:bottom w:w="0" w:type="dxa"/>
            <w:right w:w="108" w:type="dxa"/>
          </w:tblCellMar>
        </w:tblPrEx>
        <w:trPr>
          <w:cantSplit/>
          <w:jc w:val="center"/>
        </w:trPr>
        <w:tc>
          <w:tcPr>
            <w:tcW w:w="33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3AD25FF2">
            <w:pPr>
              <w:spacing w:after="0"/>
            </w:pPr>
            <w:r>
              <w:rPr>
                <w:rFonts w:ascii="Calibri" w:hAnsi="Calibri" w:eastAsia="Calibri"/>
                <w:b/>
                <w:color w:val="222A35"/>
                <w:sz w:val="17"/>
              </w:rPr>
              <w:t>Frozen package</w:t>
            </w:r>
          </w:p>
        </w:tc>
        <w:tc>
          <w:tcPr>
            <w:tcW w:w="60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85FA6CF">
            <w:pPr>
              <w:spacing w:after="0"/>
            </w:pPr>
            <w:r>
              <w:rPr>
                <w:rFonts w:ascii="Calibri" w:hAnsi="Calibri" w:eastAsia="Calibri"/>
                <w:b w:val="0"/>
                <w:color w:val="222A35"/>
                <w:sz w:val="17"/>
              </w:rPr>
              <w:t>35 source, test, script and configuration files</w:t>
            </w:r>
          </w:p>
        </w:tc>
      </w:tr>
      <w:tr w14:paraId="3A6DE544">
        <w:tblPrEx>
          <w:tblCellMar>
            <w:top w:w="0" w:type="dxa"/>
            <w:left w:w="108" w:type="dxa"/>
            <w:bottom w:w="0" w:type="dxa"/>
            <w:right w:w="108" w:type="dxa"/>
          </w:tblCellMar>
        </w:tblPrEx>
        <w:trPr>
          <w:cantSplit/>
          <w:jc w:val="center"/>
        </w:trPr>
        <w:tc>
          <w:tcPr>
            <w:tcW w:w="33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AA1815F">
            <w:pPr>
              <w:spacing w:after="0"/>
            </w:pPr>
            <w:r>
              <w:rPr>
                <w:rFonts w:ascii="Calibri" w:hAnsi="Calibri" w:eastAsia="Calibri"/>
                <w:b/>
                <w:color w:val="222A35"/>
                <w:sz w:val="17"/>
              </w:rPr>
              <w:t>Compilation</w:t>
            </w:r>
          </w:p>
        </w:tc>
        <w:tc>
          <w:tcPr>
            <w:tcW w:w="60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B33F2BE">
            <w:pPr>
              <w:spacing w:after="0"/>
            </w:pPr>
            <w:r>
              <w:rPr>
                <w:rFonts w:ascii="Calibri" w:hAnsi="Calibri" w:eastAsia="Calibri"/>
                <w:b w:val="0"/>
                <w:color w:val="222A35"/>
                <w:sz w:val="17"/>
              </w:rPr>
              <w:t>34 Solidity files; 0 compiler errors</w:t>
            </w:r>
          </w:p>
        </w:tc>
      </w:tr>
      <w:tr w14:paraId="19E17046">
        <w:tblPrEx>
          <w:tblCellMar>
            <w:top w:w="0" w:type="dxa"/>
            <w:left w:w="108" w:type="dxa"/>
            <w:bottom w:w="0" w:type="dxa"/>
            <w:right w:w="108" w:type="dxa"/>
          </w:tblCellMar>
        </w:tblPrEx>
        <w:trPr>
          <w:cantSplit/>
          <w:jc w:val="center"/>
        </w:trPr>
        <w:tc>
          <w:tcPr>
            <w:tcW w:w="33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E18F162">
            <w:pPr>
              <w:spacing w:after="0"/>
            </w:pPr>
            <w:r>
              <w:rPr>
                <w:rFonts w:ascii="Calibri" w:hAnsi="Calibri" w:eastAsia="Calibri"/>
                <w:b/>
                <w:color w:val="222A35"/>
                <w:sz w:val="17"/>
              </w:rPr>
              <w:t>Dynamic tests</w:t>
            </w:r>
          </w:p>
        </w:tc>
        <w:tc>
          <w:tcPr>
            <w:tcW w:w="60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F1E3860">
            <w:pPr>
              <w:spacing w:after="0"/>
            </w:pPr>
            <w:r>
              <w:rPr>
                <w:rFonts w:ascii="Calibri" w:hAnsi="Calibri" w:eastAsia="Calibri"/>
                <w:b w:val="0"/>
                <w:color w:val="222A35"/>
                <w:sz w:val="17"/>
              </w:rPr>
              <w:t>74 passing / 1 intentional pending on chain 56; wrong-chain guard 1/1 passing on chain 97</w:t>
            </w:r>
          </w:p>
        </w:tc>
      </w:tr>
      <w:tr w14:paraId="59FC5494">
        <w:tblPrEx>
          <w:tblCellMar>
            <w:top w:w="0" w:type="dxa"/>
            <w:left w:w="108" w:type="dxa"/>
            <w:bottom w:w="0" w:type="dxa"/>
            <w:right w:w="108" w:type="dxa"/>
          </w:tblCellMar>
        </w:tblPrEx>
        <w:trPr>
          <w:cantSplit/>
          <w:jc w:val="center"/>
        </w:trPr>
        <w:tc>
          <w:tcPr>
            <w:tcW w:w="33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D2CB2A4">
            <w:pPr>
              <w:spacing w:after="0"/>
            </w:pPr>
            <w:r>
              <w:rPr>
                <w:rFonts w:ascii="Calibri" w:hAnsi="Calibri" w:eastAsia="Calibri"/>
                <w:b/>
                <w:color w:val="222A35"/>
                <w:sz w:val="17"/>
              </w:rPr>
              <w:t>Coverage — all instrumented files</w:t>
            </w:r>
          </w:p>
        </w:tc>
        <w:tc>
          <w:tcPr>
            <w:tcW w:w="60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1DDE0CA">
            <w:pPr>
              <w:spacing w:after="0"/>
            </w:pPr>
            <w:r>
              <w:rPr>
                <w:rFonts w:ascii="Calibri" w:hAnsi="Calibri" w:eastAsia="Calibri"/>
                <w:b w:val="0"/>
                <w:color w:val="222A35"/>
                <w:sz w:val="17"/>
              </w:rPr>
              <w:t>96.18% statements; 59.91% branches; 97.66% functions; 87.01% lines</w:t>
            </w:r>
          </w:p>
        </w:tc>
      </w:tr>
      <w:tr w14:paraId="2C223527">
        <w:tblPrEx>
          <w:tblCellMar>
            <w:top w:w="0" w:type="dxa"/>
            <w:left w:w="108" w:type="dxa"/>
            <w:bottom w:w="0" w:type="dxa"/>
            <w:right w:w="108" w:type="dxa"/>
          </w:tblCellMar>
        </w:tblPrEx>
        <w:trPr>
          <w:cantSplit/>
          <w:jc w:val="center"/>
        </w:trPr>
        <w:tc>
          <w:tcPr>
            <w:tcW w:w="33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4AF54421">
            <w:pPr>
              <w:spacing w:after="0"/>
            </w:pPr>
            <w:r>
              <w:rPr>
                <w:rFonts w:ascii="Calibri" w:hAnsi="Calibri" w:eastAsia="Calibri"/>
                <w:b/>
                <w:color w:val="222A35"/>
                <w:sz w:val="17"/>
              </w:rPr>
              <w:t>Static analysis</w:t>
            </w:r>
          </w:p>
        </w:tc>
        <w:tc>
          <w:tcPr>
            <w:tcW w:w="60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36933672">
            <w:pPr>
              <w:spacing w:after="0"/>
            </w:pPr>
            <w:r>
              <w:rPr>
                <w:rFonts w:ascii="Calibri" w:hAnsi="Calibri" w:eastAsia="Calibri"/>
                <w:b w:val="0"/>
                <w:color w:val="222A35"/>
                <w:sz w:val="17"/>
              </w:rPr>
              <w:t>Slither 0.11.5; 71 raw detector records manually triaged</w:t>
            </w:r>
          </w:p>
        </w:tc>
      </w:tr>
      <w:tr w14:paraId="39E4ED8F">
        <w:tblPrEx>
          <w:tblCellMar>
            <w:top w:w="0" w:type="dxa"/>
            <w:left w:w="108" w:type="dxa"/>
            <w:bottom w:w="0" w:type="dxa"/>
            <w:right w:w="108" w:type="dxa"/>
          </w:tblCellMar>
        </w:tblPrEx>
        <w:trPr>
          <w:cantSplit/>
          <w:jc w:val="center"/>
        </w:trPr>
        <w:tc>
          <w:tcPr>
            <w:tcW w:w="33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34CFBD4">
            <w:pPr>
              <w:spacing w:after="0"/>
            </w:pPr>
            <w:r>
              <w:rPr>
                <w:rFonts w:ascii="Calibri" w:hAnsi="Calibri" w:eastAsia="Calibri"/>
                <w:b/>
                <w:color w:val="222A35"/>
                <w:sz w:val="17"/>
              </w:rPr>
              <w:t>Production dependency audit</w:t>
            </w:r>
          </w:p>
        </w:tc>
        <w:tc>
          <w:tcPr>
            <w:tcW w:w="60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397BA08">
            <w:pPr>
              <w:spacing w:after="0"/>
            </w:pPr>
            <w:r>
              <w:rPr>
                <w:rFonts w:ascii="Calibri" w:hAnsi="Calibri" w:eastAsia="Calibri"/>
                <w:b w:val="0"/>
                <w:color w:val="222A35"/>
                <w:sz w:val="17"/>
              </w:rPr>
              <w:t>0 known npm advisories in production dependencies</w:t>
            </w:r>
          </w:p>
        </w:tc>
      </w:tr>
      <w:tr w14:paraId="65C2237B">
        <w:tblPrEx>
          <w:tblCellMar>
            <w:top w:w="0" w:type="dxa"/>
            <w:left w:w="108" w:type="dxa"/>
            <w:bottom w:w="0" w:type="dxa"/>
            <w:right w:w="108" w:type="dxa"/>
          </w:tblCellMar>
        </w:tblPrEx>
        <w:trPr>
          <w:cantSplit/>
          <w:jc w:val="center"/>
        </w:trPr>
        <w:tc>
          <w:tcPr>
            <w:tcW w:w="33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350490E7">
            <w:pPr>
              <w:spacing w:after="0"/>
            </w:pPr>
            <w:r>
              <w:rPr>
                <w:rFonts w:ascii="Calibri" w:hAnsi="Calibri" w:eastAsia="Calibri"/>
                <w:b/>
                <w:color w:val="222A35"/>
                <w:sz w:val="17"/>
              </w:rPr>
              <w:t>Deployment evidence</w:t>
            </w:r>
          </w:p>
        </w:tc>
        <w:tc>
          <w:tcPr>
            <w:tcW w:w="60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00DFEB7">
            <w:pPr>
              <w:spacing w:after="0"/>
            </w:pPr>
            <w:r>
              <w:rPr>
                <w:rFonts w:ascii="Calibri" w:hAnsi="Calibri" w:eastAsia="Calibri"/>
                <w:b w:val="0"/>
                <w:color w:val="222A35"/>
                <w:sz w:val="17"/>
              </w:rPr>
              <w:t>Not provided; no addresses, bytecode or funded receipts assessed</w:t>
            </w:r>
          </w:p>
        </w:tc>
      </w:tr>
    </w:tbl>
    <w:p w14:paraId="69D42075">
      <w:pPr>
        <w:spacing w:after="20"/>
      </w:pPr>
    </w:p>
    <w:p w14:paraId="4C931CBA">
      <w:pPr>
        <w:pStyle w:val="4"/>
        <w:keepNext/>
      </w:pPr>
      <w:bookmarkStart w:id="2" w:name="_Toc22195"/>
      <w:r>
        <w:t>1.2 Finding disposition</w:t>
      </w:r>
      <w:bookmarkEnd w:id="2"/>
    </w:p>
    <w:tbl>
      <w:tblPr>
        <w:tblStyle w:val="34"/>
        <w:tblW w:w="9360" w:type="dxa"/>
        <w:jc w:val="center"/>
        <w:tblLayout w:type="fixed"/>
        <w:tblCellMar>
          <w:top w:w="0" w:type="dxa"/>
          <w:left w:w="108" w:type="dxa"/>
          <w:bottom w:w="0" w:type="dxa"/>
          <w:right w:w="108" w:type="dxa"/>
        </w:tblCellMar>
      </w:tblPr>
      <w:tblGrid>
        <w:gridCol w:w="2500"/>
        <w:gridCol w:w="1715"/>
        <w:gridCol w:w="1715"/>
        <w:gridCol w:w="1715"/>
        <w:gridCol w:w="1715"/>
      </w:tblGrid>
      <w:tr w14:paraId="4E89B8D9">
        <w:tblPrEx>
          <w:tblCellMar>
            <w:top w:w="0" w:type="dxa"/>
            <w:left w:w="108" w:type="dxa"/>
            <w:bottom w:w="0" w:type="dxa"/>
            <w:right w:w="108" w:type="dxa"/>
          </w:tblCellMar>
        </w:tblPrEx>
        <w:trPr>
          <w:cantSplit/>
          <w:tblHeader/>
          <w:jc w:val="center"/>
        </w:trPr>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7441C1B3">
            <w:pPr>
              <w:spacing w:after="0"/>
            </w:pPr>
            <w:r>
              <w:rPr>
                <w:rFonts w:ascii="Calibri" w:hAnsi="Calibri" w:eastAsia="Calibri"/>
                <w:b/>
                <w:color w:val="17213C"/>
                <w:sz w:val="17"/>
              </w:rPr>
              <w:t>SEVERITY</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1D1AC7A">
            <w:pPr>
              <w:spacing w:after="0"/>
            </w:pPr>
            <w:r>
              <w:rPr>
                <w:rFonts w:ascii="Calibri" w:hAnsi="Calibri" w:eastAsia="Calibri"/>
                <w:b/>
                <w:color w:val="17213C"/>
                <w:sz w:val="17"/>
              </w:rPr>
              <w:t>OPEN</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D1C0625">
            <w:pPr>
              <w:spacing w:after="0"/>
            </w:pPr>
            <w:r>
              <w:rPr>
                <w:rFonts w:ascii="Calibri" w:hAnsi="Calibri" w:eastAsia="Calibri"/>
                <w:b/>
                <w:color w:val="17213C"/>
                <w:sz w:val="17"/>
              </w:rPr>
              <w:t>MITIGATED</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665A87F4">
            <w:pPr>
              <w:spacing w:after="0"/>
            </w:pPr>
            <w:r>
              <w:rPr>
                <w:rFonts w:ascii="Calibri" w:hAnsi="Calibri" w:eastAsia="Calibri"/>
                <w:b/>
                <w:color w:val="17213C"/>
                <w:sz w:val="17"/>
              </w:rPr>
              <w:t>RESOLVED</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5F3EF0E">
            <w:pPr>
              <w:spacing w:after="0"/>
            </w:pPr>
            <w:r>
              <w:rPr>
                <w:rFonts w:ascii="Calibri" w:hAnsi="Calibri" w:eastAsia="Calibri"/>
                <w:b/>
                <w:color w:val="17213C"/>
                <w:sz w:val="17"/>
              </w:rPr>
              <w:t>TOTAL</w:t>
            </w:r>
          </w:p>
        </w:tc>
      </w:tr>
      <w:tr w14:paraId="3FBE05D3">
        <w:tblPrEx>
          <w:tblCellMar>
            <w:top w:w="0" w:type="dxa"/>
            <w:left w:w="108" w:type="dxa"/>
            <w:bottom w:w="0" w:type="dxa"/>
            <w:right w:w="108" w:type="dxa"/>
          </w:tblCellMar>
        </w:tblPrEx>
        <w:trPr>
          <w:cantSplit/>
          <w:jc w:val="center"/>
        </w:trPr>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677DE9C">
            <w:pPr>
              <w:spacing w:after="0"/>
            </w:pPr>
            <w:r>
              <w:rPr>
                <w:rFonts w:ascii="Calibri" w:hAnsi="Calibri" w:eastAsia="Calibri"/>
                <w:b/>
                <w:color w:val="222A35"/>
                <w:sz w:val="17"/>
              </w:rPr>
              <w:t>Critical</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A765C52">
            <w:pPr>
              <w:spacing w:after="0"/>
            </w:pPr>
            <w:r>
              <w:rPr>
                <w:rFonts w:ascii="Calibri" w:hAnsi="Calibri" w:eastAsia="Calibri"/>
                <w:b w:val="0"/>
                <w:color w:val="222A35"/>
                <w:sz w:val="17"/>
              </w:rPr>
              <w:t>0</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F9D6863">
            <w:pPr>
              <w:spacing w:after="0"/>
            </w:pPr>
            <w:r>
              <w:rPr>
                <w:rFonts w:ascii="Calibri" w:hAnsi="Calibri" w:eastAsia="Calibri"/>
                <w:b w:val="0"/>
                <w:color w:val="222A35"/>
                <w:sz w:val="17"/>
              </w:rPr>
              <w:t>0</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1001AE3">
            <w:pPr>
              <w:spacing w:after="0"/>
            </w:pPr>
            <w:r>
              <w:rPr>
                <w:rFonts w:ascii="Calibri" w:hAnsi="Calibri" w:eastAsia="Calibri"/>
                <w:b w:val="0"/>
                <w:color w:val="222A35"/>
                <w:sz w:val="17"/>
              </w:rPr>
              <w:t>0</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221A33D">
            <w:pPr>
              <w:spacing w:after="0"/>
            </w:pPr>
            <w:r>
              <w:rPr>
                <w:rFonts w:ascii="Calibri" w:hAnsi="Calibri" w:eastAsia="Calibri"/>
                <w:b w:val="0"/>
                <w:color w:val="222A35"/>
                <w:sz w:val="17"/>
              </w:rPr>
              <w:t>0</w:t>
            </w:r>
          </w:p>
        </w:tc>
      </w:tr>
      <w:tr w14:paraId="75DAA26F">
        <w:tblPrEx>
          <w:tblCellMar>
            <w:top w:w="0" w:type="dxa"/>
            <w:left w:w="108" w:type="dxa"/>
            <w:bottom w:w="0" w:type="dxa"/>
            <w:right w:w="108" w:type="dxa"/>
          </w:tblCellMar>
        </w:tblPrEx>
        <w:trPr>
          <w:cantSplit/>
          <w:jc w:val="center"/>
        </w:trPr>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4B280F0">
            <w:pPr>
              <w:spacing w:after="0"/>
            </w:pPr>
            <w:r>
              <w:rPr>
                <w:rFonts w:ascii="Calibri" w:hAnsi="Calibri" w:eastAsia="Calibri"/>
                <w:b/>
                <w:color w:val="222A35"/>
                <w:sz w:val="17"/>
              </w:rPr>
              <w:t>High</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6B1E29E">
            <w:pPr>
              <w:spacing w:after="0"/>
            </w:pPr>
            <w:r>
              <w:rPr>
                <w:rFonts w:ascii="Calibri" w:hAnsi="Calibri" w:eastAsia="Calibri"/>
                <w:b w:val="0"/>
                <w:color w:val="222A35"/>
                <w:sz w:val="17"/>
              </w:rPr>
              <w:t>0</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32155C28">
            <w:pPr>
              <w:spacing w:after="0"/>
            </w:pPr>
            <w:r>
              <w:rPr>
                <w:rFonts w:ascii="Calibri" w:hAnsi="Calibri" w:eastAsia="Calibri"/>
                <w:b w:val="0"/>
                <w:color w:val="222A35"/>
                <w:sz w:val="17"/>
              </w:rPr>
              <w:t>0</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33B61508">
            <w:pPr>
              <w:spacing w:after="0"/>
            </w:pPr>
            <w:r>
              <w:rPr>
                <w:rFonts w:ascii="Calibri" w:hAnsi="Calibri" w:eastAsia="Calibri"/>
                <w:b w:val="0"/>
                <w:color w:val="222A35"/>
                <w:sz w:val="17"/>
              </w:rPr>
              <w:t>0</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075963A">
            <w:pPr>
              <w:spacing w:after="0"/>
            </w:pPr>
            <w:r>
              <w:rPr>
                <w:rFonts w:ascii="Calibri" w:hAnsi="Calibri" w:eastAsia="Calibri"/>
                <w:b w:val="0"/>
                <w:color w:val="222A35"/>
                <w:sz w:val="17"/>
              </w:rPr>
              <w:t>0</w:t>
            </w:r>
          </w:p>
        </w:tc>
      </w:tr>
      <w:tr w14:paraId="0FDF0807">
        <w:tblPrEx>
          <w:tblCellMar>
            <w:top w:w="0" w:type="dxa"/>
            <w:left w:w="108" w:type="dxa"/>
            <w:bottom w:w="0" w:type="dxa"/>
            <w:right w:w="108" w:type="dxa"/>
          </w:tblCellMar>
        </w:tblPrEx>
        <w:trPr>
          <w:cantSplit/>
          <w:jc w:val="center"/>
        </w:trPr>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C46CA77">
            <w:pPr>
              <w:spacing w:after="0"/>
            </w:pPr>
            <w:r>
              <w:rPr>
                <w:rFonts w:ascii="Calibri" w:hAnsi="Calibri" w:eastAsia="Calibri"/>
                <w:b/>
                <w:color w:val="222A35"/>
                <w:sz w:val="17"/>
              </w:rPr>
              <w:t>Medium</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6DA6BD2">
            <w:pPr>
              <w:spacing w:after="0"/>
            </w:pPr>
            <w:r>
              <w:rPr>
                <w:rFonts w:ascii="Calibri" w:hAnsi="Calibri" w:eastAsia="Calibri"/>
                <w:b w:val="0"/>
                <w:color w:val="222A35"/>
                <w:sz w:val="17"/>
              </w:rPr>
              <w:t>1</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3B0DB6D">
            <w:pPr>
              <w:spacing w:after="0"/>
            </w:pPr>
            <w:r>
              <w:rPr>
                <w:rFonts w:ascii="Calibri" w:hAnsi="Calibri" w:eastAsia="Calibri"/>
                <w:b w:val="0"/>
                <w:color w:val="222A35"/>
                <w:sz w:val="17"/>
              </w:rPr>
              <w:t>1</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F9674D1">
            <w:pPr>
              <w:spacing w:after="0"/>
            </w:pPr>
            <w:r>
              <w:rPr>
                <w:rFonts w:ascii="Calibri" w:hAnsi="Calibri" w:eastAsia="Calibri"/>
                <w:b w:val="0"/>
                <w:color w:val="222A35"/>
                <w:sz w:val="17"/>
              </w:rPr>
              <w:t>2</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BF9DE92">
            <w:pPr>
              <w:spacing w:after="0"/>
            </w:pPr>
            <w:r>
              <w:rPr>
                <w:rFonts w:ascii="Calibri" w:hAnsi="Calibri" w:eastAsia="Calibri"/>
                <w:b w:val="0"/>
                <w:color w:val="222A35"/>
                <w:sz w:val="17"/>
              </w:rPr>
              <w:t>4</w:t>
            </w:r>
          </w:p>
        </w:tc>
      </w:tr>
      <w:tr w14:paraId="074214C3">
        <w:tblPrEx>
          <w:tblCellMar>
            <w:top w:w="0" w:type="dxa"/>
            <w:left w:w="108" w:type="dxa"/>
            <w:bottom w:w="0" w:type="dxa"/>
            <w:right w:w="108" w:type="dxa"/>
          </w:tblCellMar>
        </w:tblPrEx>
        <w:trPr>
          <w:cantSplit/>
          <w:jc w:val="center"/>
        </w:trPr>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F77333F">
            <w:pPr>
              <w:spacing w:after="0"/>
            </w:pPr>
            <w:r>
              <w:rPr>
                <w:rFonts w:ascii="Calibri" w:hAnsi="Calibri" w:eastAsia="Calibri"/>
                <w:b/>
                <w:color w:val="222A35"/>
                <w:sz w:val="17"/>
              </w:rPr>
              <w:t>Low</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4D27E5A">
            <w:pPr>
              <w:spacing w:after="0"/>
            </w:pPr>
            <w:r>
              <w:rPr>
                <w:rFonts w:ascii="Calibri" w:hAnsi="Calibri" w:eastAsia="Calibri"/>
                <w:b w:val="0"/>
                <w:color w:val="222A35"/>
                <w:sz w:val="17"/>
              </w:rPr>
              <w:t>1</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C334F77">
            <w:pPr>
              <w:spacing w:after="0"/>
            </w:pPr>
            <w:r>
              <w:rPr>
                <w:rFonts w:ascii="Calibri" w:hAnsi="Calibri" w:eastAsia="Calibri"/>
                <w:b w:val="0"/>
                <w:color w:val="222A35"/>
                <w:sz w:val="17"/>
              </w:rPr>
              <w:t>0</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8FF410B">
            <w:pPr>
              <w:spacing w:after="0"/>
            </w:pPr>
            <w:r>
              <w:rPr>
                <w:rFonts w:ascii="Calibri" w:hAnsi="Calibri" w:eastAsia="Calibri"/>
                <w:b w:val="0"/>
                <w:color w:val="222A35"/>
                <w:sz w:val="17"/>
              </w:rPr>
              <w:t>0</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7E42C98">
            <w:pPr>
              <w:spacing w:after="0"/>
            </w:pPr>
            <w:r>
              <w:rPr>
                <w:rFonts w:ascii="Calibri" w:hAnsi="Calibri" w:eastAsia="Calibri"/>
                <w:b w:val="0"/>
                <w:color w:val="222A35"/>
                <w:sz w:val="17"/>
              </w:rPr>
              <w:t>1</w:t>
            </w:r>
          </w:p>
        </w:tc>
      </w:tr>
      <w:tr w14:paraId="162B1A7A">
        <w:tblPrEx>
          <w:tblCellMar>
            <w:top w:w="0" w:type="dxa"/>
            <w:left w:w="108" w:type="dxa"/>
            <w:bottom w:w="0" w:type="dxa"/>
            <w:right w:w="108" w:type="dxa"/>
          </w:tblCellMar>
        </w:tblPrEx>
        <w:trPr>
          <w:cantSplit/>
          <w:jc w:val="center"/>
        </w:trPr>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DE68FF3">
            <w:pPr>
              <w:spacing w:after="0"/>
            </w:pPr>
            <w:r>
              <w:rPr>
                <w:rFonts w:ascii="Calibri" w:hAnsi="Calibri" w:eastAsia="Calibri"/>
                <w:b/>
                <w:color w:val="222A35"/>
                <w:sz w:val="17"/>
              </w:rPr>
              <w:t>Informational</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1C56FF7">
            <w:pPr>
              <w:spacing w:after="0"/>
            </w:pPr>
            <w:r>
              <w:rPr>
                <w:rFonts w:ascii="Calibri" w:hAnsi="Calibri" w:eastAsia="Calibri"/>
                <w:b w:val="0"/>
                <w:color w:val="222A35"/>
                <w:sz w:val="17"/>
              </w:rPr>
              <w:t>4</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8147323">
            <w:pPr>
              <w:spacing w:after="0"/>
            </w:pPr>
            <w:r>
              <w:rPr>
                <w:rFonts w:ascii="Calibri" w:hAnsi="Calibri" w:eastAsia="Calibri"/>
                <w:b w:val="0"/>
                <w:color w:val="222A35"/>
                <w:sz w:val="17"/>
              </w:rPr>
              <w:t>0</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EA9A533">
            <w:pPr>
              <w:spacing w:after="0"/>
            </w:pPr>
            <w:r>
              <w:rPr>
                <w:rFonts w:ascii="Calibri" w:hAnsi="Calibri" w:eastAsia="Calibri"/>
                <w:b w:val="0"/>
                <w:color w:val="222A35"/>
                <w:sz w:val="17"/>
              </w:rPr>
              <w:t>0</w:t>
            </w:r>
          </w:p>
        </w:tc>
        <w:tc>
          <w:tcPr>
            <w:tcW w:w="1715"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9D397A3">
            <w:pPr>
              <w:spacing w:after="0"/>
            </w:pPr>
            <w:r>
              <w:rPr>
                <w:rFonts w:ascii="Calibri" w:hAnsi="Calibri" w:eastAsia="Calibri"/>
                <w:b w:val="0"/>
                <w:color w:val="222A35"/>
                <w:sz w:val="17"/>
              </w:rPr>
              <w:t>4</w:t>
            </w:r>
          </w:p>
        </w:tc>
      </w:tr>
    </w:tbl>
    <w:p w14:paraId="4DCE8F1D">
      <w:pPr>
        <w:spacing w:after="20"/>
      </w:pPr>
    </w:p>
    <w:p w14:paraId="26F49090">
      <w:r>
        <w:br w:type="page"/>
      </w:r>
    </w:p>
    <w:p w14:paraId="599E6C27">
      <w:pPr>
        <w:pStyle w:val="3"/>
        <w:keepNext/>
      </w:pPr>
      <w:bookmarkStart w:id="3" w:name="_Toc11290"/>
      <w:r>
        <w:t>2. Engagement and scope</w:t>
      </w:r>
      <w:bookmarkEnd w:id="3"/>
    </w:p>
    <w:p w14:paraId="6FB2E2F3">
      <w:pPr>
        <w:pStyle w:val="4"/>
        <w:keepNext/>
      </w:pPr>
      <w:bookmarkStart w:id="4" w:name="_Toc24263"/>
      <w:r>
        <w:t>2.1 Objectives</w:t>
      </w:r>
      <w:bookmarkEnd w:id="4"/>
    </w:p>
    <w:p w14:paraId="65CDA7A7">
      <w:pPr>
        <w:pStyle w:val="16"/>
      </w:pPr>
      <w:r>
        <w:rPr>
          <w:rFonts w:ascii="Calibri" w:hAnsi="Calibri" w:eastAsia="Calibri"/>
        </w:rPr>
        <w:t>Determine whether the updated contracts preserve authorization, custody, accounting and state-transition invariants.</w:t>
      </w:r>
    </w:p>
    <w:p w14:paraId="2699C6D2">
      <w:pPr>
        <w:pStyle w:val="16"/>
      </w:pPr>
      <w:r>
        <w:rPr>
          <w:rFonts w:ascii="Calibri" w:hAnsi="Calibri" w:eastAsia="Calibri"/>
        </w:rPr>
        <w:t>Retest previously reported Medium controls and identify new issues introduced by Staking and oracle-breaker operations.</w:t>
      </w:r>
    </w:p>
    <w:p w14:paraId="78B0C1FF">
      <w:pPr>
        <w:pStyle w:val="16"/>
      </w:pPr>
      <w:r>
        <w:rPr>
          <w:rFonts w:ascii="Calibri" w:hAnsi="Calibri" w:eastAsia="Calibri"/>
        </w:rPr>
        <w:t>Measure repeatable test, coverage, static-analysis and dependency evidence against a cryptographically frozen snapshot.</w:t>
      </w:r>
    </w:p>
    <w:p w14:paraId="3DFFC456">
      <w:pPr>
        <w:pStyle w:val="16"/>
      </w:pPr>
      <w:r>
        <w:rPr>
          <w:rFonts w:ascii="Calibri" w:hAnsi="Calibri" w:eastAsia="Calibri"/>
        </w:rPr>
        <w:t>Define explicit release gates without asserting deployment, third-party certification or live-chain behavior not evidenced.</w:t>
      </w:r>
    </w:p>
    <w:p w14:paraId="2557D148">
      <w:pPr>
        <w:pStyle w:val="4"/>
        <w:keepNext/>
      </w:pPr>
      <w:bookmarkStart w:id="5" w:name="_Toc17865"/>
      <w:r>
        <w:t>2.2 In-scope components</w:t>
      </w:r>
      <w:bookmarkEnd w:id="5"/>
    </w:p>
    <w:tbl>
      <w:tblPr>
        <w:tblStyle w:val="34"/>
        <w:tblW w:w="9360" w:type="dxa"/>
        <w:jc w:val="center"/>
        <w:tblLayout w:type="fixed"/>
        <w:tblCellMar>
          <w:top w:w="0" w:type="dxa"/>
          <w:left w:w="108" w:type="dxa"/>
          <w:bottom w:w="0" w:type="dxa"/>
          <w:right w:w="108" w:type="dxa"/>
        </w:tblCellMar>
      </w:tblPr>
      <w:tblGrid>
        <w:gridCol w:w="3100"/>
        <w:gridCol w:w="6260"/>
      </w:tblGrid>
      <w:tr w14:paraId="2D15ABCC">
        <w:tblPrEx>
          <w:tblCellMar>
            <w:top w:w="0" w:type="dxa"/>
            <w:left w:w="108" w:type="dxa"/>
            <w:bottom w:w="0" w:type="dxa"/>
            <w:right w:w="108" w:type="dxa"/>
          </w:tblCellMar>
        </w:tblPrEx>
        <w:trPr>
          <w:cantSplit/>
          <w:tblHeader/>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577C544B">
            <w:pPr>
              <w:spacing w:after="0"/>
            </w:pPr>
            <w:r>
              <w:rPr>
                <w:rFonts w:ascii="Calibri" w:hAnsi="Calibri" w:eastAsia="Calibri"/>
                <w:b/>
                <w:color w:val="17213C"/>
                <w:sz w:val="17"/>
              </w:rPr>
              <w:t>COMPONENT</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25902C22">
            <w:pPr>
              <w:spacing w:after="0"/>
            </w:pPr>
            <w:r>
              <w:rPr>
                <w:rFonts w:ascii="Calibri" w:hAnsi="Calibri" w:eastAsia="Calibri"/>
                <w:b/>
                <w:color w:val="17213C"/>
                <w:sz w:val="17"/>
              </w:rPr>
              <w:t>SECURITY PURPOSE</w:t>
            </w:r>
          </w:p>
        </w:tc>
      </w:tr>
      <w:tr w14:paraId="2FBF7574">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7AE3402">
            <w:pPr>
              <w:spacing w:after="0"/>
            </w:pPr>
            <w:r>
              <w:rPr>
                <w:rFonts w:ascii="Calibri" w:hAnsi="Calibri" w:eastAsia="Calibri"/>
                <w:b/>
                <w:color w:val="222A35"/>
                <w:sz w:val="17"/>
              </w:rPr>
              <w:t>AegentMarketRegistry</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016D794">
            <w:pPr>
              <w:spacing w:after="0"/>
            </w:pPr>
            <w:r>
              <w:rPr>
                <w:rFonts w:ascii="Calibri" w:hAnsi="Calibri" w:eastAsia="Calibri"/>
                <w:b w:val="0"/>
                <w:color w:val="222A35"/>
                <w:sz w:val="17"/>
              </w:rPr>
              <w:t>Sale schedule, modes, committed endpoints and configuration versions</w:t>
            </w:r>
          </w:p>
        </w:tc>
      </w:tr>
      <w:tr w14:paraId="5F266E9F">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5C93B18">
            <w:pPr>
              <w:spacing w:after="0"/>
            </w:pPr>
            <w:r>
              <w:rPr>
                <w:rFonts w:ascii="Calibri" w:hAnsi="Calibri" w:eastAsia="Calibri"/>
                <w:b/>
                <w:color w:val="222A35"/>
                <w:sz w:val="17"/>
              </w:rPr>
              <w:t>AegentSwapV2</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5A44D00">
            <w:pPr>
              <w:spacing w:after="0"/>
            </w:pPr>
            <w:r>
              <w:rPr>
                <w:rFonts w:ascii="Calibri" w:hAnsi="Calibri" w:eastAsia="Calibri"/>
                <w:b w:val="0"/>
                <w:color w:val="222A35"/>
                <w:sz w:val="17"/>
              </w:rPr>
              <w:t>BNB/USDT/USDC purchases, oracle controls, inventory and proceeds forwarding</w:t>
            </w:r>
          </w:p>
        </w:tc>
      </w:tr>
      <w:tr w14:paraId="0521F91B">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9D41862">
            <w:pPr>
              <w:spacing w:after="0"/>
            </w:pPr>
            <w:r>
              <w:rPr>
                <w:rFonts w:ascii="Calibri" w:hAnsi="Calibri" w:eastAsia="Calibri"/>
                <w:b/>
                <w:color w:val="222A35"/>
                <w:sz w:val="17"/>
              </w:rPr>
              <w:t>AegentSaleProceedsVault</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B916350">
            <w:pPr>
              <w:spacing w:after="0"/>
            </w:pPr>
            <w:r>
              <w:rPr>
                <w:rFonts w:ascii="Calibri" w:hAnsi="Calibri" w:eastAsia="Calibri"/>
                <w:b w:val="0"/>
                <w:color w:val="222A35"/>
                <w:sz w:val="17"/>
              </w:rPr>
              <w:t>Locks sale proceeds until sale end and releases to immutable beneficiary</w:t>
            </w:r>
          </w:p>
        </w:tc>
      </w:tr>
      <w:tr w14:paraId="2E881695">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F5DEDC6">
            <w:pPr>
              <w:spacing w:after="0"/>
            </w:pPr>
            <w:r>
              <w:rPr>
                <w:rFonts w:ascii="Calibri" w:hAnsi="Calibri" w:eastAsia="Calibri"/>
                <w:b/>
                <w:color w:val="222A35"/>
                <w:sz w:val="17"/>
              </w:rPr>
              <w:t>AegentRedemptionV2</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1F6FA15">
            <w:pPr>
              <w:spacing w:after="0"/>
            </w:pPr>
            <w:r>
              <w:rPr>
                <w:rFonts w:ascii="Calibri" w:hAnsi="Calibri" w:eastAsia="Calibri"/>
                <w:b w:val="0"/>
                <w:color w:val="222A35"/>
                <w:sz w:val="17"/>
              </w:rPr>
              <w:t>Cost-basis refunds, purchased-AGNT claims and post-launch redemption</w:t>
            </w:r>
          </w:p>
        </w:tc>
      </w:tr>
      <w:tr w14:paraId="39FE60F1">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B50F9F1">
            <w:pPr>
              <w:spacing w:after="0"/>
            </w:pPr>
            <w:r>
              <w:rPr>
                <w:rFonts w:ascii="Calibri" w:hAnsi="Calibri" w:eastAsia="Calibri"/>
                <w:b/>
                <w:color w:val="222A35"/>
                <w:sz w:val="17"/>
              </w:rPr>
              <w:t>AegentStakingV1</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BF9FE6C">
            <w:pPr>
              <w:spacing w:after="0"/>
            </w:pPr>
            <w:r>
              <w:rPr>
                <w:rFonts w:ascii="Calibri" w:hAnsi="Calibri" w:eastAsia="Calibri"/>
                <w:b w:val="0"/>
                <w:color w:val="222A35"/>
                <w:sz w:val="17"/>
              </w:rPr>
              <w:t>Term-locked deposits with maturity AGNT entitlement and beneficiary proceeds release</w:t>
            </w:r>
          </w:p>
        </w:tc>
      </w:tr>
      <w:tr w14:paraId="299D128A">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4F7C8B2A">
            <w:pPr>
              <w:spacing w:after="0"/>
            </w:pPr>
            <w:r>
              <w:rPr>
                <w:rFonts w:ascii="Calibri" w:hAnsi="Calibri" w:eastAsia="Calibri"/>
                <w:b/>
                <w:color w:val="222A35"/>
                <w:sz w:val="17"/>
              </w:rPr>
              <w:t>Interfaces and scripts</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E85BD2F">
            <w:pPr>
              <w:spacing w:after="0"/>
            </w:pPr>
            <w:r>
              <w:rPr>
                <w:rFonts w:ascii="Calibri" w:hAnsi="Calibri" w:eastAsia="Calibri"/>
                <w:b w:val="0"/>
                <w:color w:val="222A35"/>
                <w:sz w:val="17"/>
              </w:rPr>
              <w:t>Binding contracts, BSC deployment safety and oracle-breaker keeper behavior</w:t>
            </w:r>
          </w:p>
        </w:tc>
      </w:tr>
    </w:tbl>
    <w:p w14:paraId="60B8079D">
      <w:pPr>
        <w:spacing w:after="20"/>
      </w:pPr>
    </w:p>
    <w:p w14:paraId="31333447">
      <w:pPr>
        <w:pStyle w:val="4"/>
        <w:keepNext/>
      </w:pPr>
      <w:bookmarkStart w:id="6" w:name="_Toc3220"/>
      <w:r>
        <w:t>2.3 Scope identity</w:t>
      </w:r>
      <w:bookmarkEnd w:id="6"/>
    </w:p>
    <w:p w14:paraId="456FDB26">
      <w:r>
        <w:rPr>
          <w:rFonts w:ascii="Calibri" w:hAnsi="Calibri" w:eastAsia="Calibri"/>
        </w:rPr>
        <w:t>The authoritative evidence run is 20260730T020710Z. The scope-root SHA-256 is 5c51c8e5df9126e3b0a5ce15e98869f6130e43bb13e4caaebf30853286763f0c. It is computed over the ordered production Solidity path/hash pairs. Full per-file hashes appear in Appendix A.</w:t>
      </w:r>
    </w:p>
    <w:tbl>
      <w:tblPr>
        <w:tblStyle w:val="34"/>
        <w:tblW w:w="9360" w:type="dxa"/>
        <w:jc w:val="center"/>
        <w:tblLayout w:type="fixed"/>
        <w:tblCellMar>
          <w:top w:w="0" w:type="dxa"/>
          <w:left w:w="108" w:type="dxa"/>
          <w:bottom w:w="0" w:type="dxa"/>
          <w:right w:w="108" w:type="dxa"/>
        </w:tblCellMar>
      </w:tblPr>
      <w:tblGrid>
        <w:gridCol w:w="9360"/>
      </w:tblGrid>
      <w:tr w14:paraId="2EF24FD0">
        <w:tblPrEx>
          <w:tblCellMar>
            <w:top w:w="0" w:type="dxa"/>
            <w:left w:w="108" w:type="dxa"/>
            <w:bottom w:w="0" w:type="dxa"/>
            <w:right w:w="108" w:type="dxa"/>
          </w:tblCellMar>
        </w:tblPrEx>
        <w:trPr>
          <w:jc w:val="center"/>
        </w:trPr>
        <w:tc>
          <w:tcPr>
            <w:tcW w:w="9360" w:type="dxa"/>
            <w:tcBorders>
              <w:top w:val="single" w:color="E9F7EF" w:sz="0" w:space="0"/>
              <w:left w:val="single" w:color="E9F7EF" w:sz="0" w:space="0"/>
              <w:bottom w:val="single" w:color="E9F7EF" w:sz="0" w:space="0"/>
              <w:right w:val="single" w:color="E9F7EF" w:sz="0" w:space="0"/>
              <w:insideH w:val="single" w:sz="0" w:space="0"/>
              <w:insideV w:val="single" w:sz="0" w:space="0"/>
            </w:tcBorders>
            <w:shd w:val="clear" w:color="auto" w:fill="E9F7EF"/>
            <w:tcMar>
              <w:top w:w="80" w:type="dxa"/>
              <w:left w:w="120" w:type="dxa"/>
              <w:bottom w:w="80" w:type="dxa"/>
              <w:right w:w="120" w:type="dxa"/>
            </w:tcMar>
            <w:vAlign w:val="center"/>
          </w:tcPr>
          <w:p w14:paraId="65713DB8">
            <w:pPr>
              <w:pBdr>
                <w:left w:val="single" w:color="18794E" w:sz="22" w:space="10"/>
              </w:pBdr>
              <w:spacing w:after="60"/>
            </w:pPr>
            <w:r>
              <w:rPr>
                <w:rFonts w:ascii="Calibri" w:hAnsi="Calibri" w:eastAsia="Calibri"/>
                <w:b/>
                <w:color w:val="18794E"/>
                <w:sz w:val="18"/>
              </w:rPr>
              <w:t>SNAPSHOT VALIDITY</w:t>
            </w:r>
          </w:p>
          <w:p w14:paraId="1339A7C4">
            <w:pPr>
              <w:pBdr>
                <w:left w:val="single" w:color="18794E" w:sz="22" w:space="10"/>
              </w:pBdr>
              <w:spacing w:after="0"/>
            </w:pPr>
            <w:r>
              <w:rPr>
                <w:rFonts w:ascii="Calibri" w:hAnsi="Calibri" w:eastAsia="Calibri"/>
                <w:color w:val="222A35"/>
                <w:sz w:val="21"/>
              </w:rPr>
              <w:t>The build pipeline refuses to generate this report when any of the 33 live audit inputs differs from the frozen manifest. Two earlier intermediate runs were explicitly invalidated after source or test changes and are not cited anywhere in this report.</w:t>
            </w:r>
          </w:p>
        </w:tc>
      </w:tr>
    </w:tbl>
    <w:p w14:paraId="45F8BAF2">
      <w:pPr>
        <w:spacing w:after="20"/>
      </w:pPr>
    </w:p>
    <w:p w14:paraId="67DAF0E9">
      <w:pPr>
        <w:pStyle w:val="4"/>
        <w:keepNext/>
      </w:pPr>
      <w:bookmarkStart w:id="7" w:name="_Toc6633"/>
      <w:r>
        <w:t>2.4 Explicit exclusions</w:t>
      </w:r>
      <w:bookmarkEnd w:id="7"/>
    </w:p>
    <w:p w14:paraId="32BCFD9C">
      <w:pPr>
        <w:pStyle w:val="16"/>
      </w:pPr>
      <w:r>
        <w:rPr>
          <w:rFonts w:ascii="Calibri" w:hAnsi="Calibri" w:eastAsia="Calibri"/>
        </w:rPr>
        <w:t>No deployed contract address, runtime bytecode, constructor transaction or explorer verification.</w:t>
      </w:r>
    </w:p>
    <w:p w14:paraId="708677D2">
      <w:pPr>
        <w:pStyle w:val="16"/>
      </w:pPr>
      <w:r>
        <w:rPr>
          <w:rFonts w:ascii="Calibri" w:hAnsi="Calibri" w:eastAsia="Calibri"/>
        </w:rPr>
        <w:t>No production multisig, owner, beneficiary, oracle, treasury or token address validation.</w:t>
      </w:r>
    </w:p>
    <w:p w14:paraId="63F1867C">
      <w:pPr>
        <w:pStyle w:val="16"/>
      </w:pPr>
      <w:r>
        <w:rPr>
          <w:rFonts w:ascii="Calibri" w:hAnsi="Calibri" w:eastAsia="Calibri"/>
        </w:rPr>
        <w:t>No funded mainnet purchase, redemption, claim, staking or release receipt.</w:t>
      </w:r>
    </w:p>
    <w:p w14:paraId="6CE317E0">
      <w:pPr>
        <w:pStyle w:val="16"/>
      </w:pPr>
      <w:r>
        <w:rPr>
          <w:rFonts w:ascii="Calibri" w:hAnsi="Calibri" w:eastAsia="Calibri"/>
        </w:rPr>
        <w:t>No front-end, API, custody service, database or economic market-liquidity audit except where a contract interface depends on it.</w:t>
      </w:r>
    </w:p>
    <w:p w14:paraId="5A20E9B7">
      <w:pPr>
        <w:pStyle w:val="16"/>
      </w:pPr>
      <w:r>
        <w:rPr>
          <w:rFonts w:ascii="Calibri" w:hAnsi="Calibri" w:eastAsia="Calibri"/>
        </w:rPr>
        <w:t>No formal verification, symbolic execution, long-duration fuzzing, key-compromise exercise or third-party independent review.</w:t>
      </w:r>
    </w:p>
    <w:p w14:paraId="167CE69E">
      <w:r>
        <w:br w:type="page"/>
      </w:r>
    </w:p>
    <w:p w14:paraId="7D48921D">
      <w:pPr>
        <w:pStyle w:val="3"/>
        <w:keepNext/>
      </w:pPr>
      <w:bookmarkStart w:id="8" w:name="_Toc3386"/>
      <w:r>
        <w:t>3. Architecture and trust boundaries</w:t>
      </w:r>
      <w:bookmarkEnd w:id="8"/>
    </w:p>
    <w:p w14:paraId="7964736B">
      <w:pPr>
        <w:jc w:val="center"/>
      </w:pPr>
      <w:r>
        <w:drawing>
          <wp:inline distT="0" distB="0" distL="114300" distR="114300">
            <wp:extent cx="5869940" cy="3326130"/>
            <wp:effectExtent l="0" t="0" r="10160" b="1270"/>
            <wp:docPr id="2" name="Picture 2" descr="AEGENT contract architecture showing users, governance, oracles, registry, swap, vault, redemption and staking" title="AEGENT contrac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EGENT contract architecture showing users, governance, oracles, registry, swap, vault, redemption and staking" title="AEGENT contract architecture"/>
                    <pic:cNvPicPr>
                      <a:picLocks noChangeAspect="1"/>
                    </pic:cNvPicPr>
                  </pic:nvPicPr>
                  <pic:blipFill>
                    <a:blip r:embed="rId15"/>
                    <a:stretch>
                      <a:fillRect/>
                    </a:stretch>
                  </pic:blipFill>
                  <pic:spPr>
                    <a:xfrm>
                      <a:off x="0" y="0"/>
                      <a:ext cx="5870448" cy="3326587"/>
                    </a:xfrm>
                    <a:prstGeom prst="rect">
                      <a:avLst/>
                    </a:prstGeom>
                  </pic:spPr>
                </pic:pic>
              </a:graphicData>
            </a:graphic>
          </wp:inline>
        </w:drawing>
      </w:r>
    </w:p>
    <w:p w14:paraId="294F7496">
      <w:pPr>
        <w:pStyle w:val="167"/>
        <w:jc w:val="center"/>
      </w:pPr>
      <w:r>
        <w:rPr>
          <w:rFonts w:ascii="Calibri" w:hAnsi="Calibri" w:eastAsia="Calibri"/>
          <w:i/>
          <w:color w:val="667085"/>
          <w:sz w:val="17"/>
        </w:rPr>
        <w:t>Figure 1 — Reviewed call and trust relationships. Live deployment identities were not in scope.</w:t>
      </w:r>
    </w:p>
    <w:p w14:paraId="6D0E9FA2">
      <w:pPr>
        <w:pStyle w:val="4"/>
        <w:keepNext/>
      </w:pPr>
      <w:bookmarkStart w:id="9" w:name="_Toc24583"/>
      <w:r>
        <w:t>3.1 Principal assets</w:t>
      </w:r>
      <w:bookmarkEnd w:id="9"/>
    </w:p>
    <w:tbl>
      <w:tblPr>
        <w:tblStyle w:val="34"/>
        <w:tblW w:w="9360" w:type="dxa"/>
        <w:jc w:val="center"/>
        <w:tblLayout w:type="fixed"/>
        <w:tblCellMar>
          <w:top w:w="0" w:type="dxa"/>
          <w:left w:w="108" w:type="dxa"/>
          <w:bottom w:w="0" w:type="dxa"/>
          <w:right w:w="108" w:type="dxa"/>
        </w:tblCellMar>
      </w:tblPr>
      <w:tblGrid>
        <w:gridCol w:w="3000"/>
        <w:gridCol w:w="6360"/>
      </w:tblGrid>
      <w:tr w14:paraId="364D8A08">
        <w:tblPrEx>
          <w:tblCellMar>
            <w:top w:w="0" w:type="dxa"/>
            <w:left w:w="108" w:type="dxa"/>
            <w:bottom w:w="0" w:type="dxa"/>
            <w:right w:w="108" w:type="dxa"/>
          </w:tblCellMar>
        </w:tblPrEx>
        <w:trPr>
          <w:cantSplit/>
          <w:tblHeader/>
          <w:jc w:val="center"/>
        </w:trPr>
        <w:tc>
          <w:tcPr>
            <w:tcW w:w="30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1242265E">
            <w:pPr>
              <w:spacing w:after="0"/>
            </w:pPr>
            <w:r>
              <w:rPr>
                <w:rFonts w:ascii="Calibri" w:hAnsi="Calibri" w:eastAsia="Calibri"/>
                <w:b/>
                <w:color w:val="17213C"/>
                <w:sz w:val="17"/>
              </w:rPr>
              <w:t>ASSET</w:t>
            </w:r>
          </w:p>
        </w:tc>
        <w:tc>
          <w:tcPr>
            <w:tcW w:w="63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4E36C86A">
            <w:pPr>
              <w:spacing w:after="0"/>
            </w:pPr>
            <w:r>
              <w:rPr>
                <w:rFonts w:ascii="Calibri" w:hAnsi="Calibri" w:eastAsia="Calibri"/>
                <w:b/>
                <w:color w:val="17213C"/>
                <w:sz w:val="17"/>
              </w:rPr>
              <w:t>SECURITY PROPERTY</w:t>
            </w:r>
          </w:p>
        </w:tc>
      </w:tr>
      <w:tr w14:paraId="5C58B096">
        <w:tblPrEx>
          <w:tblCellMar>
            <w:top w:w="0" w:type="dxa"/>
            <w:left w:w="108" w:type="dxa"/>
            <w:bottom w:w="0" w:type="dxa"/>
            <w:right w:w="108" w:type="dxa"/>
          </w:tblCellMar>
        </w:tblPrEx>
        <w:trPr>
          <w:cantSplit/>
          <w:jc w:val="center"/>
        </w:trPr>
        <w:tc>
          <w:tcPr>
            <w:tcW w:w="30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7F74839">
            <w:pPr>
              <w:spacing w:after="0"/>
            </w:pPr>
            <w:r>
              <w:rPr>
                <w:rFonts w:ascii="Calibri" w:hAnsi="Calibri" w:eastAsia="Calibri"/>
                <w:b/>
                <w:color w:val="222A35"/>
                <w:sz w:val="17"/>
              </w:rPr>
              <w:t>AGNT inventory and entitlement</w:t>
            </w:r>
          </w:p>
        </w:tc>
        <w:tc>
          <w:tcPr>
            <w:tcW w:w="63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89CA5AA">
            <w:pPr>
              <w:spacing w:after="0"/>
            </w:pPr>
            <w:r>
              <w:rPr>
                <w:rFonts w:ascii="Calibri" w:hAnsi="Calibri" w:eastAsia="Calibri"/>
                <w:b w:val="0"/>
                <w:color w:val="222A35"/>
                <w:sz w:val="17"/>
              </w:rPr>
              <w:t>Cannot be oversold, over-reserved, withdrawn while owed or delivered twice</w:t>
            </w:r>
          </w:p>
        </w:tc>
      </w:tr>
      <w:tr w14:paraId="00DABC65">
        <w:tblPrEx>
          <w:tblCellMar>
            <w:top w:w="0" w:type="dxa"/>
            <w:left w:w="108" w:type="dxa"/>
            <w:bottom w:w="0" w:type="dxa"/>
            <w:right w:w="108" w:type="dxa"/>
          </w:tblCellMar>
        </w:tblPrEx>
        <w:trPr>
          <w:cantSplit/>
          <w:jc w:val="center"/>
        </w:trPr>
        <w:tc>
          <w:tcPr>
            <w:tcW w:w="30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4A75D96">
            <w:pPr>
              <w:spacing w:after="0"/>
            </w:pPr>
            <w:r>
              <w:rPr>
                <w:rFonts w:ascii="Calibri" w:hAnsi="Calibri" w:eastAsia="Calibri"/>
                <w:b/>
                <w:color w:val="222A35"/>
                <w:sz w:val="17"/>
              </w:rPr>
              <w:t>USDT / USDC / BNB sale proceeds</w:t>
            </w:r>
          </w:p>
        </w:tc>
        <w:tc>
          <w:tcPr>
            <w:tcW w:w="63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81E996B">
            <w:pPr>
              <w:spacing w:after="0"/>
            </w:pPr>
            <w:r>
              <w:rPr>
                <w:rFonts w:ascii="Calibri" w:hAnsi="Calibri" w:eastAsia="Calibri"/>
                <w:b w:val="0"/>
                <w:color w:val="222A35"/>
                <w:sz w:val="17"/>
              </w:rPr>
              <w:t>Correct valuation, atomic forwarding and locked release</w:t>
            </w:r>
          </w:p>
        </w:tc>
      </w:tr>
      <w:tr w14:paraId="29B14DB9">
        <w:tblPrEx>
          <w:tblCellMar>
            <w:top w:w="0" w:type="dxa"/>
            <w:left w:w="108" w:type="dxa"/>
            <w:bottom w:w="0" w:type="dxa"/>
            <w:right w:w="108" w:type="dxa"/>
          </w:tblCellMar>
        </w:tblPrEx>
        <w:trPr>
          <w:cantSplit/>
          <w:jc w:val="center"/>
        </w:trPr>
        <w:tc>
          <w:tcPr>
            <w:tcW w:w="30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5D4A39E">
            <w:pPr>
              <w:spacing w:after="0"/>
            </w:pPr>
            <w:r>
              <w:rPr>
                <w:rFonts w:ascii="Calibri" w:hAnsi="Calibri" w:eastAsia="Calibri"/>
                <w:b/>
                <w:color w:val="222A35"/>
                <w:sz w:val="17"/>
              </w:rPr>
              <w:t>Refund reserve</w:t>
            </w:r>
          </w:p>
        </w:tc>
        <w:tc>
          <w:tcPr>
            <w:tcW w:w="63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B23CF2C">
            <w:pPr>
              <w:spacing w:after="0"/>
            </w:pPr>
            <w:r>
              <w:rPr>
                <w:rFonts w:ascii="Calibri" w:hAnsi="Calibri" w:eastAsia="Calibri"/>
                <w:b w:val="0"/>
                <w:color w:val="222A35"/>
                <w:sz w:val="17"/>
              </w:rPr>
              <w:t>Covers outstanding cost-basis liability and rejects unsafe incremental purchases</w:t>
            </w:r>
          </w:p>
        </w:tc>
      </w:tr>
      <w:tr w14:paraId="30CABD60">
        <w:tblPrEx>
          <w:tblCellMar>
            <w:top w:w="0" w:type="dxa"/>
            <w:left w:w="108" w:type="dxa"/>
            <w:bottom w:w="0" w:type="dxa"/>
            <w:right w:w="108" w:type="dxa"/>
          </w:tblCellMar>
        </w:tblPrEx>
        <w:trPr>
          <w:cantSplit/>
          <w:jc w:val="center"/>
        </w:trPr>
        <w:tc>
          <w:tcPr>
            <w:tcW w:w="30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8C306F4">
            <w:pPr>
              <w:spacing w:after="0"/>
            </w:pPr>
            <w:r>
              <w:rPr>
                <w:rFonts w:ascii="Calibri" w:hAnsi="Calibri" w:eastAsia="Calibri"/>
                <w:b/>
                <w:color w:val="222A35"/>
                <w:sz w:val="17"/>
              </w:rPr>
              <w:t>Staking deposits</w:t>
            </w:r>
          </w:p>
        </w:tc>
        <w:tc>
          <w:tcPr>
            <w:tcW w:w="63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2FAAF88">
            <w:pPr>
              <w:spacing w:after="0"/>
            </w:pPr>
            <w:r>
              <w:rPr>
                <w:rFonts w:ascii="Calibri" w:hAnsi="Calibri" w:eastAsia="Calibri"/>
                <w:b w:val="0"/>
                <w:color w:val="222A35"/>
                <w:sz w:val="17"/>
              </w:rPr>
              <w:t>Single position accounting, maturity enforcement and one-time proceeds release</w:t>
            </w:r>
          </w:p>
        </w:tc>
      </w:tr>
      <w:tr w14:paraId="394FF183">
        <w:tblPrEx>
          <w:tblCellMar>
            <w:top w:w="0" w:type="dxa"/>
            <w:left w:w="108" w:type="dxa"/>
            <w:bottom w:w="0" w:type="dxa"/>
            <w:right w:w="108" w:type="dxa"/>
          </w:tblCellMar>
        </w:tblPrEx>
        <w:trPr>
          <w:cantSplit/>
          <w:jc w:val="center"/>
        </w:trPr>
        <w:tc>
          <w:tcPr>
            <w:tcW w:w="30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C6BC2F6">
            <w:pPr>
              <w:spacing w:after="0"/>
            </w:pPr>
            <w:r>
              <w:rPr>
                <w:rFonts w:ascii="Calibri" w:hAnsi="Calibri" w:eastAsia="Calibri"/>
                <w:b/>
                <w:color w:val="222A35"/>
                <w:sz w:val="17"/>
              </w:rPr>
              <w:t>Configuration state</w:t>
            </w:r>
          </w:p>
        </w:tc>
        <w:tc>
          <w:tcPr>
            <w:tcW w:w="63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A64B7E1">
            <w:pPr>
              <w:spacing w:after="0"/>
            </w:pPr>
            <w:r>
              <w:rPr>
                <w:rFonts w:ascii="Calibri" w:hAnsi="Calibri" w:eastAsia="Calibri"/>
                <w:b w:val="0"/>
                <w:color w:val="222A35"/>
                <w:sz w:val="17"/>
              </w:rPr>
              <w:t>Versioned, role-bound, mode-safe and reconstructable</w:t>
            </w:r>
          </w:p>
        </w:tc>
      </w:tr>
      <w:tr w14:paraId="0329382D">
        <w:tblPrEx>
          <w:tblCellMar>
            <w:top w:w="0" w:type="dxa"/>
            <w:left w:w="108" w:type="dxa"/>
            <w:bottom w:w="0" w:type="dxa"/>
            <w:right w:w="108" w:type="dxa"/>
          </w:tblCellMar>
        </w:tblPrEx>
        <w:trPr>
          <w:cantSplit/>
          <w:jc w:val="center"/>
        </w:trPr>
        <w:tc>
          <w:tcPr>
            <w:tcW w:w="30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8E20EE4">
            <w:pPr>
              <w:spacing w:after="0"/>
            </w:pPr>
            <w:r>
              <w:rPr>
                <w:rFonts w:ascii="Calibri" w:hAnsi="Calibri" w:eastAsia="Calibri"/>
                <w:b/>
                <w:color w:val="222A35"/>
                <w:sz w:val="17"/>
              </w:rPr>
              <w:t>Oracle data</w:t>
            </w:r>
          </w:p>
        </w:tc>
        <w:tc>
          <w:tcPr>
            <w:tcW w:w="63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11C02CE">
            <w:pPr>
              <w:spacing w:after="0"/>
            </w:pPr>
            <w:r>
              <w:rPr>
                <w:rFonts w:ascii="Calibri" w:hAnsi="Calibri" w:eastAsia="Calibri"/>
                <w:b w:val="0"/>
                <w:color w:val="222A35"/>
                <w:sz w:val="17"/>
              </w:rPr>
              <w:t>Fresh, bounded, deviation-checked and fail-closed when unhealthy</w:t>
            </w:r>
          </w:p>
        </w:tc>
      </w:tr>
    </w:tbl>
    <w:p w14:paraId="3637DBD5">
      <w:pPr>
        <w:spacing w:after="20"/>
      </w:pPr>
    </w:p>
    <w:p w14:paraId="27AA798E">
      <w:pPr>
        <w:pStyle w:val="4"/>
        <w:keepNext/>
      </w:pPr>
      <w:bookmarkStart w:id="10" w:name="_Toc9553"/>
      <w:r>
        <w:t>3.2 Actors and assumptions</w:t>
      </w:r>
      <w:bookmarkEnd w:id="10"/>
    </w:p>
    <w:tbl>
      <w:tblPr>
        <w:tblStyle w:val="34"/>
        <w:tblW w:w="9360" w:type="dxa"/>
        <w:jc w:val="center"/>
        <w:tblLayout w:type="fixed"/>
        <w:tblCellMar>
          <w:top w:w="0" w:type="dxa"/>
          <w:left w:w="108" w:type="dxa"/>
          <w:bottom w:w="0" w:type="dxa"/>
          <w:right w:w="108" w:type="dxa"/>
        </w:tblCellMar>
      </w:tblPr>
      <w:tblGrid>
        <w:gridCol w:w="2600"/>
        <w:gridCol w:w="6760"/>
      </w:tblGrid>
      <w:tr w14:paraId="1EEE28DB">
        <w:tblPrEx>
          <w:tblCellMar>
            <w:top w:w="0" w:type="dxa"/>
            <w:left w:w="108" w:type="dxa"/>
            <w:bottom w:w="0" w:type="dxa"/>
            <w:right w:w="108" w:type="dxa"/>
          </w:tblCellMar>
        </w:tblPrEx>
        <w:trPr>
          <w:cantSplit/>
          <w:tblHeader/>
          <w:jc w:val="center"/>
        </w:trPr>
        <w:tc>
          <w:tcPr>
            <w:tcW w:w="2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7DDE0AF5">
            <w:pPr>
              <w:spacing w:after="0"/>
            </w:pPr>
            <w:r>
              <w:rPr>
                <w:rFonts w:ascii="Calibri" w:hAnsi="Calibri" w:eastAsia="Calibri"/>
                <w:b/>
                <w:color w:val="17213C"/>
                <w:sz w:val="17"/>
              </w:rPr>
              <w:t>ACTOR</w:t>
            </w:r>
          </w:p>
        </w:tc>
        <w:tc>
          <w:tcPr>
            <w:tcW w:w="67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1CCB35CE">
            <w:pPr>
              <w:spacing w:after="0"/>
            </w:pPr>
            <w:r>
              <w:rPr>
                <w:rFonts w:ascii="Calibri" w:hAnsi="Calibri" w:eastAsia="Calibri"/>
                <w:b/>
                <w:color w:val="17213C"/>
                <w:sz w:val="17"/>
              </w:rPr>
              <w:t>TRUST / ADVERSARY MODEL</w:t>
            </w:r>
          </w:p>
        </w:tc>
      </w:tr>
      <w:tr w14:paraId="5D73F712">
        <w:tblPrEx>
          <w:tblCellMar>
            <w:top w:w="0" w:type="dxa"/>
            <w:left w:w="108" w:type="dxa"/>
            <w:bottom w:w="0" w:type="dxa"/>
            <w:right w:w="108" w:type="dxa"/>
          </w:tblCellMar>
        </w:tblPrEx>
        <w:trPr>
          <w:cantSplit/>
          <w:jc w:val="center"/>
        </w:trPr>
        <w:tc>
          <w:tcPr>
            <w:tcW w:w="2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43AFA21">
            <w:pPr>
              <w:spacing w:after="0"/>
            </w:pPr>
            <w:r>
              <w:rPr>
                <w:rFonts w:ascii="Calibri" w:hAnsi="Calibri" w:eastAsia="Calibri"/>
                <w:b/>
                <w:color w:val="222A35"/>
                <w:sz w:val="17"/>
              </w:rPr>
              <w:t>Buyer / redeemer / staker</w:t>
            </w:r>
          </w:p>
        </w:tc>
        <w:tc>
          <w:tcPr>
            <w:tcW w:w="67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5A079A6">
            <w:pPr>
              <w:spacing w:after="0"/>
            </w:pPr>
            <w:r>
              <w:rPr>
                <w:rFonts w:ascii="Calibri" w:hAnsi="Calibri" w:eastAsia="Calibri"/>
                <w:b w:val="0"/>
                <w:color w:val="222A35"/>
                <w:sz w:val="17"/>
              </w:rPr>
              <w:t>Untrusted; may choose timing, split calls, replay data and target boundaries</w:t>
            </w:r>
          </w:p>
        </w:tc>
      </w:tr>
      <w:tr w14:paraId="530C84D7">
        <w:tblPrEx>
          <w:tblCellMar>
            <w:top w:w="0" w:type="dxa"/>
            <w:left w:w="108" w:type="dxa"/>
            <w:bottom w:w="0" w:type="dxa"/>
            <w:right w:w="108" w:type="dxa"/>
          </w:tblCellMar>
        </w:tblPrEx>
        <w:trPr>
          <w:cantSplit/>
          <w:jc w:val="center"/>
        </w:trPr>
        <w:tc>
          <w:tcPr>
            <w:tcW w:w="2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FB39A8E">
            <w:pPr>
              <w:spacing w:after="0"/>
            </w:pPr>
            <w:r>
              <w:rPr>
                <w:rFonts w:ascii="Calibri" w:hAnsi="Calibri" w:eastAsia="Calibri"/>
                <w:b/>
                <w:color w:val="222A35"/>
                <w:sz w:val="17"/>
              </w:rPr>
              <w:t>Owner</w:t>
            </w:r>
          </w:p>
        </w:tc>
        <w:tc>
          <w:tcPr>
            <w:tcW w:w="67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31A615A">
            <w:pPr>
              <w:spacing w:after="0"/>
            </w:pPr>
            <w:r>
              <w:rPr>
                <w:rFonts w:ascii="Calibri" w:hAnsi="Calibri" w:eastAsia="Calibri"/>
                <w:b w:val="0"/>
                <w:color w:val="222A35"/>
                <w:sz w:val="17"/>
              </w:rPr>
              <w:t>Highly trusted; can configure modes, oracle policy, rates and withdrawals</w:t>
            </w:r>
          </w:p>
        </w:tc>
      </w:tr>
      <w:tr w14:paraId="7DD4F7B7">
        <w:tblPrEx>
          <w:tblCellMar>
            <w:top w:w="0" w:type="dxa"/>
            <w:left w:w="108" w:type="dxa"/>
            <w:bottom w:w="0" w:type="dxa"/>
            <w:right w:w="108" w:type="dxa"/>
          </w:tblCellMar>
        </w:tblPrEx>
        <w:trPr>
          <w:cantSplit/>
          <w:jc w:val="center"/>
        </w:trPr>
        <w:tc>
          <w:tcPr>
            <w:tcW w:w="2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CCF8819">
            <w:pPr>
              <w:spacing w:after="0"/>
            </w:pPr>
            <w:r>
              <w:rPr>
                <w:rFonts w:ascii="Calibri" w:hAnsi="Calibri" w:eastAsia="Calibri"/>
                <w:b/>
                <w:color w:val="222A35"/>
                <w:sz w:val="17"/>
              </w:rPr>
              <w:t>Keeper</w:t>
            </w:r>
          </w:p>
        </w:tc>
        <w:tc>
          <w:tcPr>
            <w:tcW w:w="67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71C84BD">
            <w:pPr>
              <w:spacing w:after="0"/>
            </w:pPr>
            <w:r>
              <w:rPr>
                <w:rFonts w:ascii="Calibri" w:hAnsi="Calibri" w:eastAsia="Calibri"/>
                <w:b w:val="0"/>
                <w:color w:val="222A35"/>
                <w:sz w:val="17"/>
              </w:rPr>
              <w:t>Operationally trusted for availability, not authorization; breaker call is permissionless</w:t>
            </w:r>
          </w:p>
        </w:tc>
      </w:tr>
      <w:tr w14:paraId="76D43BD1">
        <w:tblPrEx>
          <w:tblCellMar>
            <w:top w:w="0" w:type="dxa"/>
            <w:left w:w="108" w:type="dxa"/>
            <w:bottom w:w="0" w:type="dxa"/>
            <w:right w:w="108" w:type="dxa"/>
          </w:tblCellMar>
        </w:tblPrEx>
        <w:trPr>
          <w:cantSplit/>
          <w:jc w:val="center"/>
        </w:trPr>
        <w:tc>
          <w:tcPr>
            <w:tcW w:w="2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480D0EC4">
            <w:pPr>
              <w:spacing w:after="0"/>
            </w:pPr>
            <w:r>
              <w:rPr>
                <w:rFonts w:ascii="Calibri" w:hAnsi="Calibri" w:eastAsia="Calibri"/>
                <w:b/>
                <w:color w:val="222A35"/>
                <w:sz w:val="17"/>
              </w:rPr>
              <w:t>Oracle feed</w:t>
            </w:r>
          </w:p>
        </w:tc>
        <w:tc>
          <w:tcPr>
            <w:tcW w:w="67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7D1D0C8">
            <w:pPr>
              <w:spacing w:after="0"/>
            </w:pPr>
            <w:r>
              <w:rPr>
                <w:rFonts w:ascii="Calibri" w:hAnsi="Calibri" w:eastAsia="Calibri"/>
                <w:b w:val="0"/>
                <w:color w:val="222A35"/>
                <w:sz w:val="17"/>
              </w:rPr>
              <w:t>External dependency; may be stale, malformed or economically wrong while syntactically valid</w:t>
            </w:r>
          </w:p>
        </w:tc>
      </w:tr>
      <w:tr w14:paraId="6D254E90">
        <w:tblPrEx>
          <w:tblCellMar>
            <w:top w:w="0" w:type="dxa"/>
            <w:left w:w="108" w:type="dxa"/>
            <w:bottom w:w="0" w:type="dxa"/>
            <w:right w:w="108" w:type="dxa"/>
          </w:tblCellMar>
        </w:tblPrEx>
        <w:trPr>
          <w:cantSplit/>
          <w:jc w:val="center"/>
        </w:trPr>
        <w:tc>
          <w:tcPr>
            <w:tcW w:w="2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97A463E">
            <w:pPr>
              <w:spacing w:after="0"/>
            </w:pPr>
            <w:r>
              <w:rPr>
                <w:rFonts w:ascii="Calibri" w:hAnsi="Calibri" w:eastAsia="Calibri"/>
                <w:b/>
                <w:color w:val="222A35"/>
                <w:sz w:val="17"/>
              </w:rPr>
              <w:t>Beneficiary</w:t>
            </w:r>
          </w:p>
        </w:tc>
        <w:tc>
          <w:tcPr>
            <w:tcW w:w="67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DE4C3CA">
            <w:pPr>
              <w:spacing w:after="0"/>
            </w:pPr>
            <w:r>
              <w:rPr>
                <w:rFonts w:ascii="Calibri" w:hAnsi="Calibri" w:eastAsia="Calibri"/>
                <w:b w:val="0"/>
                <w:color w:val="222A35"/>
                <w:sz w:val="17"/>
              </w:rPr>
              <w:t>Trusted and immutable recipient; must remain able to receive BNB and tokens</w:t>
            </w:r>
          </w:p>
        </w:tc>
      </w:tr>
      <w:tr w14:paraId="26D5DA11">
        <w:tblPrEx>
          <w:tblCellMar>
            <w:top w:w="0" w:type="dxa"/>
            <w:left w:w="108" w:type="dxa"/>
            <w:bottom w:w="0" w:type="dxa"/>
            <w:right w:w="108" w:type="dxa"/>
          </w:tblCellMar>
        </w:tblPrEx>
        <w:trPr>
          <w:cantSplit/>
          <w:jc w:val="center"/>
        </w:trPr>
        <w:tc>
          <w:tcPr>
            <w:tcW w:w="2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8D77D0F">
            <w:pPr>
              <w:spacing w:after="0"/>
            </w:pPr>
            <w:r>
              <w:rPr>
                <w:rFonts w:ascii="Calibri" w:hAnsi="Calibri" w:eastAsia="Calibri"/>
                <w:b/>
                <w:color w:val="222A35"/>
                <w:sz w:val="17"/>
              </w:rPr>
              <w:t>Token contracts</w:t>
            </w:r>
          </w:p>
        </w:tc>
        <w:tc>
          <w:tcPr>
            <w:tcW w:w="67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838BB17">
            <w:pPr>
              <w:spacing w:after="0"/>
            </w:pPr>
            <w:r>
              <w:rPr>
                <w:rFonts w:ascii="Calibri" w:hAnsi="Calibri" w:eastAsia="Calibri"/>
                <w:b w:val="0"/>
                <w:color w:val="222A35"/>
                <w:sz w:val="17"/>
              </w:rPr>
              <w:t>Expected standard behavior; fee-on-transfer USDT deposits are rejected</w:t>
            </w:r>
          </w:p>
        </w:tc>
      </w:tr>
    </w:tbl>
    <w:p w14:paraId="5C5F07AE">
      <w:pPr>
        <w:spacing w:after="20"/>
      </w:pPr>
    </w:p>
    <w:p w14:paraId="056368A9">
      <w:pPr>
        <w:pStyle w:val="4"/>
        <w:keepNext/>
      </w:pPr>
      <w:bookmarkStart w:id="11" w:name="_Toc4243"/>
      <w:r>
        <w:t>3.3 Staking economic semantics</w:t>
      </w:r>
      <w:bookmarkEnd w:id="11"/>
    </w:p>
    <w:tbl>
      <w:tblPr>
        <w:tblStyle w:val="34"/>
        <w:tblW w:w="9360" w:type="dxa"/>
        <w:jc w:val="center"/>
        <w:tblLayout w:type="fixed"/>
        <w:tblCellMar>
          <w:top w:w="0" w:type="dxa"/>
          <w:left w:w="108" w:type="dxa"/>
          <w:bottom w:w="0" w:type="dxa"/>
          <w:right w:w="108" w:type="dxa"/>
        </w:tblCellMar>
      </w:tblPr>
      <w:tblGrid>
        <w:gridCol w:w="9360"/>
      </w:tblGrid>
      <w:tr w14:paraId="1B425D95">
        <w:tblPrEx>
          <w:tblCellMar>
            <w:top w:w="0" w:type="dxa"/>
            <w:left w:w="108" w:type="dxa"/>
            <w:bottom w:w="0" w:type="dxa"/>
            <w:right w:w="108" w:type="dxa"/>
          </w:tblCellMar>
        </w:tblPrEx>
        <w:trPr>
          <w:jc w:val="center"/>
        </w:trPr>
        <w:tc>
          <w:tcPr>
            <w:tcW w:w="9360" w:type="dxa"/>
            <w:tcBorders>
              <w:top w:val="single" w:color="EAF2FF" w:sz="0" w:space="0"/>
              <w:left w:val="single" w:color="EAF2FF" w:sz="0" w:space="0"/>
              <w:bottom w:val="single" w:color="EAF2FF" w:sz="0" w:space="0"/>
              <w:right w:val="single" w:color="EAF2FF" w:sz="0" w:space="0"/>
              <w:insideH w:val="single" w:sz="0" w:space="0"/>
              <w:insideV w:val="single" w:sz="0" w:space="0"/>
            </w:tcBorders>
            <w:shd w:val="clear" w:color="auto" w:fill="EAF2FF"/>
            <w:tcMar>
              <w:top w:w="80" w:type="dxa"/>
              <w:left w:w="120" w:type="dxa"/>
              <w:bottom w:w="80" w:type="dxa"/>
              <w:right w:w="120" w:type="dxa"/>
            </w:tcMar>
            <w:vAlign w:val="center"/>
          </w:tcPr>
          <w:p w14:paraId="0E636101">
            <w:pPr>
              <w:pBdr>
                <w:left w:val="single" w:color="175CD3" w:sz="22" w:space="10"/>
              </w:pBdr>
              <w:spacing w:after="60"/>
            </w:pPr>
            <w:r>
              <w:rPr>
                <w:rFonts w:ascii="Calibri" w:hAnsi="Calibri" w:eastAsia="Calibri"/>
                <w:b/>
                <w:color w:val="175CD3"/>
                <w:sz w:val="18"/>
              </w:rPr>
              <w:t>IMPORTANT PRODUCT FACT</w:t>
            </w:r>
          </w:p>
          <w:p w14:paraId="2473A9FD">
            <w:pPr>
              <w:pBdr>
                <w:left w:val="single" w:color="175CD3" w:sz="22" w:space="10"/>
              </w:pBdr>
              <w:spacing w:after="0"/>
            </w:pPr>
            <w:r>
              <w:rPr>
                <w:rFonts w:ascii="Calibri" w:hAnsi="Calibri" w:eastAsia="Calibri"/>
                <w:color w:val="222A35"/>
                <w:sz w:val="21"/>
              </w:rPr>
              <w:t>AegentStakingV1 is a term-lock / deferred-entitlement contract. A user deposits USDT or BNB and, after maturity, claims principalAgnt plus rewardAgnt. The deposited asset is then released to the beneficiary; it is not returned to the user as staking principal.</w:t>
            </w:r>
          </w:p>
        </w:tc>
      </w:tr>
    </w:tbl>
    <w:p w14:paraId="5BD718B9">
      <w:pPr>
        <w:spacing w:after="20"/>
      </w:pPr>
    </w:p>
    <w:p w14:paraId="38CC34DA">
      <w:r>
        <w:br w:type="page"/>
      </w:r>
    </w:p>
    <w:p w14:paraId="4B873EDF">
      <w:pPr>
        <w:pStyle w:val="3"/>
        <w:keepNext/>
      </w:pPr>
      <w:bookmarkStart w:id="12" w:name="_Toc216"/>
      <w:r>
        <w:t>4. Methodology</w:t>
      </w:r>
      <w:bookmarkEnd w:id="12"/>
    </w:p>
    <w:p w14:paraId="5127D052">
      <w:pPr>
        <w:pStyle w:val="4"/>
        <w:keepNext/>
      </w:pPr>
      <w:bookmarkStart w:id="13" w:name="_Toc12189"/>
      <w:r>
        <w:t>4.1 Review domains</w:t>
      </w:r>
      <w:bookmarkEnd w:id="13"/>
    </w:p>
    <w:tbl>
      <w:tblPr>
        <w:tblStyle w:val="34"/>
        <w:tblW w:w="9360" w:type="dxa"/>
        <w:jc w:val="center"/>
        <w:tblLayout w:type="fixed"/>
        <w:tblCellMar>
          <w:top w:w="0" w:type="dxa"/>
          <w:left w:w="108" w:type="dxa"/>
          <w:bottom w:w="0" w:type="dxa"/>
          <w:right w:w="108" w:type="dxa"/>
        </w:tblCellMar>
      </w:tblPr>
      <w:tblGrid>
        <w:gridCol w:w="3100"/>
        <w:gridCol w:w="6260"/>
      </w:tblGrid>
      <w:tr w14:paraId="3BE5FAD1">
        <w:tblPrEx>
          <w:tblCellMar>
            <w:top w:w="0" w:type="dxa"/>
            <w:left w:w="108" w:type="dxa"/>
            <w:bottom w:w="0" w:type="dxa"/>
            <w:right w:w="108" w:type="dxa"/>
          </w:tblCellMar>
        </w:tblPrEx>
        <w:trPr>
          <w:cantSplit/>
          <w:tblHeader/>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C59A907">
            <w:pPr>
              <w:spacing w:after="0"/>
            </w:pPr>
            <w:r>
              <w:rPr>
                <w:rFonts w:ascii="Calibri" w:hAnsi="Calibri" w:eastAsia="Calibri"/>
                <w:b/>
                <w:color w:val="17213C"/>
                <w:sz w:val="17"/>
              </w:rPr>
              <w:t>REVIEW DOMAIN</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585E4072">
            <w:pPr>
              <w:spacing w:after="0"/>
            </w:pPr>
            <w:r>
              <w:rPr>
                <w:rFonts w:ascii="Calibri" w:hAnsi="Calibri" w:eastAsia="Calibri"/>
                <w:b/>
                <w:color w:val="17213C"/>
                <w:sz w:val="17"/>
              </w:rPr>
              <w:t>CONTROL QUESTIONS</w:t>
            </w:r>
          </w:p>
        </w:tc>
      </w:tr>
      <w:tr w14:paraId="2241C45D">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4853AC5">
            <w:pPr>
              <w:spacing w:after="0"/>
            </w:pPr>
            <w:r>
              <w:rPr>
                <w:rFonts w:ascii="Calibri" w:hAnsi="Calibri" w:eastAsia="Calibri"/>
                <w:b/>
                <w:color w:val="222A35"/>
                <w:sz w:val="17"/>
              </w:rPr>
              <w:t>Authorization and governance</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BC66EEA">
            <w:pPr>
              <w:spacing w:after="0"/>
            </w:pPr>
            <w:r>
              <w:rPr>
                <w:rFonts w:ascii="Calibri" w:hAnsi="Calibri" w:eastAsia="Calibri"/>
                <w:b w:val="0"/>
                <w:color w:val="222A35"/>
                <w:sz w:val="17"/>
              </w:rPr>
              <w:t>Ownership transfer, onlyOwner surface, endpoint commitment, breaker authority</w:t>
            </w:r>
          </w:p>
        </w:tc>
      </w:tr>
      <w:tr w14:paraId="720C4B91">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423E531">
            <w:pPr>
              <w:spacing w:after="0"/>
            </w:pPr>
            <w:r>
              <w:rPr>
                <w:rFonts w:ascii="Calibri" w:hAnsi="Calibri" w:eastAsia="Calibri"/>
                <w:b/>
                <w:color w:val="222A35"/>
                <w:sz w:val="17"/>
              </w:rPr>
              <w:t>Custody and liveness</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7DC82FA">
            <w:pPr>
              <w:spacing w:after="0"/>
            </w:pPr>
            <w:r>
              <w:rPr>
                <w:rFonts w:ascii="Calibri" w:hAnsi="Calibri" w:eastAsia="Calibri"/>
                <w:b w:val="0"/>
                <w:color w:val="222A35"/>
                <w:sz w:val="17"/>
              </w:rPr>
              <w:t>AGNT reservation, reserve locks, beneficiary release, accidental-asset behavior</w:t>
            </w:r>
          </w:p>
        </w:tc>
      </w:tr>
      <w:tr w14:paraId="108A35D9">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B144132">
            <w:pPr>
              <w:spacing w:after="0"/>
            </w:pPr>
            <w:r>
              <w:rPr>
                <w:rFonts w:ascii="Calibri" w:hAnsi="Calibri" w:eastAsia="Calibri"/>
                <w:b/>
                <w:color w:val="222A35"/>
                <w:sz w:val="17"/>
              </w:rPr>
              <w:t>Accounting and economics</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AA4D504">
            <w:pPr>
              <w:spacing w:after="0"/>
            </w:pPr>
            <w:r>
              <w:rPr>
                <w:rFonts w:ascii="Calibri" w:hAnsi="Calibri" w:eastAsia="Calibri"/>
                <w:b w:val="0"/>
                <w:color w:val="222A35"/>
                <w:sz w:val="17"/>
              </w:rPr>
              <w:t>Phase rates, cost basis, partial refunds, daily limits, staking reward interpolation</w:t>
            </w:r>
          </w:p>
        </w:tc>
      </w:tr>
      <w:tr w14:paraId="080C603B">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3ECE7D6E">
            <w:pPr>
              <w:spacing w:after="0"/>
            </w:pPr>
            <w:r>
              <w:rPr>
                <w:rFonts w:ascii="Calibri" w:hAnsi="Calibri" w:eastAsia="Calibri"/>
                <w:b/>
                <w:color w:val="222A35"/>
                <w:sz w:val="17"/>
              </w:rPr>
              <w:t>Oracle safety</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36D2B9E4">
            <w:pPr>
              <w:spacing w:after="0"/>
            </w:pPr>
            <w:r>
              <w:rPr>
                <w:rFonts w:ascii="Calibri" w:hAnsi="Calibri" w:eastAsia="Calibri"/>
                <w:b w:val="0"/>
                <w:color w:val="222A35"/>
                <w:sz w:val="17"/>
              </w:rPr>
              <w:t>Round completeness, age, bounds, deviation, reference prices, breaker persistence</w:t>
            </w:r>
          </w:p>
        </w:tc>
      </w:tr>
      <w:tr w14:paraId="79206976">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67119D0">
            <w:pPr>
              <w:spacing w:after="0"/>
            </w:pPr>
            <w:r>
              <w:rPr>
                <w:rFonts w:ascii="Calibri" w:hAnsi="Calibri" w:eastAsia="Calibri"/>
                <w:b/>
                <w:color w:val="222A35"/>
                <w:sz w:val="17"/>
              </w:rPr>
              <w:t>Execution integrity</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78D6799">
            <w:pPr>
              <w:spacing w:after="0"/>
            </w:pPr>
            <w:r>
              <w:rPr>
                <w:rFonts w:ascii="Calibri" w:hAnsi="Calibri" w:eastAsia="Calibri"/>
                <w:b w:val="0"/>
                <w:color w:val="222A35"/>
                <w:sz w:val="17"/>
              </w:rPr>
              <w:t>Deadlines, nonces, minOut, checks-effects-interactions, reentrancy and replay</w:t>
            </w:r>
          </w:p>
        </w:tc>
      </w:tr>
      <w:tr w14:paraId="71B34DEF">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9807B16">
            <w:pPr>
              <w:spacing w:after="0"/>
            </w:pPr>
            <w:r>
              <w:rPr>
                <w:rFonts w:ascii="Calibri" w:hAnsi="Calibri" w:eastAsia="Calibri"/>
                <w:b/>
                <w:color w:val="222A35"/>
                <w:sz w:val="17"/>
              </w:rPr>
              <w:t>Time and lifecycle</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182B7D8">
            <w:pPr>
              <w:spacing w:after="0"/>
            </w:pPr>
            <w:r>
              <w:rPr>
                <w:rFonts w:ascii="Calibri" w:hAnsi="Calibri" w:eastAsia="Calibri"/>
                <w:b w:val="0"/>
                <w:color w:val="222A35"/>
                <w:sz w:val="17"/>
              </w:rPr>
              <w:t>Sale boundaries, limited windows, claim maturity, post-launch rate activation</w:t>
            </w:r>
          </w:p>
        </w:tc>
      </w:tr>
      <w:tr w14:paraId="401D4DC1">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D3FF0B3">
            <w:pPr>
              <w:spacing w:after="0"/>
            </w:pPr>
            <w:r>
              <w:rPr>
                <w:rFonts w:ascii="Calibri" w:hAnsi="Calibri" w:eastAsia="Calibri"/>
                <w:b/>
                <w:color w:val="222A35"/>
                <w:sz w:val="17"/>
              </w:rPr>
              <w:t>Evidence and observability</w:t>
            </w:r>
          </w:p>
        </w:tc>
        <w:tc>
          <w:tcPr>
            <w:tcW w:w="62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38DFB0C">
            <w:pPr>
              <w:spacing w:after="0"/>
            </w:pPr>
            <w:r>
              <w:rPr>
                <w:rFonts w:ascii="Calibri" w:hAnsi="Calibri" w:eastAsia="Calibri"/>
                <w:b w:val="0"/>
                <w:color w:val="222A35"/>
                <w:sz w:val="17"/>
              </w:rPr>
              <w:t>Events, configuration versions, deployment artifacts and reproducibility</w:t>
            </w:r>
          </w:p>
        </w:tc>
      </w:tr>
    </w:tbl>
    <w:p w14:paraId="23833D97">
      <w:pPr>
        <w:spacing w:after="20"/>
      </w:pPr>
    </w:p>
    <w:p w14:paraId="383FF054">
      <w:pPr>
        <w:pStyle w:val="4"/>
        <w:keepNext/>
      </w:pPr>
      <w:bookmarkStart w:id="14" w:name="_Toc9091"/>
      <w:r>
        <w:t>4.2 Automated tools</w:t>
      </w:r>
      <w:bookmarkEnd w:id="14"/>
    </w:p>
    <w:tbl>
      <w:tblPr>
        <w:tblStyle w:val="34"/>
        <w:tblW w:w="9360" w:type="dxa"/>
        <w:jc w:val="center"/>
        <w:tblLayout w:type="fixed"/>
        <w:tblCellMar>
          <w:top w:w="0" w:type="dxa"/>
          <w:left w:w="108" w:type="dxa"/>
          <w:bottom w:w="0" w:type="dxa"/>
          <w:right w:w="108" w:type="dxa"/>
        </w:tblCellMar>
      </w:tblPr>
      <w:tblGrid>
        <w:gridCol w:w="2200"/>
        <w:gridCol w:w="3200"/>
        <w:gridCol w:w="3960"/>
      </w:tblGrid>
      <w:tr w14:paraId="7054B603">
        <w:tblPrEx>
          <w:tblCellMar>
            <w:top w:w="0" w:type="dxa"/>
            <w:left w:w="108" w:type="dxa"/>
            <w:bottom w:w="0" w:type="dxa"/>
            <w:right w:w="108" w:type="dxa"/>
          </w:tblCellMar>
        </w:tblPrEx>
        <w:trPr>
          <w:cantSplit/>
          <w:tblHeader/>
          <w:jc w:val="center"/>
        </w:trPr>
        <w:tc>
          <w:tcPr>
            <w:tcW w:w="22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5FE1FD2">
            <w:pPr>
              <w:spacing w:after="0"/>
            </w:pPr>
            <w:r>
              <w:rPr>
                <w:rFonts w:ascii="Calibri" w:hAnsi="Calibri" w:eastAsia="Calibri"/>
                <w:b/>
                <w:color w:val="17213C"/>
                <w:sz w:val="16"/>
              </w:rPr>
              <w:t>TOOL</w:t>
            </w:r>
          </w:p>
        </w:tc>
        <w:tc>
          <w:tcPr>
            <w:tcW w:w="32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515D424B">
            <w:pPr>
              <w:spacing w:after="0"/>
            </w:pPr>
            <w:r>
              <w:rPr>
                <w:rFonts w:ascii="Calibri" w:hAnsi="Calibri" w:eastAsia="Calibri"/>
                <w:b/>
                <w:color w:val="17213C"/>
                <w:sz w:val="16"/>
              </w:rPr>
              <w:t>VERSION / CONFIGURATION</w:t>
            </w:r>
          </w:p>
        </w:tc>
        <w:tc>
          <w:tcPr>
            <w:tcW w:w="39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48B127B">
            <w:pPr>
              <w:spacing w:after="0"/>
            </w:pPr>
            <w:r>
              <w:rPr>
                <w:rFonts w:ascii="Calibri" w:hAnsi="Calibri" w:eastAsia="Calibri"/>
                <w:b/>
                <w:color w:val="17213C"/>
                <w:sz w:val="16"/>
              </w:rPr>
              <w:t>PURPOSE</w:t>
            </w:r>
          </w:p>
        </w:tc>
      </w:tr>
      <w:tr w14:paraId="73CA8C9E">
        <w:tblPrEx>
          <w:tblCellMar>
            <w:top w:w="0" w:type="dxa"/>
            <w:left w:w="108" w:type="dxa"/>
            <w:bottom w:w="0" w:type="dxa"/>
            <w:right w:w="108" w:type="dxa"/>
          </w:tblCellMar>
        </w:tblPrEx>
        <w:trPr>
          <w:cantSplit/>
          <w:jc w:val="center"/>
        </w:trPr>
        <w:tc>
          <w:tcPr>
            <w:tcW w:w="22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64B2706">
            <w:pPr>
              <w:spacing w:after="0"/>
            </w:pPr>
            <w:r>
              <w:rPr>
                <w:rFonts w:ascii="Calibri" w:hAnsi="Calibri" w:eastAsia="Calibri"/>
                <w:b w:val="0"/>
                <w:color w:val="222A35"/>
                <w:sz w:val="16"/>
              </w:rPr>
              <w:t>Solidity compiler</w:t>
            </w:r>
          </w:p>
        </w:tc>
        <w:tc>
          <w:tcPr>
            <w:tcW w:w="32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1A862BF">
            <w:pPr>
              <w:spacing w:after="0"/>
            </w:pPr>
            <w:r>
              <w:rPr>
                <w:rFonts w:ascii="Calibri" w:hAnsi="Calibri" w:eastAsia="Calibri"/>
                <w:b w:val="0"/>
                <w:color w:val="222A35"/>
                <w:sz w:val="16"/>
              </w:rPr>
              <w:t>0.8.24; optimizer 500; EVM paris</w:t>
            </w:r>
          </w:p>
        </w:tc>
        <w:tc>
          <w:tcPr>
            <w:tcW w:w="39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4954D20">
            <w:pPr>
              <w:spacing w:after="0"/>
            </w:pPr>
            <w:r>
              <w:rPr>
                <w:rFonts w:ascii="Calibri" w:hAnsi="Calibri" w:eastAsia="Calibri"/>
                <w:b w:val="0"/>
                <w:color w:val="222A35"/>
                <w:sz w:val="16"/>
              </w:rPr>
              <w:t>Deterministic compilation</w:t>
            </w:r>
          </w:p>
        </w:tc>
      </w:tr>
      <w:tr w14:paraId="20B072C6">
        <w:tblPrEx>
          <w:tblCellMar>
            <w:top w:w="0" w:type="dxa"/>
            <w:left w:w="108" w:type="dxa"/>
            <w:bottom w:w="0" w:type="dxa"/>
            <w:right w:w="108" w:type="dxa"/>
          </w:tblCellMar>
        </w:tblPrEx>
        <w:trPr>
          <w:cantSplit/>
          <w:jc w:val="center"/>
        </w:trPr>
        <w:tc>
          <w:tcPr>
            <w:tcW w:w="22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0A119954">
            <w:pPr>
              <w:spacing w:after="0"/>
            </w:pPr>
            <w:r>
              <w:rPr>
                <w:rFonts w:ascii="Calibri" w:hAnsi="Calibri" w:eastAsia="Calibri"/>
                <w:b w:val="0"/>
                <w:color w:val="222A35"/>
                <w:sz w:val="16"/>
              </w:rPr>
              <w:t>Hardhat</w:t>
            </w:r>
          </w:p>
        </w:tc>
        <w:tc>
          <w:tcPr>
            <w:tcW w:w="32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4FDB87C">
            <w:pPr>
              <w:spacing w:after="0"/>
            </w:pPr>
            <w:r>
              <w:rPr>
                <w:rFonts w:ascii="Calibri" w:hAnsi="Calibri" w:eastAsia="Calibri"/>
                <w:b w:val="0"/>
                <w:color w:val="222A35"/>
                <w:sz w:val="16"/>
              </w:rPr>
              <w:t>2.29.0; chainId 56 / wrong-chain 97</w:t>
            </w:r>
          </w:p>
        </w:tc>
        <w:tc>
          <w:tcPr>
            <w:tcW w:w="39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6402C4C">
            <w:pPr>
              <w:spacing w:after="0"/>
            </w:pPr>
            <w:r>
              <w:rPr>
                <w:rFonts w:ascii="Calibri" w:hAnsi="Calibri" w:eastAsia="Calibri"/>
                <w:b w:val="0"/>
                <w:color w:val="222A35"/>
                <w:sz w:val="16"/>
              </w:rPr>
              <w:t>Unit and integration execution</w:t>
            </w:r>
          </w:p>
        </w:tc>
      </w:tr>
      <w:tr w14:paraId="7C379302">
        <w:tblPrEx>
          <w:tblCellMar>
            <w:top w:w="0" w:type="dxa"/>
            <w:left w:w="108" w:type="dxa"/>
            <w:bottom w:w="0" w:type="dxa"/>
            <w:right w:w="108" w:type="dxa"/>
          </w:tblCellMar>
        </w:tblPrEx>
        <w:trPr>
          <w:cantSplit/>
          <w:jc w:val="center"/>
        </w:trPr>
        <w:tc>
          <w:tcPr>
            <w:tcW w:w="22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723E286">
            <w:pPr>
              <w:spacing w:after="0"/>
            </w:pPr>
            <w:r>
              <w:rPr>
                <w:rFonts w:ascii="Calibri" w:hAnsi="Calibri" w:eastAsia="Calibri"/>
                <w:b w:val="0"/>
                <w:color w:val="222A35"/>
                <w:sz w:val="16"/>
              </w:rPr>
              <w:t>solidity-coverage</w:t>
            </w:r>
          </w:p>
        </w:tc>
        <w:tc>
          <w:tcPr>
            <w:tcW w:w="32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EFDADD4">
            <w:pPr>
              <w:spacing w:after="0"/>
            </w:pPr>
            <w:r>
              <w:rPr>
                <w:rFonts w:ascii="Calibri" w:hAnsi="Calibri" w:eastAsia="Calibri"/>
                <w:b w:val="0"/>
                <w:color w:val="222A35"/>
                <w:sz w:val="16"/>
              </w:rPr>
              <w:t>0.8.17; chainId 56</w:t>
            </w:r>
          </w:p>
        </w:tc>
        <w:tc>
          <w:tcPr>
            <w:tcW w:w="39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462F4E6">
            <w:pPr>
              <w:spacing w:after="0"/>
            </w:pPr>
            <w:r>
              <w:rPr>
                <w:rFonts w:ascii="Calibri" w:hAnsi="Calibri" w:eastAsia="Calibri"/>
                <w:b w:val="0"/>
                <w:color w:val="222A35"/>
                <w:sz w:val="16"/>
              </w:rPr>
              <w:t>Statement, branch, function and line coverage</w:t>
            </w:r>
          </w:p>
        </w:tc>
      </w:tr>
      <w:tr w14:paraId="6085BC15">
        <w:tblPrEx>
          <w:tblCellMar>
            <w:top w:w="0" w:type="dxa"/>
            <w:left w:w="108" w:type="dxa"/>
            <w:bottom w:w="0" w:type="dxa"/>
            <w:right w:w="108" w:type="dxa"/>
          </w:tblCellMar>
        </w:tblPrEx>
        <w:trPr>
          <w:cantSplit/>
          <w:jc w:val="center"/>
        </w:trPr>
        <w:tc>
          <w:tcPr>
            <w:tcW w:w="22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4A200763">
            <w:pPr>
              <w:spacing w:after="0"/>
            </w:pPr>
            <w:r>
              <w:rPr>
                <w:rFonts w:ascii="Calibri" w:hAnsi="Calibri" w:eastAsia="Calibri"/>
                <w:b w:val="0"/>
                <w:color w:val="222A35"/>
                <w:sz w:val="16"/>
              </w:rPr>
              <w:t>Slither</w:t>
            </w:r>
          </w:p>
        </w:tc>
        <w:tc>
          <w:tcPr>
            <w:tcW w:w="32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F610360">
            <w:pPr>
              <w:spacing w:after="0"/>
            </w:pPr>
            <w:r>
              <w:rPr>
                <w:rFonts w:ascii="Calibri" w:hAnsi="Calibri" w:eastAsia="Calibri"/>
                <w:b w:val="0"/>
                <w:color w:val="222A35"/>
                <w:sz w:val="16"/>
              </w:rPr>
              <w:t>0.11.5; crytic-compile 0.3.11</w:t>
            </w:r>
          </w:p>
        </w:tc>
        <w:tc>
          <w:tcPr>
            <w:tcW w:w="39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DE05FA0">
            <w:pPr>
              <w:spacing w:after="0"/>
            </w:pPr>
            <w:r>
              <w:rPr>
                <w:rFonts w:ascii="Calibri" w:hAnsi="Calibri" w:eastAsia="Calibri"/>
                <w:b w:val="0"/>
                <w:color w:val="222A35"/>
                <w:sz w:val="16"/>
              </w:rPr>
              <w:t>Static detector inventory with manual triage</w:t>
            </w:r>
          </w:p>
        </w:tc>
      </w:tr>
      <w:tr w14:paraId="6B17250C">
        <w:tblPrEx>
          <w:tblCellMar>
            <w:top w:w="0" w:type="dxa"/>
            <w:left w:w="108" w:type="dxa"/>
            <w:bottom w:w="0" w:type="dxa"/>
            <w:right w:w="108" w:type="dxa"/>
          </w:tblCellMar>
        </w:tblPrEx>
        <w:trPr>
          <w:cantSplit/>
          <w:jc w:val="center"/>
        </w:trPr>
        <w:tc>
          <w:tcPr>
            <w:tcW w:w="22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3FE97A9">
            <w:pPr>
              <w:spacing w:after="0"/>
            </w:pPr>
            <w:r>
              <w:rPr>
                <w:rFonts w:ascii="Calibri" w:hAnsi="Calibri" w:eastAsia="Calibri"/>
                <w:b w:val="0"/>
                <w:color w:val="222A35"/>
                <w:sz w:val="16"/>
              </w:rPr>
              <w:t>npm audit</w:t>
            </w:r>
          </w:p>
        </w:tc>
        <w:tc>
          <w:tcPr>
            <w:tcW w:w="32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BFC47C9">
            <w:pPr>
              <w:spacing w:after="0"/>
            </w:pPr>
            <w:r>
              <w:rPr>
                <w:rFonts w:ascii="Calibri" w:hAnsi="Calibri" w:eastAsia="Calibri"/>
                <w:b w:val="0"/>
                <w:color w:val="222A35"/>
                <w:sz w:val="16"/>
              </w:rPr>
              <w:t>Registry-backed production dependency scan</w:t>
            </w:r>
          </w:p>
        </w:tc>
        <w:tc>
          <w:tcPr>
            <w:tcW w:w="39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B120228">
            <w:pPr>
              <w:spacing w:after="0"/>
            </w:pPr>
            <w:r>
              <w:rPr>
                <w:rFonts w:ascii="Calibri" w:hAnsi="Calibri" w:eastAsia="Calibri"/>
                <w:b w:val="0"/>
                <w:color w:val="222A35"/>
                <w:sz w:val="16"/>
              </w:rPr>
              <w:t>Known advisory check</w:t>
            </w:r>
          </w:p>
        </w:tc>
      </w:tr>
      <w:tr w14:paraId="5EC9501E">
        <w:tblPrEx>
          <w:tblCellMar>
            <w:top w:w="0" w:type="dxa"/>
            <w:left w:w="108" w:type="dxa"/>
            <w:bottom w:w="0" w:type="dxa"/>
            <w:right w:w="108" w:type="dxa"/>
          </w:tblCellMar>
        </w:tblPrEx>
        <w:trPr>
          <w:cantSplit/>
          <w:jc w:val="center"/>
        </w:trPr>
        <w:tc>
          <w:tcPr>
            <w:tcW w:w="22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EAEE79F">
            <w:pPr>
              <w:spacing w:after="0"/>
            </w:pPr>
            <w:r>
              <w:rPr>
                <w:rFonts w:ascii="Calibri" w:hAnsi="Calibri" w:eastAsia="Calibri"/>
                <w:b w:val="0"/>
                <w:color w:val="222A35"/>
                <w:sz w:val="16"/>
              </w:rPr>
              <w:t>SHA-256 manifest</w:t>
            </w:r>
          </w:p>
        </w:tc>
        <w:tc>
          <w:tcPr>
            <w:tcW w:w="32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4BE71D9A">
            <w:pPr>
              <w:spacing w:after="0"/>
            </w:pPr>
            <w:r>
              <w:rPr>
                <w:rFonts w:ascii="Calibri" w:hAnsi="Calibri" w:eastAsia="Calibri"/>
                <w:b w:val="0"/>
                <w:color w:val="222A35"/>
                <w:sz w:val="16"/>
              </w:rPr>
              <w:t>Ordered relative paths and file digests</w:t>
            </w:r>
          </w:p>
        </w:tc>
        <w:tc>
          <w:tcPr>
            <w:tcW w:w="39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2DC3750">
            <w:pPr>
              <w:spacing w:after="0"/>
            </w:pPr>
            <w:r>
              <w:rPr>
                <w:rFonts w:ascii="Calibri" w:hAnsi="Calibri" w:eastAsia="Calibri"/>
                <w:b w:val="0"/>
                <w:color w:val="222A35"/>
                <w:sz w:val="16"/>
              </w:rPr>
              <w:t>Snapshot identity and build gate</w:t>
            </w:r>
          </w:p>
        </w:tc>
      </w:tr>
    </w:tbl>
    <w:p w14:paraId="35D8ADEE">
      <w:pPr>
        <w:spacing w:after="20"/>
      </w:pPr>
    </w:p>
    <w:p w14:paraId="29E002C2">
      <w:pPr>
        <w:pStyle w:val="4"/>
        <w:keepNext/>
      </w:pPr>
      <w:bookmarkStart w:id="15" w:name="_Toc2652"/>
      <w:r>
        <w:t>4.3 Severity model</w:t>
      </w:r>
      <w:bookmarkEnd w:id="15"/>
    </w:p>
    <w:tbl>
      <w:tblPr>
        <w:tblStyle w:val="34"/>
        <w:tblW w:w="9360" w:type="dxa"/>
        <w:jc w:val="center"/>
        <w:tblLayout w:type="fixed"/>
        <w:tblCellMar>
          <w:top w:w="0" w:type="dxa"/>
          <w:left w:w="108" w:type="dxa"/>
          <w:bottom w:w="0" w:type="dxa"/>
          <w:right w:w="108" w:type="dxa"/>
        </w:tblCellMar>
      </w:tblPr>
      <w:tblGrid>
        <w:gridCol w:w="1900"/>
        <w:gridCol w:w="7460"/>
      </w:tblGrid>
      <w:tr w14:paraId="7CD64BC2">
        <w:tblPrEx>
          <w:tblCellMar>
            <w:top w:w="0" w:type="dxa"/>
            <w:left w:w="108" w:type="dxa"/>
            <w:bottom w:w="0" w:type="dxa"/>
            <w:right w:w="108" w:type="dxa"/>
          </w:tblCellMar>
        </w:tblPrEx>
        <w:trPr>
          <w:cantSplit/>
          <w:tblHeader/>
          <w:jc w:val="center"/>
        </w:trPr>
        <w:tc>
          <w:tcPr>
            <w:tcW w:w="19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1EC37CED">
            <w:pPr>
              <w:spacing w:after="0"/>
            </w:pPr>
            <w:r>
              <w:rPr>
                <w:rFonts w:ascii="Calibri" w:hAnsi="Calibri" w:eastAsia="Calibri"/>
                <w:b/>
                <w:color w:val="17213C"/>
                <w:sz w:val="17"/>
              </w:rPr>
              <w:t>SEVERITY</w:t>
            </w:r>
          </w:p>
        </w:tc>
        <w:tc>
          <w:tcPr>
            <w:tcW w:w="74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0E88AF3">
            <w:pPr>
              <w:spacing w:after="0"/>
            </w:pPr>
            <w:r>
              <w:rPr>
                <w:rFonts w:ascii="Calibri" w:hAnsi="Calibri" w:eastAsia="Calibri"/>
                <w:b/>
                <w:color w:val="17213C"/>
                <w:sz w:val="17"/>
              </w:rPr>
              <w:t>PRACTICAL INTERPRETATION</w:t>
            </w:r>
          </w:p>
        </w:tc>
      </w:tr>
      <w:tr w14:paraId="7402CE57">
        <w:tblPrEx>
          <w:tblCellMar>
            <w:top w:w="0" w:type="dxa"/>
            <w:left w:w="108" w:type="dxa"/>
            <w:bottom w:w="0" w:type="dxa"/>
            <w:right w:w="108" w:type="dxa"/>
          </w:tblCellMar>
        </w:tblPrEx>
        <w:trPr>
          <w:cantSplit/>
          <w:jc w:val="center"/>
        </w:trPr>
        <w:tc>
          <w:tcPr>
            <w:tcW w:w="19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67A2541">
            <w:pPr>
              <w:spacing w:after="0"/>
            </w:pPr>
            <w:r>
              <w:rPr>
                <w:rFonts w:ascii="Calibri" w:hAnsi="Calibri" w:eastAsia="Calibri"/>
                <w:b/>
                <w:color w:val="222A35"/>
                <w:sz w:val="17"/>
              </w:rPr>
              <w:t>Critical</w:t>
            </w:r>
          </w:p>
        </w:tc>
        <w:tc>
          <w:tcPr>
            <w:tcW w:w="74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A28D84A">
            <w:pPr>
              <w:spacing w:after="0"/>
            </w:pPr>
            <w:r>
              <w:rPr>
                <w:rFonts w:ascii="Calibri" w:hAnsi="Calibri" w:eastAsia="Calibri"/>
                <w:b w:val="0"/>
                <w:color w:val="222A35"/>
                <w:sz w:val="17"/>
              </w:rPr>
              <w:t>Direct and broadly exploitable loss, permanent protocol compromise or system-wide insolvency</w:t>
            </w:r>
          </w:p>
        </w:tc>
      </w:tr>
      <w:tr w14:paraId="4A2FECB0">
        <w:tblPrEx>
          <w:tblCellMar>
            <w:top w:w="0" w:type="dxa"/>
            <w:left w:w="108" w:type="dxa"/>
            <w:bottom w:w="0" w:type="dxa"/>
            <w:right w:w="108" w:type="dxa"/>
          </w:tblCellMar>
        </w:tblPrEx>
        <w:trPr>
          <w:cantSplit/>
          <w:jc w:val="center"/>
        </w:trPr>
        <w:tc>
          <w:tcPr>
            <w:tcW w:w="19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0A3292D5">
            <w:pPr>
              <w:spacing w:after="0"/>
            </w:pPr>
            <w:r>
              <w:rPr>
                <w:rFonts w:ascii="Calibri" w:hAnsi="Calibri" w:eastAsia="Calibri"/>
                <w:b/>
                <w:color w:val="222A35"/>
                <w:sz w:val="17"/>
              </w:rPr>
              <w:t>High</w:t>
            </w:r>
          </w:p>
        </w:tc>
        <w:tc>
          <w:tcPr>
            <w:tcW w:w="74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47B6DEF1">
            <w:pPr>
              <w:spacing w:after="0"/>
            </w:pPr>
            <w:r>
              <w:rPr>
                <w:rFonts w:ascii="Calibri" w:hAnsi="Calibri" w:eastAsia="Calibri"/>
                <w:b w:val="0"/>
                <w:color w:val="222A35"/>
                <w:sz w:val="17"/>
              </w:rPr>
              <w:t>Material loss or control compromise under realistic preconditions</w:t>
            </w:r>
          </w:p>
        </w:tc>
      </w:tr>
      <w:tr w14:paraId="362FCE19">
        <w:tblPrEx>
          <w:tblCellMar>
            <w:top w:w="0" w:type="dxa"/>
            <w:left w:w="108" w:type="dxa"/>
            <w:bottom w:w="0" w:type="dxa"/>
            <w:right w:w="108" w:type="dxa"/>
          </w:tblCellMar>
        </w:tblPrEx>
        <w:trPr>
          <w:cantSplit/>
          <w:jc w:val="center"/>
        </w:trPr>
        <w:tc>
          <w:tcPr>
            <w:tcW w:w="19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CBCBE66">
            <w:pPr>
              <w:spacing w:after="0"/>
            </w:pPr>
            <w:r>
              <w:rPr>
                <w:rFonts w:ascii="Calibri" w:hAnsi="Calibri" w:eastAsia="Calibri"/>
                <w:b/>
                <w:color w:val="222A35"/>
                <w:sz w:val="17"/>
              </w:rPr>
              <w:t>Medium</w:t>
            </w:r>
          </w:p>
        </w:tc>
        <w:tc>
          <w:tcPr>
            <w:tcW w:w="74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E6982D0">
            <w:pPr>
              <w:spacing w:after="0"/>
            </w:pPr>
            <w:r>
              <w:rPr>
                <w:rFonts w:ascii="Calibri" w:hAnsi="Calibri" w:eastAsia="Calibri"/>
                <w:b w:val="0"/>
                <w:color w:val="222A35"/>
                <w:sz w:val="17"/>
              </w:rPr>
              <w:t>Meaningful security or economic impact requiring specific state, role or market conditions</w:t>
            </w:r>
          </w:p>
        </w:tc>
      </w:tr>
      <w:tr w14:paraId="28F5FC8C">
        <w:tblPrEx>
          <w:tblCellMar>
            <w:top w:w="0" w:type="dxa"/>
            <w:left w:w="108" w:type="dxa"/>
            <w:bottom w:w="0" w:type="dxa"/>
            <w:right w:w="108" w:type="dxa"/>
          </w:tblCellMar>
        </w:tblPrEx>
        <w:trPr>
          <w:cantSplit/>
          <w:jc w:val="center"/>
        </w:trPr>
        <w:tc>
          <w:tcPr>
            <w:tcW w:w="19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8A004D6">
            <w:pPr>
              <w:spacing w:after="0"/>
            </w:pPr>
            <w:r>
              <w:rPr>
                <w:rFonts w:ascii="Calibri" w:hAnsi="Calibri" w:eastAsia="Calibri"/>
                <w:b/>
                <w:color w:val="222A35"/>
                <w:sz w:val="17"/>
              </w:rPr>
              <w:t>Low</w:t>
            </w:r>
          </w:p>
        </w:tc>
        <w:tc>
          <w:tcPr>
            <w:tcW w:w="74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F915E85">
            <w:pPr>
              <w:spacing w:after="0"/>
            </w:pPr>
            <w:r>
              <w:rPr>
                <w:rFonts w:ascii="Calibri" w:hAnsi="Calibri" w:eastAsia="Calibri"/>
                <w:b w:val="0"/>
                <w:color w:val="222A35"/>
                <w:sz w:val="17"/>
              </w:rPr>
              <w:t>Limited impact, boundary weakness or defense-in-depth gap</w:t>
            </w:r>
          </w:p>
        </w:tc>
      </w:tr>
      <w:tr w14:paraId="5099AE23">
        <w:tblPrEx>
          <w:tblCellMar>
            <w:top w:w="0" w:type="dxa"/>
            <w:left w:w="108" w:type="dxa"/>
            <w:bottom w:w="0" w:type="dxa"/>
            <w:right w:w="108" w:type="dxa"/>
          </w:tblCellMar>
        </w:tblPrEx>
        <w:trPr>
          <w:cantSplit/>
          <w:jc w:val="center"/>
        </w:trPr>
        <w:tc>
          <w:tcPr>
            <w:tcW w:w="19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758679C">
            <w:pPr>
              <w:spacing w:after="0"/>
            </w:pPr>
            <w:r>
              <w:rPr>
                <w:rFonts w:ascii="Calibri" w:hAnsi="Calibri" w:eastAsia="Calibri"/>
                <w:b/>
                <w:color w:val="222A35"/>
                <w:sz w:val="17"/>
              </w:rPr>
              <w:t>Informational</w:t>
            </w:r>
          </w:p>
        </w:tc>
        <w:tc>
          <w:tcPr>
            <w:tcW w:w="74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B833AFE">
            <w:pPr>
              <w:spacing w:after="0"/>
            </w:pPr>
            <w:r>
              <w:rPr>
                <w:rFonts w:ascii="Calibri" w:hAnsi="Calibri" w:eastAsia="Calibri"/>
                <w:b w:val="0"/>
                <w:color w:val="222A35"/>
                <w:sz w:val="17"/>
              </w:rPr>
              <w:t>Governance, observability, operational or maintainability risk</w:t>
            </w:r>
          </w:p>
        </w:tc>
      </w:tr>
    </w:tbl>
    <w:p w14:paraId="382650BB">
      <w:pPr>
        <w:spacing w:after="20"/>
      </w:pPr>
    </w:p>
    <w:p w14:paraId="3BB51BA0">
      <w:pPr>
        <w:pStyle w:val="4"/>
        <w:keepNext/>
      </w:pPr>
      <w:bookmarkStart w:id="16" w:name="_Toc1185"/>
      <w:r>
        <w:t>4.4 Status model</w:t>
      </w:r>
      <w:bookmarkEnd w:id="16"/>
    </w:p>
    <w:p w14:paraId="38B4590E">
      <w:r>
        <w:rPr>
          <w:rFonts w:ascii="Calibri" w:hAnsi="Calibri" w:eastAsia="Calibri"/>
        </w:rPr>
        <w:t>Resolved means the reviewed snapshot contains the remediation and fresh tests exercise it. Partially Resolved means material controls exist but a documented residual dependency remains. Open means the condition remains in scope. These are AEGENT first-party statuses and are not third-party closure decisions.</w:t>
      </w:r>
    </w:p>
    <w:p w14:paraId="7FFDC657">
      <w:r>
        <w:br w:type="page"/>
      </w:r>
    </w:p>
    <w:p w14:paraId="64E12F54">
      <w:pPr>
        <w:pStyle w:val="3"/>
        <w:keepNext/>
      </w:pPr>
      <w:bookmarkStart w:id="17" w:name="_Toc26131"/>
      <w:r>
        <w:t>5. Assessment results</w:t>
      </w:r>
      <w:bookmarkEnd w:id="17"/>
    </w:p>
    <w:tbl>
      <w:tblPr>
        <w:tblStyle w:val="34"/>
        <w:tblW w:w="9360" w:type="dxa"/>
        <w:jc w:val="center"/>
        <w:tblLayout w:type="fixed"/>
        <w:tblCellMar>
          <w:top w:w="0" w:type="dxa"/>
          <w:left w:w="108" w:type="dxa"/>
          <w:bottom w:w="0" w:type="dxa"/>
          <w:right w:w="108" w:type="dxa"/>
        </w:tblCellMar>
      </w:tblPr>
      <w:tblGrid>
        <w:gridCol w:w="1050"/>
        <w:gridCol w:w="1350"/>
        <w:gridCol w:w="2600"/>
        <w:gridCol w:w="4360"/>
      </w:tblGrid>
      <w:tr w14:paraId="5BA0FFB1">
        <w:tblPrEx>
          <w:tblCellMar>
            <w:top w:w="0" w:type="dxa"/>
            <w:left w:w="108" w:type="dxa"/>
            <w:bottom w:w="0" w:type="dxa"/>
            <w:right w:w="108" w:type="dxa"/>
          </w:tblCellMar>
        </w:tblPrEx>
        <w:trPr>
          <w:cantSplit/>
          <w:tblHeader/>
          <w:jc w:val="center"/>
        </w:trPr>
        <w:tc>
          <w:tcPr>
            <w:tcW w:w="10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E7AF0C6">
            <w:pPr>
              <w:spacing w:after="0"/>
            </w:pPr>
            <w:r>
              <w:rPr>
                <w:rFonts w:ascii="Calibri" w:hAnsi="Calibri" w:eastAsia="Calibri"/>
                <w:b/>
                <w:color w:val="17213C"/>
                <w:sz w:val="15"/>
              </w:rPr>
              <w:t>ID</w:t>
            </w:r>
          </w:p>
        </w:tc>
        <w:tc>
          <w:tcPr>
            <w:tcW w:w="13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1D1844B0">
            <w:pPr>
              <w:spacing w:after="0"/>
            </w:pPr>
            <w:r>
              <w:rPr>
                <w:rFonts w:ascii="Calibri" w:hAnsi="Calibri" w:eastAsia="Calibri"/>
                <w:b/>
                <w:color w:val="17213C"/>
                <w:sz w:val="15"/>
              </w:rPr>
              <w:t>SEVERITY</w:t>
            </w:r>
          </w:p>
        </w:tc>
        <w:tc>
          <w:tcPr>
            <w:tcW w:w="2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4816C8C0">
            <w:pPr>
              <w:spacing w:after="0"/>
            </w:pPr>
            <w:r>
              <w:rPr>
                <w:rFonts w:ascii="Calibri" w:hAnsi="Calibri" w:eastAsia="Calibri"/>
                <w:b/>
                <w:color w:val="17213C"/>
                <w:sz w:val="15"/>
              </w:rPr>
              <w:t>STATUS</w:t>
            </w:r>
          </w:p>
        </w:tc>
        <w:tc>
          <w:tcPr>
            <w:tcW w:w="43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DE95643">
            <w:pPr>
              <w:spacing w:after="0"/>
            </w:pPr>
            <w:r>
              <w:rPr>
                <w:rFonts w:ascii="Calibri" w:hAnsi="Calibri" w:eastAsia="Calibri"/>
                <w:b/>
                <w:color w:val="17213C"/>
                <w:sz w:val="15"/>
              </w:rPr>
              <w:t>TITLE</w:t>
            </w:r>
          </w:p>
        </w:tc>
      </w:tr>
      <w:tr w14:paraId="3FBC0AC9">
        <w:tblPrEx>
          <w:tblCellMar>
            <w:top w:w="0" w:type="dxa"/>
            <w:left w:w="108" w:type="dxa"/>
            <w:bottom w:w="0" w:type="dxa"/>
            <w:right w:w="108" w:type="dxa"/>
          </w:tblCellMar>
        </w:tblPrEx>
        <w:trPr>
          <w:cantSplit/>
          <w:jc w:val="center"/>
        </w:trPr>
        <w:tc>
          <w:tcPr>
            <w:tcW w:w="105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503FFA8">
            <w:pPr>
              <w:spacing w:after="0"/>
            </w:pPr>
            <w:r>
              <w:rPr>
                <w:rFonts w:ascii="Calibri" w:hAnsi="Calibri" w:eastAsia="Calibri"/>
                <w:b/>
                <w:color w:val="222A35"/>
                <w:sz w:val="15"/>
              </w:rPr>
              <w:t>MED-01</w:t>
            </w:r>
          </w:p>
        </w:tc>
        <w:tc>
          <w:tcPr>
            <w:tcW w:w="135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A280DE9">
            <w:pPr>
              <w:spacing w:after="0"/>
            </w:pPr>
            <w:r>
              <w:rPr>
                <w:rFonts w:ascii="Calibri" w:hAnsi="Calibri" w:eastAsia="Calibri"/>
                <w:b w:val="0"/>
                <w:color w:val="222A35"/>
                <w:sz w:val="15"/>
              </w:rPr>
              <w:t>Medium</w:t>
            </w:r>
          </w:p>
        </w:tc>
        <w:tc>
          <w:tcPr>
            <w:tcW w:w="2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48C9C0F">
            <w:pPr>
              <w:spacing w:after="0"/>
            </w:pPr>
            <w:r>
              <w:rPr>
                <w:rFonts w:ascii="Calibri" w:hAnsi="Calibri" w:eastAsia="Calibri"/>
                <w:b w:val="0"/>
                <w:color w:val="222A35"/>
                <w:sz w:val="15"/>
              </w:rPr>
              <w:t>Resolved</w:t>
            </w:r>
          </w:p>
        </w:tc>
        <w:tc>
          <w:tcPr>
            <w:tcW w:w="43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57341C8">
            <w:pPr>
              <w:spacing w:after="0"/>
            </w:pPr>
            <w:r>
              <w:rPr>
                <w:rFonts w:ascii="Calibri" w:hAnsi="Calibri" w:eastAsia="Calibri"/>
                <w:b w:val="0"/>
                <w:color w:val="222A35"/>
                <w:sz w:val="15"/>
              </w:rPr>
              <w:t>Manual-review threshold could be bypassed by splitting redemptions</w:t>
            </w:r>
          </w:p>
        </w:tc>
      </w:tr>
      <w:tr w14:paraId="77C07CFB">
        <w:tblPrEx>
          <w:tblCellMar>
            <w:top w:w="0" w:type="dxa"/>
            <w:left w:w="108" w:type="dxa"/>
            <w:bottom w:w="0" w:type="dxa"/>
            <w:right w:w="108" w:type="dxa"/>
          </w:tblCellMar>
        </w:tblPrEx>
        <w:trPr>
          <w:cantSplit/>
          <w:jc w:val="center"/>
        </w:trPr>
        <w:tc>
          <w:tcPr>
            <w:tcW w:w="10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5111B04">
            <w:pPr>
              <w:spacing w:after="0"/>
            </w:pPr>
            <w:r>
              <w:rPr>
                <w:rFonts w:ascii="Calibri" w:hAnsi="Calibri" w:eastAsia="Calibri"/>
                <w:b/>
                <w:color w:val="222A35"/>
                <w:sz w:val="15"/>
              </w:rPr>
              <w:t>MED-02</w:t>
            </w:r>
          </w:p>
        </w:tc>
        <w:tc>
          <w:tcPr>
            <w:tcW w:w="13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9E753A0">
            <w:pPr>
              <w:spacing w:after="0"/>
            </w:pPr>
            <w:r>
              <w:rPr>
                <w:rFonts w:ascii="Calibri" w:hAnsi="Calibri" w:eastAsia="Calibri"/>
                <w:b w:val="0"/>
                <w:color w:val="222A35"/>
                <w:sz w:val="15"/>
              </w:rPr>
              <w:t>Medium</w:t>
            </w:r>
          </w:p>
        </w:tc>
        <w:tc>
          <w:tcPr>
            <w:tcW w:w="2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0EAE32D2">
            <w:pPr>
              <w:spacing w:after="0"/>
            </w:pPr>
            <w:r>
              <w:rPr>
                <w:rFonts w:ascii="Calibri" w:hAnsi="Calibri" w:eastAsia="Calibri"/>
                <w:b w:val="0"/>
                <w:color w:val="222A35"/>
                <w:sz w:val="15"/>
              </w:rPr>
              <w:t>Resolved</w:t>
            </w:r>
          </w:p>
        </w:tc>
        <w:tc>
          <w:tcPr>
            <w:tcW w:w="43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016313CB">
            <w:pPr>
              <w:spacing w:after="0"/>
            </w:pPr>
            <w:r>
              <w:rPr>
                <w:rFonts w:ascii="Calibri" w:hAnsi="Calibri" w:eastAsia="Calibri"/>
                <w:b w:val="0"/>
                <w:color w:val="222A35"/>
                <w:sz w:val="15"/>
              </w:rPr>
              <w:t>Purchases could create redemption liabilities without enforced reserve coverage</w:t>
            </w:r>
          </w:p>
        </w:tc>
      </w:tr>
      <w:tr w14:paraId="48F02862">
        <w:tblPrEx>
          <w:tblCellMar>
            <w:top w:w="0" w:type="dxa"/>
            <w:left w:w="108" w:type="dxa"/>
            <w:bottom w:w="0" w:type="dxa"/>
            <w:right w:w="108" w:type="dxa"/>
          </w:tblCellMar>
        </w:tblPrEx>
        <w:trPr>
          <w:cantSplit/>
          <w:jc w:val="center"/>
        </w:trPr>
        <w:tc>
          <w:tcPr>
            <w:tcW w:w="105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3D9E5EE">
            <w:pPr>
              <w:spacing w:after="0"/>
            </w:pPr>
            <w:r>
              <w:rPr>
                <w:rFonts w:ascii="Calibri" w:hAnsi="Calibri" w:eastAsia="Calibri"/>
                <w:b/>
                <w:color w:val="222A35"/>
                <w:sz w:val="15"/>
              </w:rPr>
              <w:t>MED-03</w:t>
            </w:r>
          </w:p>
        </w:tc>
        <w:tc>
          <w:tcPr>
            <w:tcW w:w="135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CC5BA4F">
            <w:pPr>
              <w:spacing w:after="0"/>
            </w:pPr>
            <w:r>
              <w:rPr>
                <w:rFonts w:ascii="Calibri" w:hAnsi="Calibri" w:eastAsia="Calibri"/>
                <w:b w:val="0"/>
                <w:color w:val="222A35"/>
                <w:sz w:val="15"/>
              </w:rPr>
              <w:t>Medium</w:t>
            </w:r>
          </w:p>
        </w:tc>
        <w:tc>
          <w:tcPr>
            <w:tcW w:w="2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C847938">
            <w:pPr>
              <w:spacing w:after="0"/>
            </w:pPr>
            <w:r>
              <w:rPr>
                <w:rFonts w:ascii="Calibri" w:hAnsi="Calibri" w:eastAsia="Calibri"/>
                <w:b w:val="0"/>
                <w:color w:val="222A35"/>
                <w:sz w:val="15"/>
              </w:rPr>
              <w:t>Partially Resolved</w:t>
            </w:r>
          </w:p>
        </w:tc>
        <w:tc>
          <w:tcPr>
            <w:tcW w:w="43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9709DE6">
            <w:pPr>
              <w:spacing w:after="0"/>
            </w:pPr>
            <w:r>
              <w:rPr>
                <w:rFonts w:ascii="Calibri" w:hAnsi="Calibri" w:eastAsia="Calibri"/>
                <w:b w:val="0"/>
                <w:color w:val="222A35"/>
                <w:sz w:val="15"/>
              </w:rPr>
              <w:t>Oracle validation previously relied primarily on freshness</w:t>
            </w:r>
          </w:p>
        </w:tc>
      </w:tr>
      <w:tr w14:paraId="2D12BDAD">
        <w:tblPrEx>
          <w:tblCellMar>
            <w:top w:w="0" w:type="dxa"/>
            <w:left w:w="108" w:type="dxa"/>
            <w:bottom w:w="0" w:type="dxa"/>
            <w:right w:w="108" w:type="dxa"/>
          </w:tblCellMar>
        </w:tblPrEx>
        <w:trPr>
          <w:cantSplit/>
          <w:jc w:val="center"/>
        </w:trPr>
        <w:tc>
          <w:tcPr>
            <w:tcW w:w="10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4CF7E2B5">
            <w:pPr>
              <w:spacing w:after="0"/>
            </w:pPr>
            <w:r>
              <w:rPr>
                <w:rFonts w:ascii="Calibri" w:hAnsi="Calibri" w:eastAsia="Calibri"/>
                <w:b/>
                <w:color w:val="222A35"/>
                <w:sz w:val="15"/>
              </w:rPr>
              <w:t>MED-04</w:t>
            </w:r>
          </w:p>
        </w:tc>
        <w:tc>
          <w:tcPr>
            <w:tcW w:w="13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E65A09D">
            <w:pPr>
              <w:spacing w:after="0"/>
            </w:pPr>
            <w:r>
              <w:rPr>
                <w:rFonts w:ascii="Calibri" w:hAnsi="Calibri" w:eastAsia="Calibri"/>
                <w:b w:val="0"/>
                <w:color w:val="222A35"/>
                <w:sz w:val="15"/>
              </w:rPr>
              <w:t>Medium</w:t>
            </w:r>
          </w:p>
        </w:tc>
        <w:tc>
          <w:tcPr>
            <w:tcW w:w="2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6B31AD8">
            <w:pPr>
              <w:spacing w:after="0"/>
            </w:pPr>
            <w:r>
              <w:rPr>
                <w:rFonts w:ascii="Calibri" w:hAnsi="Calibri" w:eastAsia="Calibri"/>
                <w:b w:val="0"/>
                <w:color w:val="222A35"/>
                <w:sz w:val="15"/>
              </w:rPr>
              <w:t>Open</w:t>
            </w:r>
          </w:p>
        </w:tc>
        <w:tc>
          <w:tcPr>
            <w:tcW w:w="43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8DDC313">
            <w:pPr>
              <w:spacing w:after="0"/>
            </w:pPr>
            <w:r>
              <w:rPr>
                <w:rFonts w:ascii="Calibri" w:hAnsi="Calibri" w:eastAsia="Calibri"/>
                <w:b w:val="0"/>
                <w:color w:val="222A35"/>
                <w:sz w:val="15"/>
              </w:rPr>
              <w:t>Staking oracle controls are materially weaker than purchase controls</w:t>
            </w:r>
          </w:p>
        </w:tc>
      </w:tr>
      <w:tr w14:paraId="026157A8">
        <w:tblPrEx>
          <w:tblCellMar>
            <w:top w:w="0" w:type="dxa"/>
            <w:left w:w="108" w:type="dxa"/>
            <w:bottom w:w="0" w:type="dxa"/>
            <w:right w:w="108" w:type="dxa"/>
          </w:tblCellMar>
        </w:tblPrEx>
        <w:trPr>
          <w:cantSplit/>
          <w:jc w:val="center"/>
        </w:trPr>
        <w:tc>
          <w:tcPr>
            <w:tcW w:w="105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923A529">
            <w:pPr>
              <w:spacing w:after="0"/>
            </w:pPr>
            <w:r>
              <w:rPr>
                <w:rFonts w:ascii="Calibri" w:hAnsi="Calibri" w:eastAsia="Calibri"/>
                <w:b/>
                <w:color w:val="222A35"/>
                <w:sz w:val="15"/>
              </w:rPr>
              <w:t>LOW-01</w:t>
            </w:r>
          </w:p>
        </w:tc>
        <w:tc>
          <w:tcPr>
            <w:tcW w:w="135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E05DC93">
            <w:pPr>
              <w:spacing w:after="0"/>
            </w:pPr>
            <w:r>
              <w:rPr>
                <w:rFonts w:ascii="Calibri" w:hAnsi="Calibri" w:eastAsia="Calibri"/>
                <w:b w:val="0"/>
                <w:color w:val="222A35"/>
                <w:sz w:val="15"/>
              </w:rPr>
              <w:t>Low</w:t>
            </w:r>
          </w:p>
        </w:tc>
        <w:tc>
          <w:tcPr>
            <w:tcW w:w="2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106E6A0">
            <w:pPr>
              <w:spacing w:after="0"/>
            </w:pPr>
            <w:r>
              <w:rPr>
                <w:rFonts w:ascii="Calibri" w:hAnsi="Calibri" w:eastAsia="Calibri"/>
                <w:b w:val="0"/>
                <w:color w:val="222A35"/>
                <w:sz w:val="15"/>
              </w:rPr>
              <w:t>Open</w:t>
            </w:r>
          </w:p>
        </w:tc>
        <w:tc>
          <w:tcPr>
            <w:tcW w:w="43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61A455B">
            <w:pPr>
              <w:spacing w:after="0"/>
            </w:pPr>
            <w:r>
              <w:rPr>
                <w:rFonts w:ascii="Calibri" w:hAnsi="Calibri" w:eastAsia="Calibri"/>
                <w:b w:val="0"/>
                <w:color w:val="222A35"/>
                <w:sz w:val="15"/>
              </w:rPr>
              <w:t>UTC day buckets permit a short-window boundary burst</w:t>
            </w:r>
          </w:p>
        </w:tc>
      </w:tr>
      <w:tr w14:paraId="5BC62956">
        <w:tblPrEx>
          <w:tblCellMar>
            <w:top w:w="0" w:type="dxa"/>
            <w:left w:w="108" w:type="dxa"/>
            <w:bottom w:w="0" w:type="dxa"/>
            <w:right w:w="108" w:type="dxa"/>
          </w:tblCellMar>
        </w:tblPrEx>
        <w:trPr>
          <w:cantSplit/>
          <w:jc w:val="center"/>
        </w:trPr>
        <w:tc>
          <w:tcPr>
            <w:tcW w:w="10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415BDDC5">
            <w:pPr>
              <w:spacing w:after="0"/>
            </w:pPr>
            <w:r>
              <w:rPr>
                <w:rFonts w:ascii="Calibri" w:hAnsi="Calibri" w:eastAsia="Calibri"/>
                <w:b/>
                <w:color w:val="222A35"/>
                <w:sz w:val="15"/>
              </w:rPr>
              <w:t>INFO-01</w:t>
            </w:r>
          </w:p>
        </w:tc>
        <w:tc>
          <w:tcPr>
            <w:tcW w:w="13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2803B51">
            <w:pPr>
              <w:spacing w:after="0"/>
            </w:pPr>
            <w:r>
              <w:rPr>
                <w:rFonts w:ascii="Calibri" w:hAnsi="Calibri" w:eastAsia="Calibri"/>
                <w:b w:val="0"/>
                <w:color w:val="222A35"/>
                <w:sz w:val="15"/>
              </w:rPr>
              <w:t>Informational</w:t>
            </w:r>
          </w:p>
        </w:tc>
        <w:tc>
          <w:tcPr>
            <w:tcW w:w="2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9D1C5EF">
            <w:pPr>
              <w:spacing w:after="0"/>
            </w:pPr>
            <w:r>
              <w:rPr>
                <w:rFonts w:ascii="Calibri" w:hAnsi="Calibri" w:eastAsia="Calibri"/>
                <w:b w:val="0"/>
                <w:color w:val="222A35"/>
                <w:sz w:val="15"/>
              </w:rPr>
              <w:t>Open</w:t>
            </w:r>
          </w:p>
        </w:tc>
        <w:tc>
          <w:tcPr>
            <w:tcW w:w="43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4A4F9D83">
            <w:pPr>
              <w:spacing w:after="0"/>
            </w:pPr>
            <w:r>
              <w:rPr>
                <w:rFonts w:ascii="Calibri" w:hAnsi="Calibri" w:eastAsia="Calibri"/>
                <w:b w:val="0"/>
                <w:color w:val="222A35"/>
                <w:sz w:val="15"/>
              </w:rPr>
              <w:t>Privileged operations are not constrained by protocol-level multisig or timelock</w:t>
            </w:r>
          </w:p>
        </w:tc>
      </w:tr>
      <w:tr w14:paraId="1B69E388">
        <w:tblPrEx>
          <w:tblCellMar>
            <w:top w:w="0" w:type="dxa"/>
            <w:left w:w="108" w:type="dxa"/>
            <w:bottom w:w="0" w:type="dxa"/>
            <w:right w:w="108" w:type="dxa"/>
          </w:tblCellMar>
        </w:tblPrEx>
        <w:trPr>
          <w:cantSplit/>
          <w:jc w:val="center"/>
        </w:trPr>
        <w:tc>
          <w:tcPr>
            <w:tcW w:w="105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8829347">
            <w:pPr>
              <w:spacing w:after="0"/>
            </w:pPr>
            <w:r>
              <w:rPr>
                <w:rFonts w:ascii="Calibri" w:hAnsi="Calibri" w:eastAsia="Calibri"/>
                <w:b/>
                <w:color w:val="222A35"/>
                <w:sz w:val="15"/>
              </w:rPr>
              <w:t>INFO-02</w:t>
            </w:r>
          </w:p>
        </w:tc>
        <w:tc>
          <w:tcPr>
            <w:tcW w:w="135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D30EA97">
            <w:pPr>
              <w:spacing w:after="0"/>
            </w:pPr>
            <w:r>
              <w:rPr>
                <w:rFonts w:ascii="Calibri" w:hAnsi="Calibri" w:eastAsia="Calibri"/>
                <w:b w:val="0"/>
                <w:color w:val="222A35"/>
                <w:sz w:val="15"/>
              </w:rPr>
              <w:t>Informational</w:t>
            </w:r>
          </w:p>
        </w:tc>
        <w:tc>
          <w:tcPr>
            <w:tcW w:w="2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D723605">
            <w:pPr>
              <w:spacing w:after="0"/>
            </w:pPr>
            <w:r>
              <w:rPr>
                <w:rFonts w:ascii="Calibri" w:hAnsi="Calibri" w:eastAsia="Calibri"/>
                <w:b w:val="0"/>
                <w:color w:val="222A35"/>
                <w:sz w:val="15"/>
              </w:rPr>
              <w:t>Open</w:t>
            </w:r>
          </w:p>
        </w:tc>
        <w:tc>
          <w:tcPr>
            <w:tcW w:w="43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9B4215D">
            <w:pPr>
              <w:spacing w:after="0"/>
            </w:pPr>
            <w:r>
              <w:rPr>
                <w:rFonts w:ascii="Calibri" w:hAnsi="Calibri" w:eastAsia="Calibri"/>
                <w:b w:val="0"/>
                <w:color w:val="222A35"/>
                <w:sz w:val="15"/>
              </w:rPr>
              <w:t>Immutable beneficiaries and narrow recovery paths create liveness risk</w:t>
            </w:r>
          </w:p>
        </w:tc>
      </w:tr>
      <w:tr w14:paraId="1BC5C6E1">
        <w:tblPrEx>
          <w:tblCellMar>
            <w:top w:w="0" w:type="dxa"/>
            <w:left w:w="108" w:type="dxa"/>
            <w:bottom w:w="0" w:type="dxa"/>
            <w:right w:w="108" w:type="dxa"/>
          </w:tblCellMar>
        </w:tblPrEx>
        <w:trPr>
          <w:cantSplit/>
          <w:jc w:val="center"/>
        </w:trPr>
        <w:tc>
          <w:tcPr>
            <w:tcW w:w="10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5B62B4C">
            <w:pPr>
              <w:spacing w:after="0"/>
            </w:pPr>
            <w:r>
              <w:rPr>
                <w:rFonts w:ascii="Calibri" w:hAnsi="Calibri" w:eastAsia="Calibri"/>
                <w:b/>
                <w:color w:val="222A35"/>
                <w:sz w:val="15"/>
              </w:rPr>
              <w:t>INFO-03</w:t>
            </w:r>
          </w:p>
        </w:tc>
        <w:tc>
          <w:tcPr>
            <w:tcW w:w="13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431FA9A">
            <w:pPr>
              <w:spacing w:after="0"/>
            </w:pPr>
            <w:r>
              <w:rPr>
                <w:rFonts w:ascii="Calibri" w:hAnsi="Calibri" w:eastAsia="Calibri"/>
                <w:b w:val="0"/>
                <w:color w:val="222A35"/>
                <w:sz w:val="15"/>
              </w:rPr>
              <w:t>Informational</w:t>
            </w:r>
          </w:p>
        </w:tc>
        <w:tc>
          <w:tcPr>
            <w:tcW w:w="2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723DE6E">
            <w:pPr>
              <w:spacing w:after="0"/>
            </w:pPr>
            <w:r>
              <w:rPr>
                <w:rFonts w:ascii="Calibri" w:hAnsi="Calibri" w:eastAsia="Calibri"/>
                <w:b w:val="0"/>
                <w:color w:val="222A35"/>
                <w:sz w:val="15"/>
              </w:rPr>
              <w:t>Open</w:t>
            </w:r>
          </w:p>
        </w:tc>
        <w:tc>
          <w:tcPr>
            <w:tcW w:w="43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D217229">
            <w:pPr>
              <w:spacing w:after="0"/>
            </w:pPr>
            <w:r>
              <w:rPr>
                <w:rFonts w:ascii="Calibri" w:hAnsi="Calibri" w:eastAsia="Calibri"/>
                <w:b w:val="0"/>
                <w:color w:val="222A35"/>
                <w:sz w:val="15"/>
              </w:rPr>
              <w:t>Settlement events omit configuration evidence needed for independent reconstruction</w:t>
            </w:r>
          </w:p>
        </w:tc>
      </w:tr>
      <w:tr w14:paraId="53BDF3F7">
        <w:tblPrEx>
          <w:tblCellMar>
            <w:top w:w="0" w:type="dxa"/>
            <w:left w:w="108" w:type="dxa"/>
            <w:bottom w:w="0" w:type="dxa"/>
            <w:right w:w="108" w:type="dxa"/>
          </w:tblCellMar>
        </w:tblPrEx>
        <w:trPr>
          <w:cantSplit/>
          <w:jc w:val="center"/>
        </w:trPr>
        <w:tc>
          <w:tcPr>
            <w:tcW w:w="105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32009DA">
            <w:pPr>
              <w:spacing w:after="0"/>
            </w:pPr>
            <w:r>
              <w:rPr>
                <w:rFonts w:ascii="Calibri" w:hAnsi="Calibri" w:eastAsia="Calibri"/>
                <w:b/>
                <w:color w:val="222A35"/>
                <w:sz w:val="15"/>
              </w:rPr>
              <w:t>INFO-04</w:t>
            </w:r>
          </w:p>
        </w:tc>
        <w:tc>
          <w:tcPr>
            <w:tcW w:w="135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521FE1D">
            <w:pPr>
              <w:spacing w:after="0"/>
            </w:pPr>
            <w:r>
              <w:rPr>
                <w:rFonts w:ascii="Calibri" w:hAnsi="Calibri" w:eastAsia="Calibri"/>
                <w:b w:val="0"/>
                <w:color w:val="222A35"/>
                <w:sz w:val="15"/>
              </w:rPr>
              <w:t>Informational</w:t>
            </w:r>
          </w:p>
        </w:tc>
        <w:tc>
          <w:tcPr>
            <w:tcW w:w="2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C6482FC">
            <w:pPr>
              <w:spacing w:after="0"/>
            </w:pPr>
            <w:r>
              <w:rPr>
                <w:rFonts w:ascii="Calibri" w:hAnsi="Calibri" w:eastAsia="Calibri"/>
                <w:b w:val="0"/>
                <w:color w:val="222A35"/>
                <w:sz w:val="15"/>
              </w:rPr>
              <w:t>Open</w:t>
            </w:r>
          </w:p>
        </w:tc>
        <w:tc>
          <w:tcPr>
            <w:tcW w:w="43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5E8794A">
            <w:pPr>
              <w:spacing w:after="0"/>
            </w:pPr>
            <w:r>
              <w:rPr>
                <w:rFonts w:ascii="Calibri" w:hAnsi="Calibri" w:eastAsia="Calibri"/>
                <w:b w:val="0"/>
                <w:color w:val="222A35"/>
                <w:sz w:val="15"/>
              </w:rPr>
              <w:t>Staking proceeds depend indefinitely on a user-triggered claim</w:t>
            </w:r>
          </w:p>
        </w:tc>
      </w:tr>
    </w:tbl>
    <w:p w14:paraId="5638F433">
      <w:pPr>
        <w:spacing w:after="20"/>
      </w:pPr>
    </w:p>
    <w:p w14:paraId="246AFAD7">
      <w:pPr>
        <w:pStyle w:val="4"/>
        <w:keepNext/>
      </w:pPr>
      <w:bookmarkStart w:id="18" w:name="_Toc31464"/>
      <w:r>
        <w:t>5.1 Positive controls verified</w:t>
      </w:r>
      <w:bookmarkEnd w:id="18"/>
    </w:p>
    <w:p w14:paraId="18CCFB67">
      <w:pPr>
        <w:pStyle w:val="16"/>
      </w:pPr>
      <w:r>
        <w:rPr>
          <w:rFonts w:ascii="Calibri" w:hAnsi="Calibri" w:eastAsia="Calibri"/>
        </w:rPr>
        <w:t>Fixed 90-day sale schedule and five-mode registry with versioned operational changes.</w:t>
      </w:r>
    </w:p>
    <w:p w14:paraId="4E86E0C8">
      <w:pPr>
        <w:pStyle w:val="16"/>
      </w:pPr>
      <w:r>
        <w:rPr>
          <w:rFonts w:ascii="Calibri" w:hAnsi="Calibri" w:eastAsia="Calibri"/>
        </w:rPr>
        <w:t>Committed endpoint and registry-binding checks before enabling purchase or redemption.</w:t>
      </w:r>
    </w:p>
    <w:p w14:paraId="52615B73">
      <w:pPr>
        <w:pStyle w:val="16"/>
      </w:pPr>
      <w:r>
        <w:rPr>
          <w:rFonts w:ascii="Calibri" w:hAnsi="Calibri" w:eastAsia="Calibri"/>
        </w:rPr>
        <w:t>Wallet-bound nonces, deadlines, expected phase/mode/config versions and minOut validation.</w:t>
      </w:r>
    </w:p>
    <w:p w14:paraId="5EE9E83E">
      <w:pPr>
        <w:pStyle w:val="16"/>
      </w:pPr>
      <w:r>
        <w:rPr>
          <w:rFonts w:ascii="Calibri" w:hAnsi="Calibri" w:eastAsia="Calibri"/>
        </w:rPr>
        <w:t>Cost-basis presale refunds, AGNT claim escrow and reserve/claim withdrawal locks.</w:t>
      </w:r>
    </w:p>
    <w:p w14:paraId="64F8B4AB">
      <w:pPr>
        <w:pStyle w:val="16"/>
      </w:pPr>
      <w:r>
        <w:rPr>
          <w:rFonts w:ascii="Calibri" w:hAnsi="Calibri" w:eastAsia="Calibri"/>
        </w:rPr>
        <w:t>Per-feed purchase oracle age, bounds, deviation and permissionless breaker controls.</w:t>
      </w:r>
    </w:p>
    <w:p w14:paraId="605E38DC">
      <w:pPr>
        <w:pStyle w:val="16"/>
      </w:pPr>
      <w:r>
        <w:rPr>
          <w:rFonts w:ascii="Calibri" w:hAnsi="Calibri" w:eastAsia="Calibri"/>
        </w:rPr>
        <w:t>Reentrancy guards and balance-delta checks on staking deposits and settlement transfers.</w:t>
      </w:r>
    </w:p>
    <w:p w14:paraId="2B7424C7">
      <w:pPr>
        <w:pStyle w:val="16"/>
      </w:pPr>
      <w:r>
        <w:rPr>
          <w:rFonts w:ascii="Calibri" w:hAnsi="Calibri" w:eastAsia="Calibri"/>
        </w:rPr>
        <w:t>Chain-56 constructor guard for Staking and irreversible-broadcast confirmation for deployment scripts.</w:t>
      </w:r>
    </w:p>
    <w:p w14:paraId="1D241C0A">
      <w:pPr>
        <w:pStyle w:val="4"/>
        <w:keepNext/>
      </w:pPr>
      <w:bookmarkStart w:id="19" w:name="_Toc21272"/>
      <w:r>
        <w:t>5.2 Release-blocking items</w:t>
      </w:r>
      <w:bookmarkEnd w:id="19"/>
    </w:p>
    <w:tbl>
      <w:tblPr>
        <w:tblStyle w:val="34"/>
        <w:tblW w:w="9360" w:type="dxa"/>
        <w:jc w:val="center"/>
        <w:tblLayout w:type="fixed"/>
        <w:tblCellMar>
          <w:top w:w="0" w:type="dxa"/>
          <w:left w:w="108" w:type="dxa"/>
          <w:bottom w:w="0" w:type="dxa"/>
          <w:right w:w="108" w:type="dxa"/>
        </w:tblCellMar>
      </w:tblPr>
      <w:tblGrid>
        <w:gridCol w:w="9360"/>
      </w:tblGrid>
      <w:tr w14:paraId="2C882108">
        <w:tblPrEx>
          <w:tblCellMar>
            <w:top w:w="0" w:type="dxa"/>
            <w:left w:w="108" w:type="dxa"/>
            <w:bottom w:w="0" w:type="dxa"/>
            <w:right w:w="108" w:type="dxa"/>
          </w:tblCellMar>
        </w:tblPrEx>
        <w:trPr>
          <w:jc w:val="center"/>
        </w:trPr>
        <w:tc>
          <w:tcPr>
            <w:tcW w:w="9360" w:type="dxa"/>
            <w:tcBorders>
              <w:top w:val="single" w:color="FEECEB" w:sz="0" w:space="0"/>
              <w:left w:val="single" w:color="FEECEB" w:sz="0" w:space="0"/>
              <w:bottom w:val="single" w:color="FEECEB" w:sz="0" w:space="0"/>
              <w:right w:val="single" w:color="FEECEB" w:sz="0" w:space="0"/>
              <w:insideH w:val="single" w:sz="0" w:space="0"/>
              <w:insideV w:val="single" w:sz="0" w:space="0"/>
            </w:tcBorders>
            <w:shd w:val="clear" w:color="auto" w:fill="FEECEB"/>
            <w:tcMar>
              <w:top w:w="80" w:type="dxa"/>
              <w:left w:w="120" w:type="dxa"/>
              <w:bottom w:w="80" w:type="dxa"/>
              <w:right w:w="120" w:type="dxa"/>
            </w:tcMar>
            <w:vAlign w:val="center"/>
          </w:tcPr>
          <w:p w14:paraId="6A20937D">
            <w:pPr>
              <w:pBdr>
                <w:left w:val="single" w:color="B42318" w:sz="22" w:space="10"/>
              </w:pBdr>
              <w:spacing w:after="60"/>
            </w:pPr>
            <w:r>
              <w:rPr>
                <w:rFonts w:ascii="Calibri" w:hAnsi="Calibri" w:eastAsia="Calibri"/>
                <w:b/>
                <w:color w:val="B42318"/>
                <w:sz w:val="18"/>
              </w:rPr>
              <w:t>RELEASE DECISION</w:t>
            </w:r>
          </w:p>
          <w:p w14:paraId="4309D082">
            <w:pPr>
              <w:pBdr>
                <w:left w:val="single" w:color="B42318" w:sz="22" w:space="10"/>
              </w:pBdr>
              <w:spacing w:after="0"/>
            </w:pPr>
            <w:r>
              <w:rPr>
                <w:rFonts w:ascii="Calibri" w:hAnsi="Calibri" w:eastAsia="Calibri"/>
                <w:color w:val="222A35"/>
                <w:sz w:val="21"/>
              </w:rPr>
              <w:t>MED-04 should be remediated or formally risk-accepted before enabling Staking deposits. All deployment addresses, immutable bindings, source verification, multisig/timelock ownership, token/oracle identities, reserve funding and minimum-value mainnet transactions remain separate required gates.</w:t>
            </w:r>
          </w:p>
        </w:tc>
      </w:tr>
    </w:tbl>
    <w:p w14:paraId="1AA9D644">
      <w:pPr>
        <w:spacing w:after="20"/>
      </w:pPr>
    </w:p>
    <w:p w14:paraId="1217B19F">
      <w:r>
        <w:br w:type="page"/>
      </w:r>
    </w:p>
    <w:p w14:paraId="19B253E5">
      <w:pPr>
        <w:pStyle w:val="3"/>
        <w:keepNext/>
      </w:pPr>
      <w:bookmarkStart w:id="20" w:name="_Toc32746"/>
      <w:r>
        <w:t>6. Detailed findings</w:t>
      </w:r>
      <w:bookmarkEnd w:id="20"/>
    </w:p>
    <w:p w14:paraId="53EE9B78">
      <w:r>
        <w:rPr>
          <w:rFonts w:ascii="Calibri" w:hAnsi="Calibri" w:eastAsia="Calibri"/>
        </w:rPr>
        <w:t>Each finding below records the AEGENT first-party severity, current snapshot status, affected surface, supporting evidence, remediation guidance and retest statement.</w:t>
      </w:r>
    </w:p>
    <w:p w14:paraId="77DFB503">
      <w:r>
        <w:br w:type="page"/>
      </w:r>
    </w:p>
    <w:p w14:paraId="1D1421AD">
      <w:pPr>
        <w:pStyle w:val="4"/>
        <w:keepNext/>
      </w:pPr>
      <w:bookmarkStart w:id="21" w:name="_Toc11520"/>
      <w:r>
        <w:t>6.1 MED-01 — Manual-review threshold could be bypassed by splitting redemptions</w:t>
      </w:r>
      <w:bookmarkEnd w:id="21"/>
    </w:p>
    <w:tbl>
      <w:tblPr>
        <w:tblStyle w:val="34"/>
        <w:tblW w:w="9360" w:type="dxa"/>
        <w:jc w:val="center"/>
        <w:tblLayout w:type="fixed"/>
        <w:tblCellMar>
          <w:top w:w="0" w:type="dxa"/>
          <w:left w:w="108" w:type="dxa"/>
          <w:bottom w:w="0" w:type="dxa"/>
          <w:right w:w="108" w:type="dxa"/>
        </w:tblCellMar>
      </w:tblPr>
      <w:tblGrid>
        <w:gridCol w:w="1550"/>
        <w:gridCol w:w="3130"/>
        <w:gridCol w:w="1550"/>
        <w:gridCol w:w="3130"/>
      </w:tblGrid>
      <w:tr w14:paraId="66C5082E">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B79E2CB">
            <w:pPr>
              <w:spacing w:after="0"/>
            </w:pPr>
            <w:r>
              <w:rPr>
                <w:rFonts w:ascii="Calibri" w:hAnsi="Calibri" w:eastAsia="Calibri"/>
                <w:b/>
                <w:color w:val="17213C"/>
                <w:sz w:val="15"/>
              </w:rPr>
              <w:t>SEVERITY</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FF4E5"/>
            <w:tcMar>
              <w:top w:w="80" w:type="dxa"/>
              <w:left w:w="120" w:type="dxa"/>
              <w:bottom w:w="80" w:type="dxa"/>
              <w:right w:w="120" w:type="dxa"/>
            </w:tcMar>
            <w:vAlign w:val="center"/>
          </w:tcPr>
          <w:p w14:paraId="4FAD8A72">
            <w:pPr>
              <w:spacing w:after="0"/>
            </w:pPr>
            <w:r>
              <w:rPr>
                <w:rFonts w:ascii="Calibri" w:hAnsi="Calibri" w:eastAsia="Calibri"/>
                <w:b/>
                <w:color w:val="B54708"/>
                <w:sz w:val="17"/>
              </w:rPr>
              <w:t>Medium</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12B13377">
            <w:pPr>
              <w:spacing w:after="0"/>
            </w:pPr>
            <w:r>
              <w:rPr>
                <w:rFonts w:ascii="Calibri" w:hAnsi="Calibri" w:eastAsia="Calibri"/>
                <w:b/>
                <w:color w:val="17213C"/>
                <w:sz w:val="15"/>
              </w:rPr>
              <w:t>STATUS</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E9F7EF"/>
            <w:tcMar>
              <w:top w:w="80" w:type="dxa"/>
              <w:left w:w="120" w:type="dxa"/>
              <w:bottom w:w="80" w:type="dxa"/>
              <w:right w:w="120" w:type="dxa"/>
            </w:tcMar>
            <w:vAlign w:val="center"/>
          </w:tcPr>
          <w:p w14:paraId="4F519EEA">
            <w:pPr>
              <w:spacing w:after="0"/>
            </w:pPr>
            <w:r>
              <w:rPr>
                <w:rFonts w:ascii="Calibri" w:hAnsi="Calibri" w:eastAsia="Calibri"/>
                <w:b/>
                <w:color w:val="18794E"/>
                <w:sz w:val="16"/>
              </w:rPr>
              <w:t>Resolved</w:t>
            </w:r>
          </w:p>
        </w:tc>
      </w:tr>
      <w:tr w14:paraId="1350E3A3">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08412D7">
            <w:pPr>
              <w:spacing w:after="0"/>
            </w:pPr>
            <w:r>
              <w:rPr>
                <w:rFonts w:ascii="Calibri" w:hAnsi="Calibri" w:eastAsia="Calibri"/>
                <w:b/>
                <w:color w:val="17213C"/>
                <w:sz w:val="15"/>
              </w:rPr>
              <w:t>AFFECTED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A2FADBF">
            <w:pPr>
              <w:spacing w:after="0"/>
            </w:pPr>
            <w:r>
              <w:rPr>
                <w:rFonts w:ascii="Calibri" w:hAnsi="Calibri" w:eastAsia="Calibri"/>
                <w:color w:val="222A35"/>
                <w:sz w:val="16"/>
              </w:rPr>
              <w:t>AegentRedemptionV2</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78F4EF34">
            <w:pPr>
              <w:spacing w:after="0"/>
            </w:pPr>
            <w:r>
              <w:rPr>
                <w:rFonts w:ascii="Calibri" w:hAnsi="Calibri" w:eastAsia="Calibri"/>
                <w:b/>
                <w:color w:val="17213C"/>
                <w:sz w:val="15"/>
              </w:rPr>
              <w:t>LIKELIHOOD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2F542CA">
            <w:pPr>
              <w:spacing w:after="0"/>
            </w:pPr>
            <w:r>
              <w:rPr>
                <w:rFonts w:ascii="Calibri" w:hAnsi="Calibri" w:eastAsia="Calibri"/>
                <w:color w:val="222A35"/>
                <w:sz w:val="16"/>
              </w:rPr>
              <w:t>Low after remediation</w:t>
            </w:r>
          </w:p>
        </w:tc>
      </w:tr>
      <w:tr w14:paraId="5A55C469">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1447AA89">
            <w:pPr>
              <w:spacing w:after="0"/>
            </w:pPr>
            <w:r>
              <w:rPr>
                <w:rFonts w:ascii="Calibri" w:hAnsi="Calibri" w:eastAsia="Calibri"/>
                <w:b/>
                <w:color w:val="17213C"/>
                <w:sz w:val="15"/>
              </w:rPr>
              <w:t>IMPACT</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6A71161">
            <w:pPr>
              <w:spacing w:after="0"/>
            </w:pPr>
            <w:r>
              <w:rPr>
                <w:rFonts w:ascii="Calibri" w:hAnsi="Calibri" w:eastAsia="Calibri"/>
                <w:color w:val="222A35"/>
                <w:sz w:val="16"/>
              </w:rPr>
              <w:t>Control bypass and excessive wallet-level redemption throughput</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2E283A66">
            <w:pPr>
              <w:spacing w:after="0"/>
            </w:pPr>
            <w:r>
              <w:rPr>
                <w:rFonts w:ascii="Calibri" w:hAnsi="Calibri" w:eastAsia="Calibri"/>
                <w:b/>
                <w:color w:val="17213C"/>
                <w:sz w:val="15"/>
              </w:rPr>
              <w:t>EVIDENCE</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B20E2B0">
            <w:pPr>
              <w:spacing w:after="0"/>
            </w:pPr>
            <w:r>
              <w:rPr>
                <w:rFonts w:ascii="Calibri" w:hAnsi="Calibri" w:eastAsia="Calibri"/>
                <w:color w:val="222A35"/>
                <w:sz w:val="16"/>
              </w:rPr>
              <w:t>AegentRedemptionV2.sol:734–757; AegentRedemptionV2.test.cjs cumulative-threshold tests</w:t>
            </w:r>
          </w:p>
        </w:tc>
      </w:tr>
      <w:tr w14:paraId="7DF56877">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0A31A5B">
            <w:pPr>
              <w:spacing w:after="0"/>
            </w:pPr>
            <w:r>
              <w:rPr>
                <w:rFonts w:ascii="Calibri" w:hAnsi="Calibri" w:eastAsia="Calibri"/>
                <w:b/>
                <w:color w:val="17213C"/>
                <w:sz w:val="15"/>
              </w:rPr>
              <w:t>REPORT ID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7556438">
            <w:pPr>
              <w:spacing w:after="0"/>
            </w:pPr>
            <w:r>
              <w:rPr>
                <w:rFonts w:ascii="Calibri" w:hAnsi="Calibri" w:eastAsia="Calibri"/>
                <w:color w:val="222A35"/>
                <w:sz w:val="16"/>
              </w:rPr>
              <w:t>MED-01</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1BDAD2E">
            <w:pPr>
              <w:spacing w:after="0"/>
            </w:pPr>
            <w:r>
              <w:rPr>
                <w:rFonts w:ascii="Calibri" w:hAnsi="Calibri" w:eastAsia="Calibri"/>
                <w:b/>
                <w:color w:val="17213C"/>
                <w:sz w:val="15"/>
              </w:rPr>
              <w:t>SNAPSHOT</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5680CE4">
            <w:pPr>
              <w:spacing w:after="0"/>
            </w:pPr>
            <w:r>
              <w:rPr>
                <w:rFonts w:ascii="Calibri" w:hAnsi="Calibri" w:eastAsia="Calibri"/>
                <w:color w:val="222A35"/>
                <w:sz w:val="16"/>
              </w:rPr>
              <w:t>20260730T020710Z</w:t>
            </w:r>
          </w:p>
        </w:tc>
      </w:tr>
    </w:tbl>
    <w:p w14:paraId="7C3AC187">
      <w:pPr>
        <w:spacing w:after="20"/>
      </w:pPr>
    </w:p>
    <w:p w14:paraId="5D9186F5">
      <w:pPr>
        <w:pStyle w:val="169"/>
      </w:pPr>
      <w:r>
        <w:t>Description</w:t>
      </w:r>
    </w:p>
    <w:p w14:paraId="6887576A">
      <w:r>
        <w:rPr>
          <w:rFonts w:ascii="Calibri" w:hAnsi="Calibri" w:eastAsia="Calibri"/>
        </w:rPr>
        <w:t>The earlier implementation evaluated the manual-review threshold at request level. The reviewed snapshot now computes the wallet's next cumulative UTC-day redemption total before applying both the hard wallet limit and the manual-review threshold.</w:t>
      </w:r>
    </w:p>
    <w:p w14:paraId="4B24D9BF">
      <w:pPr>
        <w:pStyle w:val="169"/>
      </w:pPr>
      <w:r>
        <w:t>Impact and exploit conditions</w:t>
      </w:r>
    </w:p>
    <w:p w14:paraId="7B3138C4">
      <w:r>
        <w:rPr>
          <w:rFonts w:ascii="Calibri" w:hAnsi="Calibri" w:eastAsia="Calibri"/>
        </w:rPr>
        <w:t>Control bypass and excessive wallet-level redemption throughput.</w:t>
      </w:r>
    </w:p>
    <w:p w14:paraId="54F3F640">
      <w:r>
        <w:rPr>
          <w:rFonts w:ascii="Calibri" w:hAnsi="Calibri" w:eastAsia="Calibri"/>
        </w:rPr>
        <w:t>The previous weakness required a wallet to submit multiple individually sub-threshold transactions. The cumulative accounting in this snapshot removes that path.</w:t>
      </w:r>
    </w:p>
    <w:p w14:paraId="017AFF79">
      <w:pPr>
        <w:pStyle w:val="169"/>
      </w:pPr>
      <w:r>
        <w:t>Recommendation</w:t>
      </w:r>
    </w:p>
    <w:p w14:paraId="21420AE7">
      <w:r>
        <w:rPr>
          <w:rFonts w:ascii="Calibri" w:hAnsi="Calibri" w:eastAsia="Calibri"/>
        </w:rPr>
        <w:t>Retain cumulative accounting and monitoring. If the business policy is intended to mean any rolling 24-hour period, also address LOW-01.</w:t>
      </w:r>
    </w:p>
    <w:p w14:paraId="3117CFC5">
      <w:pPr>
        <w:pStyle w:val="169"/>
      </w:pPr>
      <w:r>
        <w:t>Validation status</w:t>
      </w:r>
    </w:p>
    <w:tbl>
      <w:tblPr>
        <w:tblStyle w:val="34"/>
        <w:tblW w:w="9360" w:type="dxa"/>
        <w:jc w:val="center"/>
        <w:tblLayout w:type="fixed"/>
        <w:tblCellMar>
          <w:top w:w="0" w:type="dxa"/>
          <w:left w:w="108" w:type="dxa"/>
          <w:bottom w:w="0" w:type="dxa"/>
          <w:right w:w="108" w:type="dxa"/>
        </w:tblCellMar>
      </w:tblPr>
      <w:tblGrid>
        <w:gridCol w:w="9360"/>
      </w:tblGrid>
      <w:tr w14:paraId="55942DC8">
        <w:tblPrEx>
          <w:tblCellMar>
            <w:top w:w="0" w:type="dxa"/>
            <w:left w:w="108" w:type="dxa"/>
            <w:bottom w:w="0" w:type="dxa"/>
            <w:right w:w="108" w:type="dxa"/>
          </w:tblCellMar>
        </w:tblPrEx>
        <w:trPr>
          <w:jc w:val="center"/>
        </w:trPr>
        <w:tc>
          <w:tcPr>
            <w:tcW w:w="9360" w:type="dxa"/>
            <w:tcBorders>
              <w:top w:val="single" w:color="E9F7EF" w:sz="0" w:space="0"/>
              <w:left w:val="single" w:color="E9F7EF" w:sz="0" w:space="0"/>
              <w:bottom w:val="single" w:color="E9F7EF" w:sz="0" w:space="0"/>
              <w:right w:val="single" w:color="E9F7EF" w:sz="0" w:space="0"/>
              <w:insideH w:val="single" w:sz="0" w:space="0"/>
              <w:insideV w:val="single" w:sz="0" w:space="0"/>
            </w:tcBorders>
            <w:shd w:val="clear" w:color="auto" w:fill="E9F7EF"/>
            <w:tcMar>
              <w:top w:w="80" w:type="dxa"/>
              <w:left w:w="120" w:type="dxa"/>
              <w:bottom w:w="80" w:type="dxa"/>
              <w:right w:w="120" w:type="dxa"/>
            </w:tcMar>
            <w:vAlign w:val="center"/>
          </w:tcPr>
          <w:p w14:paraId="1FF31454">
            <w:pPr>
              <w:pBdr>
                <w:left w:val="single" w:color="18794E" w:sz="22" w:space="10"/>
              </w:pBdr>
              <w:spacing w:after="60"/>
            </w:pPr>
            <w:r>
              <w:rPr>
                <w:rFonts w:ascii="Calibri" w:hAnsi="Calibri" w:eastAsia="Calibri"/>
                <w:b/>
                <w:color w:val="18794E"/>
                <w:sz w:val="18"/>
              </w:rPr>
              <w:t>RESOLVED</w:t>
            </w:r>
          </w:p>
          <w:p w14:paraId="3DB286B0">
            <w:pPr>
              <w:pBdr>
                <w:left w:val="single" w:color="18794E" w:sz="22" w:space="10"/>
              </w:pBdr>
              <w:spacing w:after="0"/>
            </w:pPr>
            <w:r>
              <w:rPr>
                <w:rFonts w:ascii="Calibri" w:hAnsi="Calibri" w:eastAsia="Calibri"/>
                <w:color w:val="222A35"/>
                <w:sz w:val="21"/>
              </w:rPr>
              <w:t>Fresh chain-56 tests passed: “applies the manual-review threshold to the cumulative wallet total” and “retains the hard daily wallet limit when the review threshold equals it.”</w:t>
            </w:r>
          </w:p>
        </w:tc>
      </w:tr>
    </w:tbl>
    <w:p w14:paraId="5D4E15EE">
      <w:pPr>
        <w:spacing w:after="20"/>
      </w:pPr>
    </w:p>
    <w:p w14:paraId="727EBE0B">
      <w:r>
        <w:br w:type="page"/>
      </w:r>
    </w:p>
    <w:p w14:paraId="42AE5583">
      <w:pPr>
        <w:pStyle w:val="4"/>
        <w:keepNext/>
      </w:pPr>
      <w:bookmarkStart w:id="22" w:name="_Toc20489"/>
      <w:r>
        <w:t>6.2 MED-02 — Purchases could create redemption liabilities without enforced reserve coverage</w:t>
      </w:r>
      <w:bookmarkEnd w:id="22"/>
    </w:p>
    <w:tbl>
      <w:tblPr>
        <w:tblStyle w:val="34"/>
        <w:tblW w:w="9360" w:type="dxa"/>
        <w:jc w:val="center"/>
        <w:tblLayout w:type="fixed"/>
        <w:tblCellMar>
          <w:top w:w="0" w:type="dxa"/>
          <w:left w:w="108" w:type="dxa"/>
          <w:bottom w:w="0" w:type="dxa"/>
          <w:right w:w="108" w:type="dxa"/>
        </w:tblCellMar>
      </w:tblPr>
      <w:tblGrid>
        <w:gridCol w:w="1550"/>
        <w:gridCol w:w="3130"/>
        <w:gridCol w:w="1550"/>
        <w:gridCol w:w="3130"/>
      </w:tblGrid>
      <w:tr w14:paraId="24E48B68">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ED1D3ED">
            <w:pPr>
              <w:spacing w:after="0"/>
            </w:pPr>
            <w:r>
              <w:rPr>
                <w:rFonts w:ascii="Calibri" w:hAnsi="Calibri" w:eastAsia="Calibri"/>
                <w:b/>
                <w:color w:val="17213C"/>
                <w:sz w:val="15"/>
              </w:rPr>
              <w:t>SEVERITY</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FF4E5"/>
            <w:tcMar>
              <w:top w:w="80" w:type="dxa"/>
              <w:left w:w="120" w:type="dxa"/>
              <w:bottom w:w="80" w:type="dxa"/>
              <w:right w:w="120" w:type="dxa"/>
            </w:tcMar>
            <w:vAlign w:val="center"/>
          </w:tcPr>
          <w:p w14:paraId="60B88BC1">
            <w:pPr>
              <w:spacing w:after="0"/>
            </w:pPr>
            <w:r>
              <w:rPr>
                <w:rFonts w:ascii="Calibri" w:hAnsi="Calibri" w:eastAsia="Calibri"/>
                <w:b/>
                <w:color w:val="B54708"/>
                <w:sz w:val="17"/>
              </w:rPr>
              <w:t>Medium</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56850579">
            <w:pPr>
              <w:spacing w:after="0"/>
            </w:pPr>
            <w:r>
              <w:rPr>
                <w:rFonts w:ascii="Calibri" w:hAnsi="Calibri" w:eastAsia="Calibri"/>
                <w:b/>
                <w:color w:val="17213C"/>
                <w:sz w:val="15"/>
              </w:rPr>
              <w:t>STATUS</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E9F7EF"/>
            <w:tcMar>
              <w:top w:w="80" w:type="dxa"/>
              <w:left w:w="120" w:type="dxa"/>
              <w:bottom w:w="80" w:type="dxa"/>
              <w:right w:w="120" w:type="dxa"/>
            </w:tcMar>
            <w:vAlign w:val="center"/>
          </w:tcPr>
          <w:p w14:paraId="6E90A7F4">
            <w:pPr>
              <w:spacing w:after="0"/>
            </w:pPr>
            <w:r>
              <w:rPr>
                <w:rFonts w:ascii="Calibri" w:hAnsi="Calibri" w:eastAsia="Calibri"/>
                <w:b/>
                <w:color w:val="18794E"/>
                <w:sz w:val="16"/>
              </w:rPr>
              <w:t>Resolved</w:t>
            </w:r>
          </w:p>
        </w:tc>
      </w:tr>
      <w:tr w14:paraId="3DD0D33B">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6DD4F109">
            <w:pPr>
              <w:spacing w:after="0"/>
            </w:pPr>
            <w:r>
              <w:rPr>
                <w:rFonts w:ascii="Calibri" w:hAnsi="Calibri" w:eastAsia="Calibri"/>
                <w:b/>
                <w:color w:val="17213C"/>
                <w:sz w:val="15"/>
              </w:rPr>
              <w:t>AFFECTED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86A41EE">
            <w:pPr>
              <w:spacing w:after="0"/>
            </w:pPr>
            <w:r>
              <w:rPr>
                <w:rFonts w:ascii="Calibri" w:hAnsi="Calibri" w:eastAsia="Calibri"/>
                <w:color w:val="222A35"/>
                <w:sz w:val="16"/>
              </w:rPr>
              <w:t>AegentSwapV2; AegentRedemptionV2</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54F2011A">
            <w:pPr>
              <w:spacing w:after="0"/>
            </w:pPr>
            <w:r>
              <w:rPr>
                <w:rFonts w:ascii="Calibri" w:hAnsi="Calibri" w:eastAsia="Calibri"/>
                <w:b/>
                <w:color w:val="17213C"/>
                <w:sz w:val="15"/>
              </w:rPr>
              <w:t>LIKELIHOOD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B866F49">
            <w:pPr>
              <w:spacing w:after="0"/>
            </w:pPr>
            <w:r>
              <w:rPr>
                <w:rFonts w:ascii="Calibri" w:hAnsi="Calibri" w:eastAsia="Calibri"/>
                <w:color w:val="222A35"/>
                <w:sz w:val="16"/>
              </w:rPr>
              <w:t>Low after remediation</w:t>
            </w:r>
          </w:p>
        </w:tc>
      </w:tr>
      <w:tr w14:paraId="79E311F9">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CC62947">
            <w:pPr>
              <w:spacing w:after="0"/>
            </w:pPr>
            <w:r>
              <w:rPr>
                <w:rFonts w:ascii="Calibri" w:hAnsi="Calibri" w:eastAsia="Calibri"/>
                <w:b/>
                <w:color w:val="17213C"/>
                <w:sz w:val="15"/>
              </w:rPr>
              <w:t>IMPACT</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9B73677">
            <w:pPr>
              <w:spacing w:after="0"/>
            </w:pPr>
            <w:r>
              <w:rPr>
                <w:rFonts w:ascii="Calibri" w:hAnsi="Calibri" w:eastAsia="Calibri"/>
                <w:color w:val="222A35"/>
                <w:sz w:val="16"/>
              </w:rPr>
              <w:t>Insolvent presale refunds or inability to honor cost-basis liabilities</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28172CB">
            <w:pPr>
              <w:spacing w:after="0"/>
            </w:pPr>
            <w:r>
              <w:rPr>
                <w:rFonts w:ascii="Calibri" w:hAnsi="Calibri" w:eastAsia="Calibri"/>
                <w:b/>
                <w:color w:val="17213C"/>
                <w:sz w:val="15"/>
              </w:rPr>
              <w:t>EVIDENCE</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5D43FFB">
            <w:pPr>
              <w:spacing w:after="0"/>
            </w:pPr>
            <w:r>
              <w:rPr>
                <w:rFonts w:ascii="Calibri" w:hAnsi="Calibri" w:eastAsia="Calibri"/>
                <w:color w:val="222A35"/>
                <w:sz w:val="16"/>
              </w:rPr>
              <w:t>AegentRedemptionV2.sol:588–610; AegentSwapV2.sol:299–340, 630–687, 770–799</w:t>
            </w:r>
          </w:p>
        </w:tc>
      </w:tr>
      <w:tr w14:paraId="67F8CB60">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2BF210AA">
            <w:pPr>
              <w:spacing w:after="0"/>
            </w:pPr>
            <w:r>
              <w:rPr>
                <w:rFonts w:ascii="Calibri" w:hAnsi="Calibri" w:eastAsia="Calibri"/>
                <w:b/>
                <w:color w:val="17213C"/>
                <w:sz w:val="15"/>
              </w:rPr>
              <w:t>REPORT ID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C4EC9E4">
            <w:pPr>
              <w:spacing w:after="0"/>
            </w:pPr>
            <w:r>
              <w:rPr>
                <w:rFonts w:ascii="Calibri" w:hAnsi="Calibri" w:eastAsia="Calibri"/>
                <w:color w:val="222A35"/>
                <w:sz w:val="16"/>
              </w:rPr>
              <w:t>MED-02</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208EE6DB">
            <w:pPr>
              <w:spacing w:after="0"/>
            </w:pPr>
            <w:r>
              <w:rPr>
                <w:rFonts w:ascii="Calibri" w:hAnsi="Calibri" w:eastAsia="Calibri"/>
                <w:b/>
                <w:color w:val="17213C"/>
                <w:sz w:val="15"/>
              </w:rPr>
              <w:t>SNAPSHOT</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688369F">
            <w:pPr>
              <w:spacing w:after="0"/>
            </w:pPr>
            <w:r>
              <w:rPr>
                <w:rFonts w:ascii="Calibri" w:hAnsi="Calibri" w:eastAsia="Calibri"/>
                <w:color w:val="222A35"/>
                <w:sz w:val="16"/>
              </w:rPr>
              <w:t>20260730T020710Z</w:t>
            </w:r>
          </w:p>
        </w:tc>
      </w:tr>
    </w:tbl>
    <w:p w14:paraId="5A580929">
      <w:pPr>
        <w:spacing w:after="20"/>
      </w:pPr>
    </w:p>
    <w:p w14:paraId="228DB3EA">
      <w:pPr>
        <w:pStyle w:val="169"/>
      </w:pPr>
      <w:r>
        <w:t>Description</w:t>
      </w:r>
    </w:p>
    <w:p w14:paraId="599E9E78">
      <w:r>
        <w:rPr>
          <w:rFonts w:ascii="Calibri" w:hAnsi="Calibri" w:eastAsia="Calibri"/>
        </w:rPr>
        <w:t>The reviewed contracts now expose the projected reserve requirement for an incremental purchase and require every BNB, USDT and USDC execution path to fail closed when the redemption reserve cannot cover the resulting liability.</w:t>
      </w:r>
    </w:p>
    <w:p w14:paraId="7934DBB5">
      <w:pPr>
        <w:pStyle w:val="169"/>
      </w:pPr>
      <w:r>
        <w:t>Impact and exploit conditions</w:t>
      </w:r>
    </w:p>
    <w:p w14:paraId="7783D8B1">
      <w:r>
        <w:rPr>
          <w:rFonts w:ascii="Calibri" w:hAnsi="Calibri" w:eastAsia="Calibri"/>
        </w:rPr>
        <w:t>Insolvent presale refunds or inability to honor cost-basis liabilities.</w:t>
      </w:r>
    </w:p>
    <w:p w14:paraId="399E3191">
      <w:r>
        <w:rPr>
          <w:rFonts w:ascii="Calibri" w:hAnsi="Calibri" w:eastAsia="Calibri"/>
        </w:rPr>
        <w:t>The previous condition required additional purchases to be accepted while refund reserves were insufficient or unreadable. The current quote and execution paths reject that state.</w:t>
      </w:r>
    </w:p>
    <w:p w14:paraId="3B85B145">
      <w:pPr>
        <w:pStyle w:val="169"/>
      </w:pPr>
      <w:r>
        <w:t>Recommendation</w:t>
      </w:r>
    </w:p>
    <w:p w14:paraId="44072A4E">
      <w:r>
        <w:rPr>
          <w:rFonts w:ascii="Calibri" w:hAnsi="Calibri" w:eastAsia="Calibri"/>
        </w:rPr>
        <w:t>Preserve the fail-closed reserve check in every future purchase path and monitor both reserve assets and outstanding cost-basis liabilities.</w:t>
      </w:r>
    </w:p>
    <w:p w14:paraId="6F2F3EB2">
      <w:pPr>
        <w:pStyle w:val="169"/>
      </w:pPr>
      <w:r>
        <w:t>Validation status</w:t>
      </w:r>
    </w:p>
    <w:tbl>
      <w:tblPr>
        <w:tblStyle w:val="34"/>
        <w:tblW w:w="9360" w:type="dxa"/>
        <w:jc w:val="center"/>
        <w:tblLayout w:type="fixed"/>
        <w:tblCellMar>
          <w:top w:w="0" w:type="dxa"/>
          <w:left w:w="108" w:type="dxa"/>
          <w:bottom w:w="0" w:type="dxa"/>
          <w:right w:w="108" w:type="dxa"/>
        </w:tblCellMar>
      </w:tblPr>
      <w:tblGrid>
        <w:gridCol w:w="9360"/>
      </w:tblGrid>
      <w:tr w14:paraId="65D3997A">
        <w:tblPrEx>
          <w:tblCellMar>
            <w:top w:w="0" w:type="dxa"/>
            <w:left w:w="108" w:type="dxa"/>
            <w:bottom w:w="0" w:type="dxa"/>
            <w:right w:w="108" w:type="dxa"/>
          </w:tblCellMar>
        </w:tblPrEx>
        <w:trPr>
          <w:jc w:val="center"/>
        </w:trPr>
        <w:tc>
          <w:tcPr>
            <w:tcW w:w="9360" w:type="dxa"/>
            <w:tcBorders>
              <w:top w:val="single" w:color="E9F7EF" w:sz="0" w:space="0"/>
              <w:left w:val="single" w:color="E9F7EF" w:sz="0" w:space="0"/>
              <w:bottom w:val="single" w:color="E9F7EF" w:sz="0" w:space="0"/>
              <w:right w:val="single" w:color="E9F7EF" w:sz="0" w:space="0"/>
              <w:insideH w:val="single" w:sz="0" w:space="0"/>
              <w:insideV w:val="single" w:sz="0" w:space="0"/>
            </w:tcBorders>
            <w:shd w:val="clear" w:color="auto" w:fill="E9F7EF"/>
            <w:tcMar>
              <w:top w:w="80" w:type="dxa"/>
              <w:left w:w="120" w:type="dxa"/>
              <w:bottom w:w="80" w:type="dxa"/>
              <w:right w:w="120" w:type="dxa"/>
            </w:tcMar>
            <w:vAlign w:val="center"/>
          </w:tcPr>
          <w:p w14:paraId="2E0B137E">
            <w:pPr>
              <w:pBdr>
                <w:left w:val="single" w:color="18794E" w:sz="22" w:space="10"/>
              </w:pBdr>
              <w:spacing w:after="60"/>
            </w:pPr>
            <w:r>
              <w:rPr>
                <w:rFonts w:ascii="Calibri" w:hAnsi="Calibri" w:eastAsia="Calibri"/>
                <w:b/>
                <w:color w:val="18794E"/>
                <w:sz w:val="18"/>
              </w:rPr>
              <w:t>RESOLVED</w:t>
            </w:r>
          </w:p>
          <w:p w14:paraId="448CC609">
            <w:pPr>
              <w:pBdr>
                <w:left w:val="single" w:color="18794E" w:sz="22" w:space="10"/>
              </w:pBdr>
              <w:spacing w:after="0"/>
            </w:pPr>
            <w:r>
              <w:rPr>
                <w:rFonts w:ascii="Calibri" w:hAnsi="Calibri" w:eastAsia="Calibri"/>
                <w:color w:val="222A35"/>
                <w:sz w:val="21"/>
              </w:rPr>
              <w:t>Fresh tests passed for reserve coverage on BNB, USDT and USDC purchases, unreadable reserve state, locked liability and excess-only withdrawals.</w:t>
            </w:r>
          </w:p>
        </w:tc>
      </w:tr>
    </w:tbl>
    <w:p w14:paraId="69BAFE86">
      <w:pPr>
        <w:spacing w:after="20"/>
      </w:pPr>
    </w:p>
    <w:p w14:paraId="6BF81D7E">
      <w:r>
        <w:br w:type="page"/>
      </w:r>
    </w:p>
    <w:p w14:paraId="43FC72D6">
      <w:pPr>
        <w:pStyle w:val="4"/>
        <w:keepNext/>
      </w:pPr>
      <w:bookmarkStart w:id="23" w:name="_Toc22848"/>
      <w:r>
        <w:t>6.3 MED-03 — Oracle validation previously relied primarily on freshness</w:t>
      </w:r>
      <w:bookmarkEnd w:id="23"/>
    </w:p>
    <w:tbl>
      <w:tblPr>
        <w:tblStyle w:val="34"/>
        <w:tblW w:w="9360" w:type="dxa"/>
        <w:jc w:val="center"/>
        <w:tblLayout w:type="fixed"/>
        <w:tblCellMar>
          <w:top w:w="0" w:type="dxa"/>
          <w:left w:w="108" w:type="dxa"/>
          <w:bottom w:w="0" w:type="dxa"/>
          <w:right w:w="108" w:type="dxa"/>
        </w:tblCellMar>
      </w:tblPr>
      <w:tblGrid>
        <w:gridCol w:w="1550"/>
        <w:gridCol w:w="3130"/>
        <w:gridCol w:w="1550"/>
        <w:gridCol w:w="3130"/>
      </w:tblGrid>
      <w:tr w14:paraId="2D9831FF">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AC74EED">
            <w:pPr>
              <w:spacing w:after="0"/>
            </w:pPr>
            <w:r>
              <w:rPr>
                <w:rFonts w:ascii="Calibri" w:hAnsi="Calibri" w:eastAsia="Calibri"/>
                <w:b/>
                <w:color w:val="17213C"/>
                <w:sz w:val="15"/>
              </w:rPr>
              <w:t>SEVERITY</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FF4E5"/>
            <w:tcMar>
              <w:top w:w="80" w:type="dxa"/>
              <w:left w:w="120" w:type="dxa"/>
              <w:bottom w:w="80" w:type="dxa"/>
              <w:right w:w="120" w:type="dxa"/>
            </w:tcMar>
            <w:vAlign w:val="center"/>
          </w:tcPr>
          <w:p w14:paraId="4F97251E">
            <w:pPr>
              <w:spacing w:after="0"/>
            </w:pPr>
            <w:r>
              <w:rPr>
                <w:rFonts w:ascii="Calibri" w:hAnsi="Calibri" w:eastAsia="Calibri"/>
                <w:b/>
                <w:color w:val="B54708"/>
                <w:sz w:val="17"/>
              </w:rPr>
              <w:t>Medium</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2ECC56D">
            <w:pPr>
              <w:spacing w:after="0"/>
            </w:pPr>
            <w:r>
              <w:rPr>
                <w:rFonts w:ascii="Calibri" w:hAnsi="Calibri" w:eastAsia="Calibri"/>
                <w:b/>
                <w:color w:val="17213C"/>
                <w:sz w:val="15"/>
              </w:rPr>
              <w:t>STATUS</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E7F7F8"/>
            <w:tcMar>
              <w:top w:w="80" w:type="dxa"/>
              <w:left w:w="120" w:type="dxa"/>
              <w:bottom w:w="80" w:type="dxa"/>
              <w:right w:w="120" w:type="dxa"/>
            </w:tcMar>
            <w:vAlign w:val="center"/>
          </w:tcPr>
          <w:p w14:paraId="3035A903">
            <w:pPr>
              <w:spacing w:after="0"/>
            </w:pPr>
            <w:r>
              <w:rPr>
                <w:rFonts w:ascii="Calibri" w:hAnsi="Calibri" w:eastAsia="Calibri"/>
                <w:b/>
                <w:color w:val="087E8B"/>
                <w:sz w:val="16"/>
              </w:rPr>
              <w:t>Partially Resolved</w:t>
            </w:r>
          </w:p>
        </w:tc>
      </w:tr>
      <w:tr w14:paraId="09A36E0F">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4777C0F2">
            <w:pPr>
              <w:spacing w:after="0"/>
            </w:pPr>
            <w:r>
              <w:rPr>
                <w:rFonts w:ascii="Calibri" w:hAnsi="Calibri" w:eastAsia="Calibri"/>
                <w:b/>
                <w:color w:val="17213C"/>
                <w:sz w:val="15"/>
              </w:rPr>
              <w:t>AFFECTED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55DE8A6">
            <w:pPr>
              <w:spacing w:after="0"/>
            </w:pPr>
            <w:r>
              <w:rPr>
                <w:rFonts w:ascii="Calibri" w:hAnsi="Calibri" w:eastAsia="Calibri"/>
                <w:color w:val="222A35"/>
                <w:sz w:val="16"/>
              </w:rPr>
              <w:t>AegentSwapV2; AegentMarketRegistry; oracle-breaker keeper</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68A0B911">
            <w:pPr>
              <w:spacing w:after="0"/>
            </w:pPr>
            <w:r>
              <w:rPr>
                <w:rFonts w:ascii="Calibri" w:hAnsi="Calibri" w:eastAsia="Calibri"/>
                <w:b/>
                <w:color w:val="17213C"/>
                <w:sz w:val="15"/>
              </w:rPr>
              <w:t>LIKELIHOOD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962252C">
            <w:pPr>
              <w:spacing w:after="0"/>
            </w:pPr>
            <w:r>
              <w:rPr>
                <w:rFonts w:ascii="Calibri" w:hAnsi="Calibri" w:eastAsia="Calibri"/>
                <w:color w:val="222A35"/>
                <w:sz w:val="16"/>
              </w:rPr>
              <w:t>Low to Medium</w:t>
            </w:r>
          </w:p>
        </w:tc>
      </w:tr>
      <w:tr w14:paraId="07CCF99B">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855600D">
            <w:pPr>
              <w:spacing w:after="0"/>
            </w:pPr>
            <w:r>
              <w:rPr>
                <w:rFonts w:ascii="Calibri" w:hAnsi="Calibri" w:eastAsia="Calibri"/>
                <w:b/>
                <w:color w:val="17213C"/>
                <w:sz w:val="15"/>
              </w:rPr>
              <w:t>IMPACT</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656BE16">
            <w:pPr>
              <w:spacing w:after="0"/>
            </w:pPr>
            <w:r>
              <w:rPr>
                <w:rFonts w:ascii="Calibri" w:hAnsi="Calibri" w:eastAsia="Calibri"/>
                <w:color w:val="222A35"/>
                <w:sz w:val="16"/>
              </w:rPr>
              <w:t>Incorrect purchase valuation if a valid-looking feed value is materially wrong</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42F454D">
            <w:pPr>
              <w:spacing w:after="0"/>
            </w:pPr>
            <w:r>
              <w:rPr>
                <w:rFonts w:ascii="Calibri" w:hAnsi="Calibri" w:eastAsia="Calibri"/>
                <w:b/>
                <w:color w:val="17213C"/>
                <w:sz w:val="15"/>
              </w:rPr>
              <w:t>EVIDENCE</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1055980">
            <w:pPr>
              <w:spacing w:after="0"/>
            </w:pPr>
            <w:r>
              <w:rPr>
                <w:rFonts w:ascii="Calibri" w:hAnsi="Calibri" w:eastAsia="Calibri"/>
                <w:color w:val="222A35"/>
                <w:sz w:val="16"/>
              </w:rPr>
              <w:t>AegentSwapV2.sol:38–53, 346–463, 843–879, 970–1055; AegentMarketRegistry.sol:143–181</w:t>
            </w:r>
          </w:p>
        </w:tc>
      </w:tr>
      <w:tr w14:paraId="49A5CC27">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75DFC87F">
            <w:pPr>
              <w:spacing w:after="0"/>
            </w:pPr>
            <w:r>
              <w:rPr>
                <w:rFonts w:ascii="Calibri" w:hAnsi="Calibri" w:eastAsia="Calibri"/>
                <w:b/>
                <w:color w:val="17213C"/>
                <w:sz w:val="15"/>
              </w:rPr>
              <w:t>REPORT ID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1315160">
            <w:pPr>
              <w:spacing w:after="0"/>
            </w:pPr>
            <w:r>
              <w:rPr>
                <w:rFonts w:ascii="Calibri" w:hAnsi="Calibri" w:eastAsia="Calibri"/>
                <w:color w:val="222A35"/>
                <w:sz w:val="16"/>
              </w:rPr>
              <w:t>MED-03</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6F054B59">
            <w:pPr>
              <w:spacing w:after="0"/>
            </w:pPr>
            <w:r>
              <w:rPr>
                <w:rFonts w:ascii="Calibri" w:hAnsi="Calibri" w:eastAsia="Calibri"/>
                <w:b/>
                <w:color w:val="17213C"/>
                <w:sz w:val="15"/>
              </w:rPr>
              <w:t>SNAPSHOT</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811B13B">
            <w:pPr>
              <w:spacing w:after="0"/>
            </w:pPr>
            <w:r>
              <w:rPr>
                <w:rFonts w:ascii="Calibri" w:hAnsi="Calibri" w:eastAsia="Calibri"/>
                <w:color w:val="222A35"/>
                <w:sz w:val="16"/>
              </w:rPr>
              <w:t>20260730T020710Z</w:t>
            </w:r>
          </w:p>
        </w:tc>
      </w:tr>
    </w:tbl>
    <w:p w14:paraId="24E6CDF7">
      <w:pPr>
        <w:spacing w:after="20"/>
      </w:pPr>
    </w:p>
    <w:p w14:paraId="7CB544A4">
      <w:pPr>
        <w:pStyle w:val="169"/>
      </w:pPr>
      <w:r>
        <w:t>Description</w:t>
      </w:r>
    </w:p>
    <w:p w14:paraId="687A862D">
      <w:r>
        <w:rPr>
          <w:rFonts w:ascii="Calibri" w:hAnsi="Calibri" w:eastAsia="Calibri"/>
        </w:rPr>
        <w:t>The snapshot adds per-feed maximum age, absolute bounds, deviation limits, reference prices and a permissionless circuit breaker that persistently pauses purchase-capable modes. Registry logic rejects breaker calls after sale end and from uncommitted endpoints.</w:t>
      </w:r>
    </w:p>
    <w:p w14:paraId="5ADC34C1">
      <w:pPr>
        <w:pStyle w:val="169"/>
      </w:pPr>
      <w:r>
        <w:t>Impact and exploit conditions</w:t>
      </w:r>
    </w:p>
    <w:p w14:paraId="220D7E97">
      <w:r>
        <w:rPr>
          <w:rFonts w:ascii="Calibri" w:hAnsi="Calibri" w:eastAsia="Calibri"/>
        </w:rPr>
        <w:t>Incorrect purchase valuation if a valid-looking feed value is materially wrong.</w:t>
      </w:r>
    </w:p>
    <w:p w14:paraId="0657031C">
      <w:r>
        <w:rPr>
          <w:rFonts w:ascii="Calibri" w:hAnsi="Calibri" w:eastAsia="Calibri"/>
        </w:rPr>
        <w:t>Residual exposure remains if the single upstream source is compromised within configured bounds, if the owner sets an unsafe reference while paused, or if operational monitoring, RPC access and gas are unavailable.</w:t>
      </w:r>
    </w:p>
    <w:p w14:paraId="051C0E5A">
      <w:pPr>
        <w:pStyle w:val="169"/>
      </w:pPr>
      <w:r>
        <w:t>Recommendation</w:t>
      </w:r>
    </w:p>
    <w:p w14:paraId="6D4E2F22">
      <w:r>
        <w:rPr>
          <w:rFonts w:ascii="Calibri" w:hAnsi="Calibri" w:eastAsia="Calibri"/>
        </w:rPr>
        <w:t>Control oracle-risk configuration through a multisig and timelock, monitor reference-price changes, document per-feed heartbeats, and consider a secondary source or TWAP for high-value execution.</w:t>
      </w:r>
    </w:p>
    <w:p w14:paraId="53A1DD58">
      <w:pPr>
        <w:pStyle w:val="169"/>
      </w:pPr>
      <w:r>
        <w:t>Validation status</w:t>
      </w:r>
    </w:p>
    <w:tbl>
      <w:tblPr>
        <w:tblStyle w:val="34"/>
        <w:tblW w:w="9360" w:type="dxa"/>
        <w:jc w:val="center"/>
        <w:tblLayout w:type="fixed"/>
        <w:tblCellMar>
          <w:top w:w="0" w:type="dxa"/>
          <w:left w:w="108" w:type="dxa"/>
          <w:bottom w:w="0" w:type="dxa"/>
          <w:right w:w="108" w:type="dxa"/>
        </w:tblCellMar>
      </w:tblPr>
      <w:tblGrid>
        <w:gridCol w:w="9360"/>
      </w:tblGrid>
      <w:tr w14:paraId="1F38DA4E">
        <w:tblPrEx>
          <w:tblCellMar>
            <w:top w:w="0" w:type="dxa"/>
            <w:left w:w="108" w:type="dxa"/>
            <w:bottom w:w="0" w:type="dxa"/>
            <w:right w:w="108" w:type="dxa"/>
          </w:tblCellMar>
        </w:tblPrEx>
        <w:trPr>
          <w:jc w:val="center"/>
        </w:trPr>
        <w:tc>
          <w:tcPr>
            <w:tcW w:w="9360" w:type="dxa"/>
            <w:tcBorders>
              <w:top w:val="single" w:color="E7F7F8" w:sz="0" w:space="0"/>
              <w:left w:val="single" w:color="E7F7F8" w:sz="0" w:space="0"/>
              <w:bottom w:val="single" w:color="E7F7F8" w:sz="0" w:space="0"/>
              <w:right w:val="single" w:color="E7F7F8" w:sz="0" w:space="0"/>
              <w:insideH w:val="single" w:sz="0" w:space="0"/>
              <w:insideV w:val="single" w:sz="0" w:space="0"/>
            </w:tcBorders>
            <w:shd w:val="clear" w:color="auto" w:fill="E7F7F8"/>
            <w:tcMar>
              <w:top w:w="80" w:type="dxa"/>
              <w:left w:w="120" w:type="dxa"/>
              <w:bottom w:w="80" w:type="dxa"/>
              <w:right w:w="120" w:type="dxa"/>
            </w:tcMar>
            <w:vAlign w:val="center"/>
          </w:tcPr>
          <w:p w14:paraId="05952BBC">
            <w:pPr>
              <w:pBdr>
                <w:left w:val="single" w:color="087E8B" w:sz="22" w:space="10"/>
              </w:pBdr>
              <w:spacing w:after="60"/>
            </w:pPr>
            <w:r>
              <w:rPr>
                <w:rFonts w:ascii="Calibri" w:hAnsi="Calibri" w:eastAsia="Calibri"/>
                <w:b/>
                <w:color w:val="087E8B"/>
                <w:sz w:val="18"/>
              </w:rPr>
              <w:t>PARTIALLY RESOLVED</w:t>
            </w:r>
          </w:p>
          <w:p w14:paraId="2F06C91A">
            <w:pPr>
              <w:pBdr>
                <w:left w:val="single" w:color="087E8B" w:sz="22" w:space="10"/>
              </w:pBdr>
              <w:spacing w:after="0"/>
            </w:pPr>
            <w:r>
              <w:rPr>
                <w:rFonts w:ascii="Calibri" w:hAnsi="Calibri" w:eastAsia="Calibri"/>
                <w:color w:val="222A35"/>
                <w:sz w:val="21"/>
              </w:rPr>
              <w:t>Fresh tests passed for per-feed ages, bounds, deviation checks, breaker classification, permissionless trip behavior, post-sale rejection and post-launch redemption continuity. Residual operational assumptions were not eliminated.</w:t>
            </w:r>
          </w:p>
        </w:tc>
      </w:tr>
    </w:tbl>
    <w:p w14:paraId="34D7A39D">
      <w:pPr>
        <w:spacing w:after="20"/>
      </w:pPr>
    </w:p>
    <w:p w14:paraId="4F3A6885">
      <w:r>
        <w:br w:type="page"/>
      </w:r>
    </w:p>
    <w:p w14:paraId="4C176331">
      <w:pPr>
        <w:pStyle w:val="4"/>
        <w:keepNext/>
      </w:pPr>
      <w:bookmarkStart w:id="24" w:name="_Toc8131"/>
      <w:r>
        <w:t>6.4 MED-04 — Staking oracle controls are materially weaker than purchase controls</w:t>
      </w:r>
      <w:bookmarkEnd w:id="24"/>
    </w:p>
    <w:tbl>
      <w:tblPr>
        <w:tblStyle w:val="34"/>
        <w:tblW w:w="9360" w:type="dxa"/>
        <w:jc w:val="center"/>
        <w:tblLayout w:type="fixed"/>
        <w:tblCellMar>
          <w:top w:w="0" w:type="dxa"/>
          <w:left w:w="108" w:type="dxa"/>
          <w:bottom w:w="0" w:type="dxa"/>
          <w:right w:w="108" w:type="dxa"/>
        </w:tblCellMar>
      </w:tblPr>
      <w:tblGrid>
        <w:gridCol w:w="1550"/>
        <w:gridCol w:w="3130"/>
        <w:gridCol w:w="1550"/>
        <w:gridCol w:w="3130"/>
      </w:tblGrid>
      <w:tr w14:paraId="0A053BA6">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0B98A58">
            <w:pPr>
              <w:spacing w:after="0"/>
            </w:pPr>
            <w:r>
              <w:rPr>
                <w:rFonts w:ascii="Calibri" w:hAnsi="Calibri" w:eastAsia="Calibri"/>
                <w:b/>
                <w:color w:val="17213C"/>
                <w:sz w:val="15"/>
              </w:rPr>
              <w:t>SEVERITY</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FF4E5"/>
            <w:tcMar>
              <w:top w:w="80" w:type="dxa"/>
              <w:left w:w="120" w:type="dxa"/>
              <w:bottom w:w="80" w:type="dxa"/>
              <w:right w:w="120" w:type="dxa"/>
            </w:tcMar>
            <w:vAlign w:val="center"/>
          </w:tcPr>
          <w:p w14:paraId="72505C68">
            <w:pPr>
              <w:spacing w:after="0"/>
            </w:pPr>
            <w:r>
              <w:rPr>
                <w:rFonts w:ascii="Calibri" w:hAnsi="Calibri" w:eastAsia="Calibri"/>
                <w:b/>
                <w:color w:val="B54708"/>
                <w:sz w:val="17"/>
              </w:rPr>
              <w:t>Medium</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76801E09">
            <w:pPr>
              <w:spacing w:after="0"/>
            </w:pPr>
            <w:r>
              <w:rPr>
                <w:rFonts w:ascii="Calibri" w:hAnsi="Calibri" w:eastAsia="Calibri"/>
                <w:b/>
                <w:color w:val="17213C"/>
                <w:sz w:val="15"/>
              </w:rPr>
              <w:t>STATUS</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EECEB"/>
            <w:tcMar>
              <w:top w:w="80" w:type="dxa"/>
              <w:left w:w="120" w:type="dxa"/>
              <w:bottom w:w="80" w:type="dxa"/>
              <w:right w:w="120" w:type="dxa"/>
            </w:tcMar>
            <w:vAlign w:val="center"/>
          </w:tcPr>
          <w:p w14:paraId="28B6B606">
            <w:pPr>
              <w:spacing w:after="0"/>
            </w:pPr>
            <w:r>
              <w:rPr>
                <w:rFonts w:ascii="Calibri" w:hAnsi="Calibri" w:eastAsia="Calibri"/>
                <w:b/>
                <w:color w:val="B42318"/>
                <w:sz w:val="16"/>
              </w:rPr>
              <w:t>Open</w:t>
            </w:r>
          </w:p>
        </w:tc>
      </w:tr>
      <w:tr w14:paraId="212C0394">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1311CBB0">
            <w:pPr>
              <w:spacing w:after="0"/>
            </w:pPr>
            <w:r>
              <w:rPr>
                <w:rFonts w:ascii="Calibri" w:hAnsi="Calibri" w:eastAsia="Calibri"/>
                <w:b/>
                <w:color w:val="17213C"/>
                <w:sz w:val="15"/>
              </w:rPr>
              <w:t>AFFECTED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D669A18">
            <w:pPr>
              <w:spacing w:after="0"/>
            </w:pPr>
            <w:r>
              <w:rPr>
                <w:rFonts w:ascii="Calibri" w:hAnsi="Calibri" w:eastAsia="Calibri"/>
                <w:color w:val="222A35"/>
                <w:sz w:val="16"/>
              </w:rPr>
              <w:t>AegentStakingV1</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73392D61">
            <w:pPr>
              <w:spacing w:after="0"/>
            </w:pPr>
            <w:r>
              <w:rPr>
                <w:rFonts w:ascii="Calibri" w:hAnsi="Calibri" w:eastAsia="Calibri"/>
                <w:b/>
                <w:color w:val="17213C"/>
                <w:sz w:val="15"/>
              </w:rPr>
              <w:t>LIKELIHOOD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53DB0E5">
            <w:pPr>
              <w:spacing w:after="0"/>
            </w:pPr>
            <w:r>
              <w:rPr>
                <w:rFonts w:ascii="Calibri" w:hAnsi="Calibri" w:eastAsia="Calibri"/>
                <w:color w:val="222A35"/>
                <w:sz w:val="16"/>
              </w:rPr>
              <w:t>Medium</w:t>
            </w:r>
          </w:p>
        </w:tc>
      </w:tr>
      <w:tr w14:paraId="5FC42F5B">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3C6293C">
            <w:pPr>
              <w:spacing w:after="0"/>
            </w:pPr>
            <w:r>
              <w:rPr>
                <w:rFonts w:ascii="Calibri" w:hAnsi="Calibri" w:eastAsia="Calibri"/>
                <w:b/>
                <w:color w:val="17213C"/>
                <w:sz w:val="15"/>
              </w:rPr>
              <w:t>IMPACT</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1892027">
            <w:pPr>
              <w:spacing w:after="0"/>
            </w:pPr>
            <w:r>
              <w:rPr>
                <w:rFonts w:ascii="Calibri" w:hAnsi="Calibri" w:eastAsia="Calibri"/>
                <w:color w:val="222A35"/>
                <w:sz w:val="16"/>
              </w:rPr>
              <w:t>Inflated AGNT entitlement and reserve depletion from a fresh but anomalous BNB price</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102A4F06">
            <w:pPr>
              <w:spacing w:after="0"/>
            </w:pPr>
            <w:r>
              <w:rPr>
                <w:rFonts w:ascii="Calibri" w:hAnsi="Calibri" w:eastAsia="Calibri"/>
                <w:b/>
                <w:color w:val="17213C"/>
                <w:sz w:val="15"/>
              </w:rPr>
              <w:t>EVIDENCE</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9175280">
            <w:pPr>
              <w:spacing w:after="0"/>
            </w:pPr>
            <w:r>
              <w:rPr>
                <w:rFonts w:ascii="Calibri" w:hAnsi="Calibri" w:eastAsia="Calibri"/>
                <w:color w:val="222A35"/>
                <w:sz w:val="16"/>
              </w:rPr>
              <w:t>AegentStakingV1.sol:113, 133–190, 240–261, 493–517</w:t>
            </w:r>
          </w:p>
        </w:tc>
      </w:tr>
      <w:tr w14:paraId="23331E96">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29B754F1">
            <w:pPr>
              <w:spacing w:after="0"/>
            </w:pPr>
            <w:r>
              <w:rPr>
                <w:rFonts w:ascii="Calibri" w:hAnsi="Calibri" w:eastAsia="Calibri"/>
                <w:b/>
                <w:color w:val="17213C"/>
                <w:sz w:val="15"/>
              </w:rPr>
              <w:t>REPORT ID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1A29689">
            <w:pPr>
              <w:spacing w:after="0"/>
            </w:pPr>
            <w:r>
              <w:rPr>
                <w:rFonts w:ascii="Calibri" w:hAnsi="Calibri" w:eastAsia="Calibri"/>
                <w:color w:val="222A35"/>
                <w:sz w:val="16"/>
              </w:rPr>
              <w:t>MED-04</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85313CF">
            <w:pPr>
              <w:spacing w:after="0"/>
            </w:pPr>
            <w:r>
              <w:rPr>
                <w:rFonts w:ascii="Calibri" w:hAnsi="Calibri" w:eastAsia="Calibri"/>
                <w:b/>
                <w:color w:val="17213C"/>
                <w:sz w:val="15"/>
              </w:rPr>
              <w:t>SNAPSHOT</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E1B29F2">
            <w:pPr>
              <w:spacing w:after="0"/>
            </w:pPr>
            <w:r>
              <w:rPr>
                <w:rFonts w:ascii="Calibri" w:hAnsi="Calibri" w:eastAsia="Calibri"/>
                <w:color w:val="222A35"/>
                <w:sz w:val="16"/>
              </w:rPr>
              <w:t>20260730T020710Z</w:t>
            </w:r>
          </w:p>
        </w:tc>
      </w:tr>
    </w:tbl>
    <w:p w14:paraId="79017885">
      <w:pPr>
        <w:spacing w:after="20"/>
      </w:pPr>
    </w:p>
    <w:p w14:paraId="2E8640B1">
      <w:pPr>
        <w:pStyle w:val="169"/>
      </w:pPr>
      <w:r>
        <w:t>Description</w:t>
      </w:r>
    </w:p>
    <w:p w14:paraId="6C4FD5B1">
      <w:r>
        <w:rPr>
          <w:rFonts w:ascii="Calibri" w:hAnsi="Calibri" w:eastAsia="Calibri"/>
        </w:rPr>
        <w:t>Staking uses one immutable maxOracleAge for both feeds and accepts any positive, non-future, round-complete value within that age. It has no per-feed heartbeat cap, absolute price bounds, deviation limit, reference price or circuit breaker. BNB valuation is not capped; a fresh extreme value can create an excessive AGNT entitlement. USDT valuation caps prices above one dollar but still relies on user minOut for low-price protection.</w:t>
      </w:r>
    </w:p>
    <w:p w14:paraId="6547F7BA">
      <w:pPr>
        <w:pStyle w:val="166"/>
        <w:pBdr>
          <w:left w:val="single" w:color="98A2B3" w:sz="10" w:space="6"/>
        </w:pBdr>
        <w:shd w:val="clear" w:fill="F6F8FA"/>
      </w:pPr>
      <w:r>
        <w:rPr>
          <w:rFonts w:ascii="Courier New" w:hAnsi="Courier New" w:eastAsia="Courier New"/>
          <w:sz w:val="17"/>
        </w:rPr>
        <w:t>uint256 public immutable maxOracleAge;</w:t>
      </w:r>
      <w:r>
        <w:br w:type="textWrapping"/>
      </w:r>
      <w:r>
        <w:rPr>
          <w:rFonts w:ascii="Courier New" w:hAnsi="Courier New" w:eastAsia="Courier New"/>
          <w:sz w:val="17"/>
        </w:rPr>
        <w:t>...</w:t>
      </w:r>
      <w:r>
        <w:br w:type="textWrapping"/>
      </w:r>
      <w:r>
        <w:rPr>
          <w:rFonts w:ascii="Courier New" w:hAnsi="Courier New" w:eastAsia="Courier New"/>
          <w:sz w:val="17"/>
        </w:rPr>
        <w:t>if (block.timestamp - updatedAt &gt; maxOracleAge) {</w:t>
      </w:r>
      <w:r>
        <w:br w:type="textWrapping"/>
      </w:r>
      <w:r>
        <w:rPr>
          <w:rFonts w:ascii="Courier New" w:hAnsi="Courier New" w:eastAsia="Courier New"/>
          <w:sz w:val="17"/>
        </w:rPr>
        <w:t xml:space="preserve">    revert StaleOraclePrice(address(feed), updatedAt);</w:t>
      </w:r>
      <w:r>
        <w:br w:type="textWrapping"/>
      </w:r>
      <w:r>
        <w:rPr>
          <w:rFonts w:ascii="Courier New" w:hAnsi="Courier New" w:eastAsia="Courier New"/>
          <w:sz w:val="17"/>
        </w:rPr>
        <w:t>}</w:t>
      </w:r>
      <w:r>
        <w:br w:type="textWrapping"/>
      </w:r>
      <w:r>
        <w:rPr>
          <w:rFonts w:ascii="Courier New" w:hAnsi="Courier New" w:eastAsia="Courier New"/>
          <w:sz w:val="17"/>
        </w:rPr>
        <w:t>return uint256(answer) * feedScale;</w:t>
      </w:r>
    </w:p>
    <w:p w14:paraId="073413F0">
      <w:pPr>
        <w:pStyle w:val="169"/>
      </w:pPr>
      <w:r>
        <w:t>Impact and exploit conditions</w:t>
      </w:r>
    </w:p>
    <w:p w14:paraId="27630BE0">
      <w:r>
        <w:rPr>
          <w:rFonts w:ascii="Calibri" w:hAnsi="Calibri" w:eastAsia="Calibri"/>
        </w:rPr>
        <w:t>Inflated AGNT entitlement and reserve depletion from a fresh but anomalous BNB price.</w:t>
      </w:r>
    </w:p>
    <w:p w14:paraId="4A1E43F5">
      <w:r>
        <w:rPr>
          <w:rFonts w:ascii="Calibri" w:hAnsi="Calibri" w:eastAsia="Calibri"/>
        </w:rPr>
        <w:t>An oracle, upstream data path or feed configuration returns a fresh, positive but materially incorrect value. A user executes before operators can close deposits.</w:t>
      </w:r>
    </w:p>
    <w:p w14:paraId="7BE742B4">
      <w:pPr>
        <w:pStyle w:val="169"/>
      </w:pPr>
      <w:r>
        <w:t>Recommendation</w:t>
      </w:r>
    </w:p>
    <w:p w14:paraId="261E9456">
      <w:r>
        <w:rPr>
          <w:rFonts w:ascii="Calibri" w:hAnsi="Calibri" w:eastAsia="Calibri"/>
        </w:rPr>
        <w:t>Reuse the Swap oracle-risk model: bounded per-feed maximum age, min/max price, reference/deviation validation, permissionless persistent breaker, and explicit tests at the first representable boundary breach. Enforce a safe upper bound on configured heartbeat.</w:t>
      </w:r>
    </w:p>
    <w:p w14:paraId="78E240A6">
      <w:pPr>
        <w:pStyle w:val="169"/>
      </w:pPr>
      <w:r>
        <w:t>Validation status</w:t>
      </w:r>
    </w:p>
    <w:tbl>
      <w:tblPr>
        <w:tblStyle w:val="34"/>
        <w:tblW w:w="9360" w:type="dxa"/>
        <w:jc w:val="center"/>
        <w:tblLayout w:type="fixed"/>
        <w:tblCellMar>
          <w:top w:w="0" w:type="dxa"/>
          <w:left w:w="108" w:type="dxa"/>
          <w:bottom w:w="0" w:type="dxa"/>
          <w:right w:w="108" w:type="dxa"/>
        </w:tblCellMar>
      </w:tblPr>
      <w:tblGrid>
        <w:gridCol w:w="9360"/>
      </w:tblGrid>
      <w:tr w14:paraId="3DB48793">
        <w:tblPrEx>
          <w:tblCellMar>
            <w:top w:w="0" w:type="dxa"/>
            <w:left w:w="108" w:type="dxa"/>
            <w:bottom w:w="0" w:type="dxa"/>
            <w:right w:w="108" w:type="dxa"/>
          </w:tblCellMar>
        </w:tblPrEx>
        <w:trPr>
          <w:jc w:val="center"/>
        </w:trPr>
        <w:tc>
          <w:tcPr>
            <w:tcW w:w="9360" w:type="dxa"/>
            <w:tcBorders>
              <w:top w:val="single" w:color="FEECEB" w:sz="0" w:space="0"/>
              <w:left w:val="single" w:color="FEECEB" w:sz="0" w:space="0"/>
              <w:bottom w:val="single" w:color="FEECEB" w:sz="0" w:space="0"/>
              <w:right w:val="single" w:color="FEECEB" w:sz="0" w:space="0"/>
              <w:insideH w:val="single" w:sz="0" w:space="0"/>
              <w:insideV w:val="single" w:sz="0" w:space="0"/>
            </w:tcBorders>
            <w:shd w:val="clear" w:color="auto" w:fill="FEECEB"/>
            <w:tcMar>
              <w:top w:w="80" w:type="dxa"/>
              <w:left w:w="120" w:type="dxa"/>
              <w:bottom w:w="80" w:type="dxa"/>
              <w:right w:w="120" w:type="dxa"/>
            </w:tcMar>
            <w:vAlign w:val="center"/>
          </w:tcPr>
          <w:p w14:paraId="0F3C0F6B">
            <w:pPr>
              <w:pBdr>
                <w:left w:val="single" w:color="B42318" w:sz="22" w:space="10"/>
              </w:pBdr>
              <w:spacing w:after="60"/>
            </w:pPr>
            <w:r>
              <w:rPr>
                <w:rFonts w:ascii="Calibri" w:hAnsi="Calibri" w:eastAsia="Calibri"/>
                <w:b/>
                <w:color w:val="B42318"/>
                <w:sz w:val="18"/>
              </w:rPr>
              <w:t>OPEN</w:t>
            </w:r>
          </w:p>
          <w:p w14:paraId="5229B8B2">
            <w:pPr>
              <w:pBdr>
                <w:left w:val="single" w:color="B42318" w:sz="22" w:space="10"/>
              </w:pBdr>
              <w:spacing w:after="0"/>
            </w:pPr>
            <w:r>
              <w:rPr>
                <w:rFonts w:ascii="Calibri" w:hAnsi="Calibri" w:eastAsia="Calibri"/>
                <w:color w:val="222A35"/>
                <w:sz w:val="21"/>
              </w:rPr>
              <w:t>No remediation for this issue exists in the reviewed snapshot. Existing tests cover stale, future, incomplete and non-positive rounds but do not provide the missing bounds/deviation controls.</w:t>
            </w:r>
          </w:p>
        </w:tc>
      </w:tr>
    </w:tbl>
    <w:p w14:paraId="22CF18D5">
      <w:pPr>
        <w:spacing w:after="20"/>
      </w:pPr>
    </w:p>
    <w:p w14:paraId="543F4497">
      <w:r>
        <w:br w:type="page"/>
      </w:r>
    </w:p>
    <w:p w14:paraId="5D7D8BD7">
      <w:pPr>
        <w:pStyle w:val="4"/>
        <w:keepNext/>
      </w:pPr>
      <w:bookmarkStart w:id="25" w:name="_Toc23321"/>
      <w:r>
        <w:t>6.5 LOW-01 — UTC day buckets permit a short-window boundary burst</w:t>
      </w:r>
      <w:bookmarkEnd w:id="25"/>
    </w:p>
    <w:tbl>
      <w:tblPr>
        <w:tblStyle w:val="34"/>
        <w:tblW w:w="9360" w:type="dxa"/>
        <w:jc w:val="center"/>
        <w:tblLayout w:type="fixed"/>
        <w:tblCellMar>
          <w:top w:w="0" w:type="dxa"/>
          <w:left w:w="108" w:type="dxa"/>
          <w:bottom w:w="0" w:type="dxa"/>
          <w:right w:w="108" w:type="dxa"/>
        </w:tblCellMar>
      </w:tblPr>
      <w:tblGrid>
        <w:gridCol w:w="1550"/>
        <w:gridCol w:w="3130"/>
        <w:gridCol w:w="1550"/>
        <w:gridCol w:w="3130"/>
      </w:tblGrid>
      <w:tr w14:paraId="3C5DE992">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64D047C1">
            <w:pPr>
              <w:spacing w:after="0"/>
            </w:pPr>
            <w:r>
              <w:rPr>
                <w:rFonts w:ascii="Calibri" w:hAnsi="Calibri" w:eastAsia="Calibri"/>
                <w:b/>
                <w:color w:val="17213C"/>
                <w:sz w:val="15"/>
              </w:rPr>
              <w:t>SEVERITY</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FF8C5"/>
            <w:tcMar>
              <w:top w:w="80" w:type="dxa"/>
              <w:left w:w="120" w:type="dxa"/>
              <w:bottom w:w="80" w:type="dxa"/>
              <w:right w:w="120" w:type="dxa"/>
            </w:tcMar>
            <w:vAlign w:val="center"/>
          </w:tcPr>
          <w:p w14:paraId="6A13E30F">
            <w:pPr>
              <w:spacing w:after="0"/>
            </w:pPr>
            <w:r>
              <w:rPr>
                <w:rFonts w:ascii="Calibri" w:hAnsi="Calibri" w:eastAsia="Calibri"/>
                <w:b/>
                <w:color w:val="9A6700"/>
                <w:sz w:val="17"/>
              </w:rPr>
              <w:t>Low</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FC2EA02">
            <w:pPr>
              <w:spacing w:after="0"/>
            </w:pPr>
            <w:r>
              <w:rPr>
                <w:rFonts w:ascii="Calibri" w:hAnsi="Calibri" w:eastAsia="Calibri"/>
                <w:b/>
                <w:color w:val="17213C"/>
                <w:sz w:val="15"/>
              </w:rPr>
              <w:t>STATUS</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EECEB"/>
            <w:tcMar>
              <w:top w:w="80" w:type="dxa"/>
              <w:left w:w="120" w:type="dxa"/>
              <w:bottom w:w="80" w:type="dxa"/>
              <w:right w:w="120" w:type="dxa"/>
            </w:tcMar>
            <w:vAlign w:val="center"/>
          </w:tcPr>
          <w:p w14:paraId="739CE20C">
            <w:pPr>
              <w:spacing w:after="0"/>
            </w:pPr>
            <w:r>
              <w:rPr>
                <w:rFonts w:ascii="Calibri" w:hAnsi="Calibri" w:eastAsia="Calibri"/>
                <w:b/>
                <w:color w:val="B42318"/>
                <w:sz w:val="16"/>
              </w:rPr>
              <w:t>Open</w:t>
            </w:r>
          </w:p>
        </w:tc>
      </w:tr>
      <w:tr w14:paraId="650397BD">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6AB4CEBC">
            <w:pPr>
              <w:spacing w:after="0"/>
            </w:pPr>
            <w:r>
              <w:rPr>
                <w:rFonts w:ascii="Calibri" w:hAnsi="Calibri" w:eastAsia="Calibri"/>
                <w:b/>
                <w:color w:val="17213C"/>
                <w:sz w:val="15"/>
              </w:rPr>
              <w:t>AFFECTED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68F3DE2">
            <w:pPr>
              <w:spacing w:after="0"/>
            </w:pPr>
            <w:r>
              <w:rPr>
                <w:rFonts w:ascii="Calibri" w:hAnsi="Calibri" w:eastAsia="Calibri"/>
                <w:color w:val="222A35"/>
                <w:sz w:val="16"/>
              </w:rPr>
              <w:t>AegentRedemptionV2</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508CFBCD">
            <w:pPr>
              <w:spacing w:after="0"/>
            </w:pPr>
            <w:r>
              <w:rPr>
                <w:rFonts w:ascii="Calibri" w:hAnsi="Calibri" w:eastAsia="Calibri"/>
                <w:b/>
                <w:color w:val="17213C"/>
                <w:sz w:val="15"/>
              </w:rPr>
              <w:t>LIKELIHOOD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7DD8302">
            <w:pPr>
              <w:spacing w:after="0"/>
            </w:pPr>
            <w:r>
              <w:rPr>
                <w:rFonts w:ascii="Calibri" w:hAnsi="Calibri" w:eastAsia="Calibri"/>
                <w:color w:val="222A35"/>
                <w:sz w:val="16"/>
              </w:rPr>
              <w:t>Medium</w:t>
            </w:r>
          </w:p>
        </w:tc>
      </w:tr>
      <w:tr w14:paraId="099F00E0">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465FEC35">
            <w:pPr>
              <w:spacing w:after="0"/>
            </w:pPr>
            <w:r>
              <w:rPr>
                <w:rFonts w:ascii="Calibri" w:hAnsi="Calibri" w:eastAsia="Calibri"/>
                <w:b/>
                <w:color w:val="17213C"/>
                <w:sz w:val="15"/>
              </w:rPr>
              <w:t>IMPACT</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C19CF5C">
            <w:pPr>
              <w:spacing w:after="0"/>
            </w:pPr>
            <w:r>
              <w:rPr>
                <w:rFonts w:ascii="Calibri" w:hAnsi="Calibri" w:eastAsia="Calibri"/>
                <w:color w:val="222A35"/>
                <w:sz w:val="16"/>
              </w:rPr>
              <w:t>A wallet can approach twice the nominal daily amount across UTC midnight</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1A16EC9">
            <w:pPr>
              <w:spacing w:after="0"/>
            </w:pPr>
            <w:r>
              <w:rPr>
                <w:rFonts w:ascii="Calibri" w:hAnsi="Calibri" w:eastAsia="Calibri"/>
                <w:b/>
                <w:color w:val="17213C"/>
                <w:sz w:val="15"/>
              </w:rPr>
              <w:t>EVIDENCE</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F7C58BC">
            <w:pPr>
              <w:spacing w:after="0"/>
            </w:pPr>
            <w:r>
              <w:rPr>
                <w:rFonts w:ascii="Calibri" w:hAnsi="Calibri" w:eastAsia="Calibri"/>
                <w:color w:val="222A35"/>
                <w:sz w:val="16"/>
              </w:rPr>
              <w:t>AegentRedemptionV2.sol:734–757</w:t>
            </w:r>
          </w:p>
        </w:tc>
      </w:tr>
      <w:tr w14:paraId="4AE897EB">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1BBAFB0">
            <w:pPr>
              <w:spacing w:after="0"/>
            </w:pPr>
            <w:r>
              <w:rPr>
                <w:rFonts w:ascii="Calibri" w:hAnsi="Calibri" w:eastAsia="Calibri"/>
                <w:b/>
                <w:color w:val="17213C"/>
                <w:sz w:val="15"/>
              </w:rPr>
              <w:t>REPORT ID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21A63B8">
            <w:pPr>
              <w:spacing w:after="0"/>
            </w:pPr>
            <w:r>
              <w:rPr>
                <w:rFonts w:ascii="Calibri" w:hAnsi="Calibri" w:eastAsia="Calibri"/>
                <w:color w:val="222A35"/>
                <w:sz w:val="16"/>
              </w:rPr>
              <w:t>LOW-01</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CD22DB1">
            <w:pPr>
              <w:spacing w:after="0"/>
            </w:pPr>
            <w:r>
              <w:rPr>
                <w:rFonts w:ascii="Calibri" w:hAnsi="Calibri" w:eastAsia="Calibri"/>
                <w:b/>
                <w:color w:val="17213C"/>
                <w:sz w:val="15"/>
              </w:rPr>
              <w:t>SNAPSHOT</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D2C92C9">
            <w:pPr>
              <w:spacing w:after="0"/>
            </w:pPr>
            <w:r>
              <w:rPr>
                <w:rFonts w:ascii="Calibri" w:hAnsi="Calibri" w:eastAsia="Calibri"/>
                <w:color w:val="222A35"/>
                <w:sz w:val="16"/>
              </w:rPr>
              <w:t>20260730T020710Z</w:t>
            </w:r>
          </w:p>
        </w:tc>
      </w:tr>
    </w:tbl>
    <w:p w14:paraId="1AB4950D">
      <w:pPr>
        <w:spacing w:after="20"/>
      </w:pPr>
    </w:p>
    <w:p w14:paraId="776DC953">
      <w:pPr>
        <w:pStyle w:val="169"/>
      </w:pPr>
      <w:r>
        <w:t>Description</w:t>
      </w:r>
    </w:p>
    <w:p w14:paraId="2CFA0513">
      <w:r>
        <w:rPr>
          <w:rFonts w:ascii="Calibri" w:hAnsi="Calibri" w:eastAsia="Calibri"/>
        </w:rPr>
        <w:t>Daily global and wallet counters use block.timestamp / 1 days. A wallet can consume the full limit immediately before UTC midnight and the next full limit immediately after the bucket changes.</w:t>
      </w:r>
    </w:p>
    <w:p w14:paraId="457E76A1">
      <w:pPr>
        <w:pStyle w:val="166"/>
        <w:pBdr>
          <w:left w:val="single" w:color="98A2B3" w:sz="10" w:space="6"/>
        </w:pBdr>
        <w:shd w:val="clear" w:fill="F6F8FA"/>
      </w:pPr>
      <w:r>
        <w:rPr>
          <w:rFonts w:ascii="Courier New" w:hAnsi="Courier New" w:eastAsia="Courier New"/>
          <w:sz w:val="17"/>
        </w:rPr>
        <w:t>quote.dayIndex = block.timestamp / 1 days;</w:t>
      </w:r>
    </w:p>
    <w:p w14:paraId="24A47A5C">
      <w:pPr>
        <w:pStyle w:val="169"/>
      </w:pPr>
      <w:r>
        <w:t>Impact and exploit conditions</w:t>
      </w:r>
    </w:p>
    <w:p w14:paraId="7576C391">
      <w:r>
        <w:rPr>
          <w:rFonts w:ascii="Calibri" w:hAnsi="Calibri" w:eastAsia="Calibri"/>
        </w:rPr>
        <w:t>A wallet can approach twice the nominal daily amount across UTC midnight.</w:t>
      </w:r>
    </w:p>
    <w:p w14:paraId="1FC089E7">
      <w:r>
        <w:rPr>
          <w:rFonts w:ascii="Calibri" w:hAnsi="Calibri" w:eastAsia="Calibri"/>
        </w:rPr>
        <w:t>The user has available entitlement and reserve on both sides of a UTC-day boundary. This is a rate-limit design issue, not a timestamp manipulation by a block producer.</w:t>
      </w:r>
    </w:p>
    <w:p w14:paraId="749D7852">
      <w:pPr>
        <w:pStyle w:val="169"/>
      </w:pPr>
      <w:r>
        <w:t>Recommendation</w:t>
      </w:r>
    </w:p>
    <w:p w14:paraId="4F3A466E">
      <w:r>
        <w:rPr>
          <w:rFonts w:ascii="Calibri" w:hAnsi="Calibri" w:eastAsia="Calibri"/>
        </w:rPr>
        <w:t>Use a rolling-window, token-bucket or decaying accumulator if the intended policy is a true 24-hour limit. Otherwise document the UTC-bucket behavior as an accepted business rule and monitor boundary utilization.</w:t>
      </w:r>
    </w:p>
    <w:p w14:paraId="3D14FEF3">
      <w:pPr>
        <w:pStyle w:val="169"/>
      </w:pPr>
      <w:r>
        <w:t>Validation status</w:t>
      </w:r>
    </w:p>
    <w:tbl>
      <w:tblPr>
        <w:tblStyle w:val="34"/>
        <w:tblW w:w="9360" w:type="dxa"/>
        <w:jc w:val="center"/>
        <w:tblLayout w:type="fixed"/>
        <w:tblCellMar>
          <w:top w:w="0" w:type="dxa"/>
          <w:left w:w="108" w:type="dxa"/>
          <w:bottom w:w="0" w:type="dxa"/>
          <w:right w:w="108" w:type="dxa"/>
        </w:tblCellMar>
      </w:tblPr>
      <w:tblGrid>
        <w:gridCol w:w="9360"/>
      </w:tblGrid>
      <w:tr w14:paraId="732AA1D6">
        <w:tblPrEx>
          <w:tblCellMar>
            <w:top w:w="0" w:type="dxa"/>
            <w:left w:w="108" w:type="dxa"/>
            <w:bottom w:w="0" w:type="dxa"/>
            <w:right w:w="108" w:type="dxa"/>
          </w:tblCellMar>
        </w:tblPrEx>
        <w:trPr>
          <w:jc w:val="center"/>
        </w:trPr>
        <w:tc>
          <w:tcPr>
            <w:tcW w:w="9360" w:type="dxa"/>
            <w:tcBorders>
              <w:top w:val="single" w:color="FEECEB" w:sz="0" w:space="0"/>
              <w:left w:val="single" w:color="FEECEB" w:sz="0" w:space="0"/>
              <w:bottom w:val="single" w:color="FEECEB" w:sz="0" w:space="0"/>
              <w:right w:val="single" w:color="FEECEB" w:sz="0" w:space="0"/>
              <w:insideH w:val="single" w:sz="0" w:space="0"/>
              <w:insideV w:val="single" w:sz="0" w:space="0"/>
            </w:tcBorders>
            <w:shd w:val="clear" w:color="auto" w:fill="FEECEB"/>
            <w:tcMar>
              <w:top w:w="80" w:type="dxa"/>
              <w:left w:w="120" w:type="dxa"/>
              <w:bottom w:w="80" w:type="dxa"/>
              <w:right w:w="120" w:type="dxa"/>
            </w:tcMar>
            <w:vAlign w:val="center"/>
          </w:tcPr>
          <w:p w14:paraId="370F3BD7">
            <w:pPr>
              <w:pBdr>
                <w:left w:val="single" w:color="B42318" w:sz="22" w:space="10"/>
              </w:pBdr>
              <w:spacing w:after="60"/>
            </w:pPr>
            <w:r>
              <w:rPr>
                <w:rFonts w:ascii="Calibri" w:hAnsi="Calibri" w:eastAsia="Calibri"/>
                <w:b/>
                <w:color w:val="B42318"/>
                <w:sz w:val="18"/>
              </w:rPr>
              <w:t>OPEN</w:t>
            </w:r>
          </w:p>
          <w:p w14:paraId="21421F17">
            <w:pPr>
              <w:pBdr>
                <w:left w:val="single" w:color="B42318" w:sz="22" w:space="10"/>
              </w:pBdr>
              <w:spacing w:after="0"/>
            </w:pPr>
            <w:r>
              <w:rPr>
                <w:rFonts w:ascii="Calibri" w:hAnsi="Calibri" w:eastAsia="Calibri"/>
                <w:color w:val="222A35"/>
                <w:sz w:val="21"/>
              </w:rPr>
              <w:t>The snapshot retains the UTC bucket; no rolling-window retest is available.</w:t>
            </w:r>
          </w:p>
        </w:tc>
      </w:tr>
    </w:tbl>
    <w:p w14:paraId="1544252A">
      <w:pPr>
        <w:spacing w:after="20"/>
      </w:pPr>
    </w:p>
    <w:p w14:paraId="00891C5B">
      <w:r>
        <w:br w:type="page"/>
      </w:r>
    </w:p>
    <w:p w14:paraId="1271B0B3">
      <w:pPr>
        <w:pStyle w:val="4"/>
        <w:keepNext/>
      </w:pPr>
      <w:bookmarkStart w:id="26" w:name="_Toc5445"/>
      <w:r>
        <w:t>6.6 INFO-01 — Privileged operations are not constrained by protocol-level multisig or timelock</w:t>
      </w:r>
      <w:bookmarkEnd w:id="26"/>
    </w:p>
    <w:tbl>
      <w:tblPr>
        <w:tblStyle w:val="34"/>
        <w:tblW w:w="9360" w:type="dxa"/>
        <w:jc w:val="center"/>
        <w:tblLayout w:type="fixed"/>
        <w:tblCellMar>
          <w:top w:w="0" w:type="dxa"/>
          <w:left w:w="108" w:type="dxa"/>
          <w:bottom w:w="0" w:type="dxa"/>
          <w:right w:w="108" w:type="dxa"/>
        </w:tblCellMar>
      </w:tblPr>
      <w:tblGrid>
        <w:gridCol w:w="1550"/>
        <w:gridCol w:w="3130"/>
        <w:gridCol w:w="1550"/>
        <w:gridCol w:w="3130"/>
      </w:tblGrid>
      <w:tr w14:paraId="372A527B">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62169399">
            <w:pPr>
              <w:spacing w:after="0"/>
            </w:pPr>
            <w:r>
              <w:rPr>
                <w:rFonts w:ascii="Calibri" w:hAnsi="Calibri" w:eastAsia="Calibri"/>
                <w:b/>
                <w:color w:val="17213C"/>
                <w:sz w:val="15"/>
              </w:rPr>
              <w:t>SEVERITY</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EAF2FF"/>
            <w:tcMar>
              <w:top w:w="80" w:type="dxa"/>
              <w:left w:w="120" w:type="dxa"/>
              <w:bottom w:w="80" w:type="dxa"/>
              <w:right w:w="120" w:type="dxa"/>
            </w:tcMar>
            <w:vAlign w:val="center"/>
          </w:tcPr>
          <w:p w14:paraId="6633229D">
            <w:pPr>
              <w:spacing w:after="0"/>
            </w:pPr>
            <w:r>
              <w:rPr>
                <w:rFonts w:ascii="Calibri" w:hAnsi="Calibri" w:eastAsia="Calibri"/>
                <w:b/>
                <w:color w:val="175CD3"/>
                <w:sz w:val="17"/>
              </w:rPr>
              <w:t>Informational</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4F975005">
            <w:pPr>
              <w:spacing w:after="0"/>
            </w:pPr>
            <w:r>
              <w:rPr>
                <w:rFonts w:ascii="Calibri" w:hAnsi="Calibri" w:eastAsia="Calibri"/>
                <w:b/>
                <w:color w:val="17213C"/>
                <w:sz w:val="15"/>
              </w:rPr>
              <w:t>STATUS</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EECEB"/>
            <w:tcMar>
              <w:top w:w="80" w:type="dxa"/>
              <w:left w:w="120" w:type="dxa"/>
              <w:bottom w:w="80" w:type="dxa"/>
              <w:right w:w="120" w:type="dxa"/>
            </w:tcMar>
            <w:vAlign w:val="center"/>
          </w:tcPr>
          <w:p w14:paraId="7AA15BAC">
            <w:pPr>
              <w:spacing w:after="0"/>
            </w:pPr>
            <w:r>
              <w:rPr>
                <w:rFonts w:ascii="Calibri" w:hAnsi="Calibri" w:eastAsia="Calibri"/>
                <w:b/>
                <w:color w:val="B42318"/>
                <w:sz w:val="16"/>
              </w:rPr>
              <w:t>Open</w:t>
            </w:r>
          </w:p>
        </w:tc>
      </w:tr>
      <w:tr w14:paraId="5B05A653">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2E3D6427">
            <w:pPr>
              <w:spacing w:after="0"/>
            </w:pPr>
            <w:r>
              <w:rPr>
                <w:rFonts w:ascii="Calibri" w:hAnsi="Calibri" w:eastAsia="Calibri"/>
                <w:b/>
                <w:color w:val="17213C"/>
                <w:sz w:val="15"/>
              </w:rPr>
              <w:t>AFFECTED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17622B9">
            <w:pPr>
              <w:spacing w:after="0"/>
            </w:pPr>
            <w:r>
              <w:rPr>
                <w:rFonts w:ascii="Calibri" w:hAnsi="Calibri" w:eastAsia="Calibri"/>
                <w:color w:val="222A35"/>
                <w:sz w:val="16"/>
              </w:rPr>
              <w:t>Registry; Swap; Redemption; Staking</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648997ED">
            <w:pPr>
              <w:spacing w:after="0"/>
            </w:pPr>
            <w:r>
              <w:rPr>
                <w:rFonts w:ascii="Calibri" w:hAnsi="Calibri" w:eastAsia="Calibri"/>
                <w:b/>
                <w:color w:val="17213C"/>
                <w:sz w:val="15"/>
              </w:rPr>
              <w:t>LIKELIHOOD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65E23DD">
            <w:pPr>
              <w:spacing w:after="0"/>
            </w:pPr>
            <w:r>
              <w:rPr>
                <w:rFonts w:ascii="Calibri" w:hAnsi="Calibri" w:eastAsia="Calibri"/>
                <w:color w:val="222A35"/>
                <w:sz w:val="16"/>
              </w:rPr>
              <w:t>Operational</w:t>
            </w:r>
          </w:p>
        </w:tc>
      </w:tr>
      <w:tr w14:paraId="23A9DD96">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264EB1CE">
            <w:pPr>
              <w:spacing w:after="0"/>
            </w:pPr>
            <w:r>
              <w:rPr>
                <w:rFonts w:ascii="Calibri" w:hAnsi="Calibri" w:eastAsia="Calibri"/>
                <w:b/>
                <w:color w:val="17213C"/>
                <w:sz w:val="15"/>
              </w:rPr>
              <w:t>IMPACT</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296C202">
            <w:pPr>
              <w:spacing w:after="0"/>
            </w:pPr>
            <w:r>
              <w:rPr>
                <w:rFonts w:ascii="Calibri" w:hAnsi="Calibri" w:eastAsia="Calibri"/>
                <w:color w:val="222A35"/>
                <w:sz w:val="16"/>
              </w:rPr>
              <w:t>Single-key compromise or error can change modes, oracle policy or withdrawals</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7A9F7014">
            <w:pPr>
              <w:spacing w:after="0"/>
            </w:pPr>
            <w:r>
              <w:rPr>
                <w:rFonts w:ascii="Calibri" w:hAnsi="Calibri" w:eastAsia="Calibri"/>
                <w:b/>
                <w:color w:val="17213C"/>
                <w:sz w:val="15"/>
              </w:rPr>
              <w:t>EVIDENCE</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F6872D7">
            <w:pPr>
              <w:spacing w:after="0"/>
            </w:pPr>
            <w:r>
              <w:rPr>
                <w:rFonts w:ascii="Calibri" w:hAnsi="Calibri" w:eastAsia="Calibri"/>
                <w:color w:val="222A35"/>
                <w:sz w:val="16"/>
              </w:rPr>
              <w:t>Registry setMode/configureLimitedWindow; Swap setOracleRiskConfig/withdrawUnsoldAgnt; Redemption rate and withdrawal functions; Staking deposit and surplus controls</w:t>
            </w:r>
          </w:p>
        </w:tc>
      </w:tr>
      <w:tr w14:paraId="00BDA893">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1A326C80">
            <w:pPr>
              <w:spacing w:after="0"/>
            </w:pPr>
            <w:r>
              <w:rPr>
                <w:rFonts w:ascii="Calibri" w:hAnsi="Calibri" w:eastAsia="Calibri"/>
                <w:b/>
                <w:color w:val="17213C"/>
                <w:sz w:val="15"/>
              </w:rPr>
              <w:t>REPORT ID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E89B0FB">
            <w:pPr>
              <w:spacing w:after="0"/>
            </w:pPr>
            <w:r>
              <w:rPr>
                <w:rFonts w:ascii="Calibri" w:hAnsi="Calibri" w:eastAsia="Calibri"/>
                <w:color w:val="222A35"/>
                <w:sz w:val="16"/>
              </w:rPr>
              <w:t>INFO-01</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7C2E4A59">
            <w:pPr>
              <w:spacing w:after="0"/>
            </w:pPr>
            <w:r>
              <w:rPr>
                <w:rFonts w:ascii="Calibri" w:hAnsi="Calibri" w:eastAsia="Calibri"/>
                <w:b/>
                <w:color w:val="17213C"/>
                <w:sz w:val="15"/>
              </w:rPr>
              <w:t>SNAPSHOT</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92BB26F">
            <w:pPr>
              <w:spacing w:after="0"/>
            </w:pPr>
            <w:r>
              <w:rPr>
                <w:rFonts w:ascii="Calibri" w:hAnsi="Calibri" w:eastAsia="Calibri"/>
                <w:color w:val="222A35"/>
                <w:sz w:val="16"/>
              </w:rPr>
              <w:t>20260730T020710Z</w:t>
            </w:r>
          </w:p>
        </w:tc>
      </w:tr>
    </w:tbl>
    <w:p w14:paraId="30521599">
      <w:pPr>
        <w:spacing w:after="20"/>
      </w:pPr>
    </w:p>
    <w:p w14:paraId="221EF636">
      <w:pPr>
        <w:pStyle w:val="169"/>
      </w:pPr>
      <w:r>
        <w:t>Description</w:t>
      </w:r>
    </w:p>
    <w:p w14:paraId="72B2F4CF">
      <w:r>
        <w:rPr>
          <w:rFonts w:ascii="Calibri" w:hAnsi="Calibri" w:eastAsia="Calibri"/>
        </w:rPr>
        <w:t>The contracts use Ownable2Step, which protects ownership transfer but does not enforce multisig approval, delay high-impact changes or separate duties.</w:t>
      </w:r>
    </w:p>
    <w:p w14:paraId="700E80F7">
      <w:pPr>
        <w:pStyle w:val="169"/>
      </w:pPr>
      <w:r>
        <w:t>Impact and exploit conditions</w:t>
      </w:r>
    </w:p>
    <w:p w14:paraId="0E016B19">
      <w:r>
        <w:rPr>
          <w:rFonts w:ascii="Calibri" w:hAnsi="Calibri" w:eastAsia="Calibri"/>
        </w:rPr>
        <w:t>Single-key compromise or error can change modes, oracle policy or withdrawals.</w:t>
      </w:r>
    </w:p>
    <w:p w14:paraId="17361283">
      <w:r>
        <w:rPr>
          <w:rFonts w:ascii="Calibri" w:hAnsi="Calibri" w:eastAsia="Calibri"/>
        </w:rPr>
        <w:t>The deployed owner is an externally owned account, a weakly configured Safe, or an operational process with insufficient review.</w:t>
      </w:r>
    </w:p>
    <w:p w14:paraId="1A56552B">
      <w:pPr>
        <w:pStyle w:val="169"/>
      </w:pPr>
      <w:r>
        <w:t>Recommendation</w:t>
      </w:r>
    </w:p>
    <w:p w14:paraId="58C07192">
      <w:r>
        <w:rPr>
          <w:rFonts w:ascii="Calibri" w:hAnsi="Calibri" w:eastAsia="Calibri"/>
        </w:rPr>
        <w:t>Assign ownership to a verified multisig, apply a timelock to high-impact configuration, separate keeper and treasury duties, and publish an on-chain role matrix before enabling production modes.</w:t>
      </w:r>
    </w:p>
    <w:p w14:paraId="14D9C711">
      <w:pPr>
        <w:pStyle w:val="169"/>
      </w:pPr>
      <w:r>
        <w:t>Validation status</w:t>
      </w:r>
    </w:p>
    <w:tbl>
      <w:tblPr>
        <w:tblStyle w:val="34"/>
        <w:tblW w:w="9360" w:type="dxa"/>
        <w:jc w:val="center"/>
        <w:tblLayout w:type="fixed"/>
        <w:tblCellMar>
          <w:top w:w="0" w:type="dxa"/>
          <w:left w:w="108" w:type="dxa"/>
          <w:bottom w:w="0" w:type="dxa"/>
          <w:right w:w="108" w:type="dxa"/>
        </w:tblCellMar>
      </w:tblPr>
      <w:tblGrid>
        <w:gridCol w:w="9360"/>
      </w:tblGrid>
      <w:tr w14:paraId="3FF914CD">
        <w:tblPrEx>
          <w:tblCellMar>
            <w:top w:w="0" w:type="dxa"/>
            <w:left w:w="108" w:type="dxa"/>
            <w:bottom w:w="0" w:type="dxa"/>
            <w:right w:w="108" w:type="dxa"/>
          </w:tblCellMar>
        </w:tblPrEx>
        <w:trPr>
          <w:jc w:val="center"/>
        </w:trPr>
        <w:tc>
          <w:tcPr>
            <w:tcW w:w="9360" w:type="dxa"/>
            <w:tcBorders>
              <w:top w:val="single" w:color="FEECEB" w:sz="0" w:space="0"/>
              <w:left w:val="single" w:color="FEECEB" w:sz="0" w:space="0"/>
              <w:bottom w:val="single" w:color="FEECEB" w:sz="0" w:space="0"/>
              <w:right w:val="single" w:color="FEECEB" w:sz="0" w:space="0"/>
              <w:insideH w:val="single" w:sz="0" w:space="0"/>
              <w:insideV w:val="single" w:sz="0" w:space="0"/>
            </w:tcBorders>
            <w:shd w:val="clear" w:color="auto" w:fill="FEECEB"/>
            <w:tcMar>
              <w:top w:w="80" w:type="dxa"/>
              <w:left w:w="120" w:type="dxa"/>
              <w:bottom w:w="80" w:type="dxa"/>
              <w:right w:w="120" w:type="dxa"/>
            </w:tcMar>
            <w:vAlign w:val="center"/>
          </w:tcPr>
          <w:p w14:paraId="2BA39FDB">
            <w:pPr>
              <w:pBdr>
                <w:left w:val="single" w:color="B42318" w:sz="22" w:space="10"/>
              </w:pBdr>
              <w:spacing w:after="60"/>
            </w:pPr>
            <w:r>
              <w:rPr>
                <w:rFonts w:ascii="Calibri" w:hAnsi="Calibri" w:eastAsia="Calibri"/>
                <w:b/>
                <w:color w:val="B42318"/>
                <w:sz w:val="18"/>
              </w:rPr>
              <w:t>OPEN</w:t>
            </w:r>
          </w:p>
          <w:p w14:paraId="0091D01E">
            <w:pPr>
              <w:pBdr>
                <w:left w:val="single" w:color="B42318" w:sz="22" w:space="10"/>
              </w:pBdr>
              <w:spacing w:after="0"/>
            </w:pPr>
            <w:r>
              <w:rPr>
                <w:rFonts w:ascii="Calibri" w:hAnsi="Calibri" w:eastAsia="Calibri"/>
                <w:color w:val="222A35"/>
                <w:sz w:val="21"/>
              </w:rPr>
              <w:t>Deployment addresses and live ownership were not provided; no on-chain retest was possible.</w:t>
            </w:r>
          </w:p>
        </w:tc>
      </w:tr>
    </w:tbl>
    <w:p w14:paraId="10B9F59F">
      <w:pPr>
        <w:spacing w:after="20"/>
      </w:pPr>
    </w:p>
    <w:p w14:paraId="7BEDF610">
      <w:r>
        <w:br w:type="page"/>
      </w:r>
    </w:p>
    <w:p w14:paraId="342EA25E">
      <w:pPr>
        <w:pStyle w:val="4"/>
        <w:keepNext/>
      </w:pPr>
      <w:bookmarkStart w:id="27" w:name="_Toc29097"/>
      <w:r>
        <w:t>6.7 INFO-02 — Immutable beneficiaries and narrow recovery paths create liveness risk</w:t>
      </w:r>
      <w:bookmarkEnd w:id="27"/>
    </w:p>
    <w:tbl>
      <w:tblPr>
        <w:tblStyle w:val="34"/>
        <w:tblW w:w="9360" w:type="dxa"/>
        <w:jc w:val="center"/>
        <w:tblLayout w:type="fixed"/>
        <w:tblCellMar>
          <w:top w:w="0" w:type="dxa"/>
          <w:left w:w="108" w:type="dxa"/>
          <w:bottom w:w="0" w:type="dxa"/>
          <w:right w:w="108" w:type="dxa"/>
        </w:tblCellMar>
      </w:tblPr>
      <w:tblGrid>
        <w:gridCol w:w="1550"/>
        <w:gridCol w:w="3130"/>
        <w:gridCol w:w="1550"/>
        <w:gridCol w:w="3130"/>
      </w:tblGrid>
      <w:tr w14:paraId="7BF5371D">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59A5117">
            <w:pPr>
              <w:spacing w:after="0"/>
            </w:pPr>
            <w:r>
              <w:rPr>
                <w:rFonts w:ascii="Calibri" w:hAnsi="Calibri" w:eastAsia="Calibri"/>
                <w:b/>
                <w:color w:val="17213C"/>
                <w:sz w:val="15"/>
              </w:rPr>
              <w:t>SEVERITY</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EAF2FF"/>
            <w:tcMar>
              <w:top w:w="80" w:type="dxa"/>
              <w:left w:w="120" w:type="dxa"/>
              <w:bottom w:w="80" w:type="dxa"/>
              <w:right w:w="120" w:type="dxa"/>
            </w:tcMar>
            <w:vAlign w:val="center"/>
          </w:tcPr>
          <w:p w14:paraId="1BBC4768">
            <w:pPr>
              <w:spacing w:after="0"/>
            </w:pPr>
            <w:r>
              <w:rPr>
                <w:rFonts w:ascii="Calibri" w:hAnsi="Calibri" w:eastAsia="Calibri"/>
                <w:b/>
                <w:color w:val="175CD3"/>
                <w:sz w:val="17"/>
              </w:rPr>
              <w:t>Informational</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BE1E66B">
            <w:pPr>
              <w:spacing w:after="0"/>
            </w:pPr>
            <w:r>
              <w:rPr>
                <w:rFonts w:ascii="Calibri" w:hAnsi="Calibri" w:eastAsia="Calibri"/>
                <w:b/>
                <w:color w:val="17213C"/>
                <w:sz w:val="15"/>
              </w:rPr>
              <w:t>STATUS</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EECEB"/>
            <w:tcMar>
              <w:top w:w="80" w:type="dxa"/>
              <w:left w:w="120" w:type="dxa"/>
              <w:bottom w:w="80" w:type="dxa"/>
              <w:right w:w="120" w:type="dxa"/>
            </w:tcMar>
            <w:vAlign w:val="center"/>
          </w:tcPr>
          <w:p w14:paraId="72D02723">
            <w:pPr>
              <w:spacing w:after="0"/>
            </w:pPr>
            <w:r>
              <w:rPr>
                <w:rFonts w:ascii="Calibri" w:hAnsi="Calibri" w:eastAsia="Calibri"/>
                <w:b/>
                <w:color w:val="B42318"/>
                <w:sz w:val="16"/>
              </w:rPr>
              <w:t>Open</w:t>
            </w:r>
          </w:p>
        </w:tc>
      </w:tr>
      <w:tr w14:paraId="74410829">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1FD6BEE4">
            <w:pPr>
              <w:spacing w:after="0"/>
            </w:pPr>
            <w:r>
              <w:rPr>
                <w:rFonts w:ascii="Calibri" w:hAnsi="Calibri" w:eastAsia="Calibri"/>
                <w:b/>
                <w:color w:val="17213C"/>
                <w:sz w:val="15"/>
              </w:rPr>
              <w:t>AFFECTED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A717E02">
            <w:pPr>
              <w:spacing w:after="0"/>
            </w:pPr>
            <w:r>
              <w:rPr>
                <w:rFonts w:ascii="Calibri" w:hAnsi="Calibri" w:eastAsia="Calibri"/>
                <w:color w:val="222A35"/>
                <w:sz w:val="16"/>
              </w:rPr>
              <w:t>AegentSaleProceedsVault; AegentStakingV1</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2E96962">
            <w:pPr>
              <w:spacing w:after="0"/>
            </w:pPr>
            <w:r>
              <w:rPr>
                <w:rFonts w:ascii="Calibri" w:hAnsi="Calibri" w:eastAsia="Calibri"/>
                <w:b/>
                <w:color w:val="17213C"/>
                <w:sz w:val="15"/>
              </w:rPr>
              <w:t>LIKELIHOOD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D68B2D5">
            <w:pPr>
              <w:spacing w:after="0"/>
            </w:pPr>
            <w:r>
              <w:rPr>
                <w:rFonts w:ascii="Calibri" w:hAnsi="Calibri" w:eastAsia="Calibri"/>
                <w:color w:val="222A35"/>
                <w:sz w:val="16"/>
              </w:rPr>
              <w:t>Operational</w:t>
            </w:r>
          </w:p>
        </w:tc>
      </w:tr>
      <w:tr w14:paraId="61ECBB7D">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7EEC54C0">
            <w:pPr>
              <w:spacing w:after="0"/>
            </w:pPr>
            <w:r>
              <w:rPr>
                <w:rFonts w:ascii="Calibri" w:hAnsi="Calibri" w:eastAsia="Calibri"/>
                <w:b/>
                <w:color w:val="17213C"/>
                <w:sz w:val="15"/>
              </w:rPr>
              <w:t>IMPACT</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B1C2B0A">
            <w:pPr>
              <w:spacing w:after="0"/>
            </w:pPr>
            <w:r>
              <w:rPr>
                <w:rFonts w:ascii="Calibri" w:hAnsi="Calibri" w:eastAsia="Calibri"/>
                <w:color w:val="222A35"/>
                <w:sz w:val="16"/>
              </w:rPr>
              <w:t>Proceeds or accidental assets can remain locked if the recipient cannot receive them</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6401161E">
            <w:pPr>
              <w:spacing w:after="0"/>
            </w:pPr>
            <w:r>
              <w:rPr>
                <w:rFonts w:ascii="Calibri" w:hAnsi="Calibri" w:eastAsia="Calibri"/>
                <w:b/>
                <w:color w:val="17213C"/>
                <w:sz w:val="15"/>
              </w:rPr>
              <w:t>EVIDENCE</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2BD5A5F">
            <w:pPr>
              <w:spacing w:after="0"/>
            </w:pPr>
            <w:r>
              <w:rPr>
                <w:rFonts w:ascii="Calibri" w:hAnsi="Calibri" w:eastAsia="Calibri"/>
                <w:color w:val="222A35"/>
                <w:sz w:val="16"/>
              </w:rPr>
              <w:t>AegentSaleProceedsVault.sol:30–92; AegentStakingV1.sol:108–199, 334–361</w:t>
            </w:r>
          </w:p>
        </w:tc>
      </w:tr>
      <w:tr w14:paraId="6B00F2BC">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28EFD79A">
            <w:pPr>
              <w:spacing w:after="0"/>
            </w:pPr>
            <w:r>
              <w:rPr>
                <w:rFonts w:ascii="Calibri" w:hAnsi="Calibri" w:eastAsia="Calibri"/>
                <w:b/>
                <w:color w:val="17213C"/>
                <w:sz w:val="15"/>
              </w:rPr>
              <w:t>REPORT ID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6773EF1">
            <w:pPr>
              <w:spacing w:after="0"/>
            </w:pPr>
            <w:r>
              <w:rPr>
                <w:rFonts w:ascii="Calibri" w:hAnsi="Calibri" w:eastAsia="Calibri"/>
                <w:color w:val="222A35"/>
                <w:sz w:val="16"/>
              </w:rPr>
              <w:t>INFO-02</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58892AA2">
            <w:pPr>
              <w:spacing w:after="0"/>
            </w:pPr>
            <w:r>
              <w:rPr>
                <w:rFonts w:ascii="Calibri" w:hAnsi="Calibri" w:eastAsia="Calibri"/>
                <w:b/>
                <w:color w:val="17213C"/>
                <w:sz w:val="15"/>
              </w:rPr>
              <w:t>SNAPSHOT</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332AE1C">
            <w:pPr>
              <w:spacing w:after="0"/>
            </w:pPr>
            <w:r>
              <w:rPr>
                <w:rFonts w:ascii="Calibri" w:hAnsi="Calibri" w:eastAsia="Calibri"/>
                <w:color w:val="222A35"/>
                <w:sz w:val="16"/>
              </w:rPr>
              <w:t>20260730T020710Z</w:t>
            </w:r>
          </w:p>
        </w:tc>
      </w:tr>
    </w:tbl>
    <w:p w14:paraId="526D34A1">
      <w:pPr>
        <w:spacing w:after="20"/>
      </w:pPr>
    </w:p>
    <w:p w14:paraId="7271E021">
      <w:pPr>
        <w:pStyle w:val="169"/>
      </w:pPr>
      <w:r>
        <w:t>Description</w:t>
      </w:r>
    </w:p>
    <w:p w14:paraId="37587AF1">
      <w:r>
        <w:rPr>
          <w:rFonts w:ascii="Calibri" w:hAnsi="Calibri" w:eastAsia="Calibri"/>
        </w:rPr>
        <w:t>Vault and Staking proceeds are bound to immutable beneficiaries. Native release reverts if the recipient rejects BNB, while token recovery is limited to expected assets. A lost or unusable beneficiary cannot be rotated in the reviewed bytecode.</w:t>
      </w:r>
    </w:p>
    <w:p w14:paraId="2FA308AA">
      <w:pPr>
        <w:pStyle w:val="169"/>
      </w:pPr>
      <w:r>
        <w:t>Impact and exploit conditions</w:t>
      </w:r>
    </w:p>
    <w:p w14:paraId="652DD52C">
      <w:r>
        <w:rPr>
          <w:rFonts w:ascii="Calibri" w:hAnsi="Calibri" w:eastAsia="Calibri"/>
        </w:rPr>
        <w:t>Proceeds or accidental assets can remain locked if the recipient cannot receive them.</w:t>
      </w:r>
    </w:p>
    <w:p w14:paraId="774EE939">
      <w:r>
        <w:rPr>
          <w:rFonts w:ascii="Calibri" w:hAnsi="Calibri" w:eastAsia="Calibri"/>
        </w:rPr>
        <w:t>The beneficiary contract rejects native transfers, loses signing access, is misconfigured, or an unsupported asset is sent to the contract.</w:t>
      </w:r>
    </w:p>
    <w:p w14:paraId="5EEAA8C0">
      <w:pPr>
        <w:pStyle w:val="169"/>
      </w:pPr>
      <w:r>
        <w:t>Recommendation</w:t>
      </w:r>
    </w:p>
    <w:p w14:paraId="17185DE0">
      <w:r>
        <w:rPr>
          <w:rFonts w:ascii="Calibri" w:hAnsi="Calibri" w:eastAsia="Calibri"/>
        </w:rPr>
        <w:t>Use a tested Safe-compatible beneficiary, add delayed two-step beneficiary rotation or a narrowly scoped recovery path, and test native/token release against the exact production recipient.</w:t>
      </w:r>
    </w:p>
    <w:p w14:paraId="549C3998">
      <w:pPr>
        <w:pStyle w:val="169"/>
      </w:pPr>
      <w:r>
        <w:t>Validation status</w:t>
      </w:r>
    </w:p>
    <w:tbl>
      <w:tblPr>
        <w:tblStyle w:val="34"/>
        <w:tblW w:w="9360" w:type="dxa"/>
        <w:jc w:val="center"/>
        <w:tblLayout w:type="fixed"/>
        <w:tblCellMar>
          <w:top w:w="0" w:type="dxa"/>
          <w:left w:w="108" w:type="dxa"/>
          <w:bottom w:w="0" w:type="dxa"/>
          <w:right w:w="108" w:type="dxa"/>
        </w:tblCellMar>
      </w:tblPr>
      <w:tblGrid>
        <w:gridCol w:w="9360"/>
      </w:tblGrid>
      <w:tr w14:paraId="44AA209D">
        <w:tblPrEx>
          <w:tblCellMar>
            <w:top w:w="0" w:type="dxa"/>
            <w:left w:w="108" w:type="dxa"/>
            <w:bottom w:w="0" w:type="dxa"/>
            <w:right w:w="108" w:type="dxa"/>
          </w:tblCellMar>
        </w:tblPrEx>
        <w:trPr>
          <w:jc w:val="center"/>
        </w:trPr>
        <w:tc>
          <w:tcPr>
            <w:tcW w:w="9360" w:type="dxa"/>
            <w:tcBorders>
              <w:top w:val="single" w:color="FEECEB" w:sz="0" w:space="0"/>
              <w:left w:val="single" w:color="FEECEB" w:sz="0" w:space="0"/>
              <w:bottom w:val="single" w:color="FEECEB" w:sz="0" w:space="0"/>
              <w:right w:val="single" w:color="FEECEB" w:sz="0" w:space="0"/>
              <w:insideH w:val="single" w:sz="0" w:space="0"/>
              <w:insideV w:val="single" w:sz="0" w:space="0"/>
            </w:tcBorders>
            <w:shd w:val="clear" w:color="auto" w:fill="FEECEB"/>
            <w:tcMar>
              <w:top w:w="80" w:type="dxa"/>
              <w:left w:w="120" w:type="dxa"/>
              <w:bottom w:w="80" w:type="dxa"/>
              <w:right w:w="120" w:type="dxa"/>
            </w:tcMar>
            <w:vAlign w:val="center"/>
          </w:tcPr>
          <w:p w14:paraId="3D908F33">
            <w:pPr>
              <w:pBdr>
                <w:left w:val="single" w:color="B42318" w:sz="22" w:space="10"/>
              </w:pBdr>
              <w:spacing w:after="60"/>
            </w:pPr>
            <w:r>
              <w:rPr>
                <w:rFonts w:ascii="Calibri" w:hAnsi="Calibri" w:eastAsia="Calibri"/>
                <w:b/>
                <w:color w:val="B42318"/>
                <w:sz w:val="18"/>
              </w:rPr>
              <w:t>OPEN</w:t>
            </w:r>
          </w:p>
          <w:p w14:paraId="782FF16D">
            <w:pPr>
              <w:pBdr>
                <w:left w:val="single" w:color="B42318" w:sz="22" w:space="10"/>
              </w:pBdr>
              <w:spacing w:after="0"/>
            </w:pPr>
            <w:r>
              <w:rPr>
                <w:rFonts w:ascii="Calibri" w:hAnsi="Calibri" w:eastAsia="Calibri"/>
                <w:color w:val="222A35"/>
                <w:sz w:val="21"/>
              </w:rPr>
              <w:t>No production beneficiary or funded release transaction was supplied.</w:t>
            </w:r>
          </w:p>
        </w:tc>
      </w:tr>
    </w:tbl>
    <w:p w14:paraId="2A4655FC">
      <w:pPr>
        <w:spacing w:after="20"/>
      </w:pPr>
    </w:p>
    <w:p w14:paraId="64D78A84">
      <w:r>
        <w:br w:type="page"/>
      </w:r>
    </w:p>
    <w:p w14:paraId="71815270">
      <w:pPr>
        <w:pStyle w:val="4"/>
        <w:keepNext/>
      </w:pPr>
      <w:bookmarkStart w:id="28" w:name="_Toc3444"/>
      <w:r>
        <w:t>6.8 INFO-03 — Settlement events omit configuration evidence needed for independent reconstruction</w:t>
      </w:r>
      <w:bookmarkEnd w:id="28"/>
    </w:p>
    <w:tbl>
      <w:tblPr>
        <w:tblStyle w:val="34"/>
        <w:tblW w:w="9360" w:type="dxa"/>
        <w:jc w:val="center"/>
        <w:tblLayout w:type="fixed"/>
        <w:tblCellMar>
          <w:top w:w="0" w:type="dxa"/>
          <w:left w:w="108" w:type="dxa"/>
          <w:bottom w:w="0" w:type="dxa"/>
          <w:right w:w="108" w:type="dxa"/>
        </w:tblCellMar>
      </w:tblPr>
      <w:tblGrid>
        <w:gridCol w:w="1550"/>
        <w:gridCol w:w="3130"/>
        <w:gridCol w:w="1550"/>
        <w:gridCol w:w="3130"/>
      </w:tblGrid>
      <w:tr w14:paraId="30DEF7EE">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7834478B">
            <w:pPr>
              <w:spacing w:after="0"/>
            </w:pPr>
            <w:r>
              <w:rPr>
                <w:rFonts w:ascii="Calibri" w:hAnsi="Calibri" w:eastAsia="Calibri"/>
                <w:b/>
                <w:color w:val="17213C"/>
                <w:sz w:val="15"/>
              </w:rPr>
              <w:t>SEVERITY</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EAF2FF"/>
            <w:tcMar>
              <w:top w:w="80" w:type="dxa"/>
              <w:left w:w="120" w:type="dxa"/>
              <w:bottom w:w="80" w:type="dxa"/>
              <w:right w:w="120" w:type="dxa"/>
            </w:tcMar>
            <w:vAlign w:val="center"/>
          </w:tcPr>
          <w:p w14:paraId="46E0D77D">
            <w:pPr>
              <w:spacing w:after="0"/>
            </w:pPr>
            <w:r>
              <w:rPr>
                <w:rFonts w:ascii="Calibri" w:hAnsi="Calibri" w:eastAsia="Calibri"/>
                <w:b/>
                <w:color w:val="175CD3"/>
                <w:sz w:val="17"/>
              </w:rPr>
              <w:t>Informational</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26FF666F">
            <w:pPr>
              <w:spacing w:after="0"/>
            </w:pPr>
            <w:r>
              <w:rPr>
                <w:rFonts w:ascii="Calibri" w:hAnsi="Calibri" w:eastAsia="Calibri"/>
                <w:b/>
                <w:color w:val="17213C"/>
                <w:sz w:val="15"/>
              </w:rPr>
              <w:t>STATUS</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EECEB"/>
            <w:tcMar>
              <w:top w:w="80" w:type="dxa"/>
              <w:left w:w="120" w:type="dxa"/>
              <w:bottom w:w="80" w:type="dxa"/>
              <w:right w:w="120" w:type="dxa"/>
            </w:tcMar>
            <w:vAlign w:val="center"/>
          </w:tcPr>
          <w:p w14:paraId="39536FE5">
            <w:pPr>
              <w:spacing w:after="0"/>
            </w:pPr>
            <w:r>
              <w:rPr>
                <w:rFonts w:ascii="Calibri" w:hAnsi="Calibri" w:eastAsia="Calibri"/>
                <w:b/>
                <w:color w:val="B42318"/>
                <w:sz w:val="16"/>
              </w:rPr>
              <w:t>Open</w:t>
            </w:r>
          </w:p>
        </w:tc>
      </w:tr>
      <w:tr w14:paraId="787F7FA0">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1D6636F5">
            <w:pPr>
              <w:spacing w:after="0"/>
            </w:pPr>
            <w:r>
              <w:rPr>
                <w:rFonts w:ascii="Calibri" w:hAnsi="Calibri" w:eastAsia="Calibri"/>
                <w:b/>
                <w:color w:val="17213C"/>
                <w:sz w:val="15"/>
              </w:rPr>
              <w:t>AFFECTED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E674A4C">
            <w:pPr>
              <w:spacing w:after="0"/>
            </w:pPr>
            <w:r>
              <w:rPr>
                <w:rFonts w:ascii="Calibri" w:hAnsi="Calibri" w:eastAsia="Calibri"/>
                <w:color w:val="222A35"/>
                <w:sz w:val="16"/>
              </w:rPr>
              <w:t>AegentSwapV2; AegentRedemptionV2</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8074626">
            <w:pPr>
              <w:spacing w:after="0"/>
            </w:pPr>
            <w:r>
              <w:rPr>
                <w:rFonts w:ascii="Calibri" w:hAnsi="Calibri" w:eastAsia="Calibri"/>
                <w:b/>
                <w:color w:val="17213C"/>
                <w:sz w:val="15"/>
              </w:rPr>
              <w:t>LIKELIHOOD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C2338A2">
            <w:pPr>
              <w:spacing w:after="0"/>
            </w:pPr>
            <w:r>
              <w:rPr>
                <w:rFonts w:ascii="Calibri" w:hAnsi="Calibri" w:eastAsia="Calibri"/>
                <w:color w:val="222A35"/>
                <w:sz w:val="16"/>
              </w:rPr>
              <w:t>Operational</w:t>
            </w:r>
          </w:p>
        </w:tc>
      </w:tr>
      <w:tr w14:paraId="0748FC59">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267F4171">
            <w:pPr>
              <w:spacing w:after="0"/>
            </w:pPr>
            <w:r>
              <w:rPr>
                <w:rFonts w:ascii="Calibri" w:hAnsi="Calibri" w:eastAsia="Calibri"/>
                <w:b/>
                <w:color w:val="17213C"/>
                <w:sz w:val="15"/>
              </w:rPr>
              <w:t>IMPACT</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7272673">
            <w:pPr>
              <w:spacing w:after="0"/>
            </w:pPr>
            <w:r>
              <w:rPr>
                <w:rFonts w:ascii="Calibri" w:hAnsi="Calibri" w:eastAsia="Calibri"/>
                <w:color w:val="222A35"/>
                <w:sz w:val="16"/>
              </w:rPr>
              <w:t>Reduced auditability and more difficult incident reconstruction</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11DED4A">
            <w:pPr>
              <w:spacing w:after="0"/>
            </w:pPr>
            <w:r>
              <w:rPr>
                <w:rFonts w:ascii="Calibri" w:hAnsi="Calibri" w:eastAsia="Calibri"/>
                <w:b/>
                <w:color w:val="17213C"/>
                <w:sz w:val="15"/>
              </w:rPr>
              <w:t>EVIDENCE</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1CF1D1E">
            <w:pPr>
              <w:spacing w:after="0"/>
            </w:pPr>
            <w:r>
              <w:rPr>
                <w:rFonts w:ascii="Calibri" w:hAnsi="Calibri" w:eastAsia="Calibri"/>
                <w:color w:val="222A35"/>
                <w:sz w:val="16"/>
              </w:rPr>
              <w:t>AegentSwapV2.sol:129–138, 1127–1136; AegentRedemptionV2.sol:122–133, 349–360</w:t>
            </w:r>
          </w:p>
        </w:tc>
      </w:tr>
      <w:tr w14:paraId="63E5F6F9">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2C4247FE">
            <w:pPr>
              <w:spacing w:after="0"/>
            </w:pPr>
            <w:r>
              <w:rPr>
                <w:rFonts w:ascii="Calibri" w:hAnsi="Calibri" w:eastAsia="Calibri"/>
                <w:b/>
                <w:color w:val="17213C"/>
                <w:sz w:val="15"/>
              </w:rPr>
              <w:t>REPORT ID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217AD09">
            <w:pPr>
              <w:spacing w:after="0"/>
            </w:pPr>
            <w:r>
              <w:rPr>
                <w:rFonts w:ascii="Calibri" w:hAnsi="Calibri" w:eastAsia="Calibri"/>
                <w:color w:val="222A35"/>
                <w:sz w:val="16"/>
              </w:rPr>
              <w:t>INFO-03</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A18273C">
            <w:pPr>
              <w:spacing w:after="0"/>
            </w:pPr>
            <w:r>
              <w:rPr>
                <w:rFonts w:ascii="Calibri" w:hAnsi="Calibri" w:eastAsia="Calibri"/>
                <w:b/>
                <w:color w:val="17213C"/>
                <w:sz w:val="15"/>
              </w:rPr>
              <w:t>SNAPSHOT</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FBC7745">
            <w:pPr>
              <w:spacing w:after="0"/>
            </w:pPr>
            <w:r>
              <w:rPr>
                <w:rFonts w:ascii="Calibri" w:hAnsi="Calibri" w:eastAsia="Calibri"/>
                <w:color w:val="222A35"/>
                <w:sz w:val="16"/>
              </w:rPr>
              <w:t>20260730T020710Z</w:t>
            </w:r>
          </w:p>
        </w:tc>
      </w:tr>
    </w:tbl>
    <w:p w14:paraId="0D38F9F0">
      <w:pPr>
        <w:spacing w:after="20"/>
      </w:pPr>
    </w:p>
    <w:p w14:paraId="15404CC4">
      <w:pPr>
        <w:pStyle w:val="169"/>
      </w:pPr>
      <w:r>
        <w:t>Description</w:t>
      </w:r>
    </w:p>
    <w:p w14:paraId="7A01D030">
      <w:r>
        <w:rPr>
          <w:rFonts w:ascii="Calibri" w:hAnsi="Calibri" w:eastAsia="Calibri"/>
        </w:rPr>
        <w:t>PurchaseSettled does not emit market mode or configVersion. RedemptionSettled does not emit configVersion, rateVersion or whether the presale cost-basis path was used. Off-chain systems must join historical state to reconstruct settlement context.</w:t>
      </w:r>
    </w:p>
    <w:p w14:paraId="03AA5058">
      <w:pPr>
        <w:pStyle w:val="169"/>
      </w:pPr>
      <w:r>
        <w:t>Impact and exploit conditions</w:t>
      </w:r>
    </w:p>
    <w:p w14:paraId="12E3F32F">
      <w:r>
        <w:rPr>
          <w:rFonts w:ascii="Calibri" w:hAnsi="Calibri" w:eastAsia="Calibri"/>
        </w:rPr>
        <w:t>Reduced auditability and more difficult incident reconstruction.</w:t>
      </w:r>
    </w:p>
    <w:p w14:paraId="370D6AA5">
      <w:r>
        <w:rPr>
          <w:rFonts w:ascii="Calibri" w:hAnsi="Calibri" w:eastAsia="Calibri"/>
        </w:rPr>
        <w:t>An investigator or reconciler must prove which configuration governed a historical settlement.</w:t>
      </w:r>
    </w:p>
    <w:p w14:paraId="6DE0CF75">
      <w:pPr>
        <w:pStyle w:val="169"/>
      </w:pPr>
      <w:r>
        <w:t>Recommendation</w:t>
      </w:r>
    </w:p>
    <w:p w14:paraId="7E30C6B5">
      <w:r>
        <w:rPr>
          <w:rFonts w:ascii="Calibri" w:hAnsi="Calibri" w:eastAsia="Calibri"/>
        </w:rPr>
        <w:t>Add the governing mode/config/rate identifiers and settlement-basis flag to events. Version the event schema and update indexers before deployment.</w:t>
      </w:r>
    </w:p>
    <w:p w14:paraId="506F4744">
      <w:pPr>
        <w:pStyle w:val="169"/>
      </w:pPr>
      <w:r>
        <w:t>Validation status</w:t>
      </w:r>
    </w:p>
    <w:tbl>
      <w:tblPr>
        <w:tblStyle w:val="34"/>
        <w:tblW w:w="9360" w:type="dxa"/>
        <w:jc w:val="center"/>
        <w:tblLayout w:type="fixed"/>
        <w:tblCellMar>
          <w:top w:w="0" w:type="dxa"/>
          <w:left w:w="108" w:type="dxa"/>
          <w:bottom w:w="0" w:type="dxa"/>
          <w:right w:w="108" w:type="dxa"/>
        </w:tblCellMar>
      </w:tblPr>
      <w:tblGrid>
        <w:gridCol w:w="9360"/>
      </w:tblGrid>
      <w:tr w14:paraId="58E2F175">
        <w:tblPrEx>
          <w:tblCellMar>
            <w:top w:w="0" w:type="dxa"/>
            <w:left w:w="108" w:type="dxa"/>
            <w:bottom w:w="0" w:type="dxa"/>
            <w:right w:w="108" w:type="dxa"/>
          </w:tblCellMar>
        </w:tblPrEx>
        <w:trPr>
          <w:jc w:val="center"/>
        </w:trPr>
        <w:tc>
          <w:tcPr>
            <w:tcW w:w="9360" w:type="dxa"/>
            <w:tcBorders>
              <w:top w:val="single" w:color="FEECEB" w:sz="0" w:space="0"/>
              <w:left w:val="single" w:color="FEECEB" w:sz="0" w:space="0"/>
              <w:bottom w:val="single" w:color="FEECEB" w:sz="0" w:space="0"/>
              <w:right w:val="single" w:color="FEECEB" w:sz="0" w:space="0"/>
              <w:insideH w:val="single" w:sz="0" w:space="0"/>
              <w:insideV w:val="single" w:sz="0" w:space="0"/>
            </w:tcBorders>
            <w:shd w:val="clear" w:color="auto" w:fill="FEECEB"/>
            <w:tcMar>
              <w:top w:w="80" w:type="dxa"/>
              <w:left w:w="120" w:type="dxa"/>
              <w:bottom w:w="80" w:type="dxa"/>
              <w:right w:w="120" w:type="dxa"/>
            </w:tcMar>
            <w:vAlign w:val="center"/>
          </w:tcPr>
          <w:p w14:paraId="053CF098">
            <w:pPr>
              <w:pBdr>
                <w:left w:val="single" w:color="B42318" w:sz="22" w:space="10"/>
              </w:pBdr>
              <w:spacing w:after="60"/>
            </w:pPr>
            <w:r>
              <w:rPr>
                <w:rFonts w:ascii="Calibri" w:hAnsi="Calibri" w:eastAsia="Calibri"/>
                <w:b/>
                <w:color w:val="B42318"/>
                <w:sz w:val="18"/>
              </w:rPr>
              <w:t>OPEN</w:t>
            </w:r>
          </w:p>
          <w:p w14:paraId="2C6CD994">
            <w:pPr>
              <w:pBdr>
                <w:left w:val="single" w:color="B42318" w:sz="22" w:space="10"/>
              </w:pBdr>
              <w:spacing w:after="0"/>
            </w:pPr>
            <w:r>
              <w:rPr>
                <w:rFonts w:ascii="Calibri" w:hAnsi="Calibri" w:eastAsia="Calibri"/>
                <w:color w:val="222A35"/>
                <w:sz w:val="21"/>
              </w:rPr>
              <w:t>The reviewed snapshot retains the current event schemas.</w:t>
            </w:r>
          </w:p>
        </w:tc>
      </w:tr>
    </w:tbl>
    <w:p w14:paraId="1C505204">
      <w:pPr>
        <w:spacing w:after="20"/>
      </w:pPr>
    </w:p>
    <w:p w14:paraId="65878F66">
      <w:r>
        <w:br w:type="page"/>
      </w:r>
    </w:p>
    <w:p w14:paraId="7FA62ECF">
      <w:pPr>
        <w:pStyle w:val="4"/>
        <w:keepNext/>
      </w:pPr>
      <w:bookmarkStart w:id="29" w:name="_Toc29215"/>
      <w:r>
        <w:t>6.9 INFO-04 — Staking proceeds depend indefinitely on a user-triggered claim</w:t>
      </w:r>
      <w:bookmarkEnd w:id="29"/>
    </w:p>
    <w:tbl>
      <w:tblPr>
        <w:tblStyle w:val="34"/>
        <w:tblW w:w="9360" w:type="dxa"/>
        <w:jc w:val="center"/>
        <w:tblLayout w:type="fixed"/>
        <w:tblCellMar>
          <w:top w:w="0" w:type="dxa"/>
          <w:left w:w="108" w:type="dxa"/>
          <w:bottom w:w="0" w:type="dxa"/>
          <w:right w:w="108" w:type="dxa"/>
        </w:tblCellMar>
      </w:tblPr>
      <w:tblGrid>
        <w:gridCol w:w="1550"/>
        <w:gridCol w:w="3130"/>
        <w:gridCol w:w="1550"/>
        <w:gridCol w:w="3130"/>
      </w:tblGrid>
      <w:tr w14:paraId="25121DFA">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4DC8EA8">
            <w:pPr>
              <w:spacing w:after="0"/>
            </w:pPr>
            <w:r>
              <w:rPr>
                <w:rFonts w:ascii="Calibri" w:hAnsi="Calibri" w:eastAsia="Calibri"/>
                <w:b/>
                <w:color w:val="17213C"/>
                <w:sz w:val="15"/>
              </w:rPr>
              <w:t>SEVERITY</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EAF2FF"/>
            <w:tcMar>
              <w:top w:w="80" w:type="dxa"/>
              <w:left w:w="120" w:type="dxa"/>
              <w:bottom w:w="80" w:type="dxa"/>
              <w:right w:w="120" w:type="dxa"/>
            </w:tcMar>
            <w:vAlign w:val="center"/>
          </w:tcPr>
          <w:p w14:paraId="16D1B949">
            <w:pPr>
              <w:spacing w:after="0"/>
            </w:pPr>
            <w:r>
              <w:rPr>
                <w:rFonts w:ascii="Calibri" w:hAnsi="Calibri" w:eastAsia="Calibri"/>
                <w:b/>
                <w:color w:val="175CD3"/>
                <w:sz w:val="17"/>
              </w:rPr>
              <w:t>Informational</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4A7502CF">
            <w:pPr>
              <w:spacing w:after="0"/>
            </w:pPr>
            <w:r>
              <w:rPr>
                <w:rFonts w:ascii="Calibri" w:hAnsi="Calibri" w:eastAsia="Calibri"/>
                <w:b/>
                <w:color w:val="17213C"/>
                <w:sz w:val="15"/>
              </w:rPr>
              <w:t>STATUS</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EECEB"/>
            <w:tcMar>
              <w:top w:w="80" w:type="dxa"/>
              <w:left w:w="120" w:type="dxa"/>
              <w:bottom w:w="80" w:type="dxa"/>
              <w:right w:w="120" w:type="dxa"/>
            </w:tcMar>
            <w:vAlign w:val="center"/>
          </w:tcPr>
          <w:p w14:paraId="36BE27BD">
            <w:pPr>
              <w:spacing w:after="0"/>
            </w:pPr>
            <w:r>
              <w:rPr>
                <w:rFonts w:ascii="Calibri" w:hAnsi="Calibri" w:eastAsia="Calibri"/>
                <w:b/>
                <w:color w:val="B42318"/>
                <w:sz w:val="16"/>
              </w:rPr>
              <w:t>Open</w:t>
            </w:r>
          </w:p>
        </w:tc>
      </w:tr>
      <w:tr w14:paraId="1D6C95A8">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49B672BA">
            <w:pPr>
              <w:spacing w:after="0"/>
            </w:pPr>
            <w:r>
              <w:rPr>
                <w:rFonts w:ascii="Calibri" w:hAnsi="Calibri" w:eastAsia="Calibri"/>
                <w:b/>
                <w:color w:val="17213C"/>
                <w:sz w:val="15"/>
              </w:rPr>
              <w:t>AFFECTED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201F2E2">
            <w:pPr>
              <w:spacing w:after="0"/>
            </w:pPr>
            <w:r>
              <w:rPr>
                <w:rFonts w:ascii="Calibri" w:hAnsi="Calibri" w:eastAsia="Calibri"/>
                <w:color w:val="222A35"/>
                <w:sz w:val="16"/>
              </w:rPr>
              <w:t>AegentStakingV1</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781AFE6B">
            <w:pPr>
              <w:spacing w:after="0"/>
            </w:pPr>
            <w:r>
              <w:rPr>
                <w:rFonts w:ascii="Calibri" w:hAnsi="Calibri" w:eastAsia="Calibri"/>
                <w:b/>
                <w:color w:val="17213C"/>
                <w:sz w:val="15"/>
              </w:rPr>
              <w:t>LIKELIHOOD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CE6E89F">
            <w:pPr>
              <w:spacing w:after="0"/>
            </w:pPr>
            <w:r>
              <w:rPr>
                <w:rFonts w:ascii="Calibri" w:hAnsi="Calibri" w:eastAsia="Calibri"/>
                <w:color w:val="222A35"/>
                <w:sz w:val="16"/>
              </w:rPr>
              <w:t>Operational</w:t>
            </w:r>
          </w:p>
        </w:tc>
      </w:tr>
      <w:tr w14:paraId="474242B0">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17F6D876">
            <w:pPr>
              <w:spacing w:after="0"/>
            </w:pPr>
            <w:r>
              <w:rPr>
                <w:rFonts w:ascii="Calibri" w:hAnsi="Calibri" w:eastAsia="Calibri"/>
                <w:b/>
                <w:color w:val="17213C"/>
                <w:sz w:val="15"/>
              </w:rPr>
              <w:t>IMPACT</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FEE6060">
            <w:pPr>
              <w:spacing w:after="0"/>
            </w:pPr>
            <w:r>
              <w:rPr>
                <w:rFonts w:ascii="Calibri" w:hAnsi="Calibri" w:eastAsia="Calibri"/>
                <w:color w:val="222A35"/>
                <w:sz w:val="16"/>
              </w:rPr>
              <w:t>Deposited USDT or BNB can remain locked indefinitely when a user never claims</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2E110BE">
            <w:pPr>
              <w:spacing w:after="0"/>
            </w:pPr>
            <w:r>
              <w:rPr>
                <w:rFonts w:ascii="Calibri" w:hAnsi="Calibri" w:eastAsia="Calibri"/>
                <w:b/>
                <w:color w:val="17213C"/>
                <w:sz w:val="15"/>
              </w:rPr>
              <w:t>EVIDENCE</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8757F98">
            <w:pPr>
              <w:spacing w:after="0"/>
            </w:pPr>
            <w:r>
              <w:rPr>
                <w:rFonts w:ascii="Calibri" w:hAnsi="Calibri" w:eastAsia="Calibri"/>
                <w:color w:val="222A35"/>
                <w:sz w:val="16"/>
              </w:rPr>
              <w:t>AegentStakingV1.sol:312–361</w:t>
            </w:r>
          </w:p>
        </w:tc>
      </w:tr>
      <w:tr w14:paraId="5DF2B733">
        <w:tblPrEx>
          <w:tblCellMar>
            <w:top w:w="0" w:type="dxa"/>
            <w:left w:w="108" w:type="dxa"/>
            <w:bottom w:w="0" w:type="dxa"/>
            <w:right w:w="108" w:type="dxa"/>
          </w:tblCellMar>
        </w:tblPrEx>
        <w:trPr>
          <w:cantSplit/>
          <w:jc w:val="center"/>
        </w:trPr>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73462E9B">
            <w:pPr>
              <w:spacing w:after="0"/>
            </w:pPr>
            <w:r>
              <w:rPr>
                <w:rFonts w:ascii="Calibri" w:hAnsi="Calibri" w:eastAsia="Calibri"/>
                <w:b/>
                <w:color w:val="17213C"/>
                <w:sz w:val="15"/>
              </w:rPr>
              <w:t>REPORT ID</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82B157E">
            <w:pPr>
              <w:spacing w:after="0"/>
            </w:pPr>
            <w:r>
              <w:rPr>
                <w:rFonts w:ascii="Calibri" w:hAnsi="Calibri" w:eastAsia="Calibri"/>
                <w:color w:val="222A35"/>
                <w:sz w:val="16"/>
              </w:rPr>
              <w:t>INFO-04</w:t>
            </w:r>
          </w:p>
        </w:tc>
        <w:tc>
          <w:tcPr>
            <w:tcW w:w="15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2E66E003">
            <w:pPr>
              <w:spacing w:after="0"/>
            </w:pPr>
            <w:r>
              <w:rPr>
                <w:rFonts w:ascii="Calibri" w:hAnsi="Calibri" w:eastAsia="Calibri"/>
                <w:b/>
                <w:color w:val="17213C"/>
                <w:sz w:val="15"/>
              </w:rPr>
              <w:t>SNAPSHOT</w:t>
            </w:r>
          </w:p>
        </w:tc>
        <w:tc>
          <w:tcPr>
            <w:tcW w:w="313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484F453">
            <w:pPr>
              <w:spacing w:after="0"/>
            </w:pPr>
            <w:r>
              <w:rPr>
                <w:rFonts w:ascii="Calibri" w:hAnsi="Calibri" w:eastAsia="Calibri"/>
                <w:color w:val="222A35"/>
                <w:sz w:val="16"/>
              </w:rPr>
              <w:t>20260730T020710Z</w:t>
            </w:r>
          </w:p>
        </w:tc>
      </w:tr>
    </w:tbl>
    <w:p w14:paraId="18D80A01">
      <w:pPr>
        <w:spacing w:after="20"/>
      </w:pPr>
    </w:p>
    <w:p w14:paraId="73039F62">
      <w:pPr>
        <w:pStyle w:val="169"/>
      </w:pPr>
      <w:r>
        <w:t>Description</w:t>
      </w:r>
    </w:p>
    <w:p w14:paraId="324C2F97">
      <w:r>
        <w:rPr>
          <w:rFonts w:ascii="Calibri" w:hAnsi="Calibri" w:eastAsia="Calibri"/>
        </w:rPr>
        <w:t>Only the position owner can call claim. The beneficiary can release the corresponding deposited asset only after claimed becomes true. There is no third-party claim-for path or post-maturity fallback.</w:t>
      </w:r>
    </w:p>
    <w:p w14:paraId="47FA912F">
      <w:pPr>
        <w:pStyle w:val="169"/>
      </w:pPr>
      <w:r>
        <w:t>Impact and exploit conditions</w:t>
      </w:r>
    </w:p>
    <w:p w14:paraId="6C42BCAC">
      <w:r>
        <w:rPr>
          <w:rFonts w:ascii="Calibri" w:hAnsi="Calibri" w:eastAsia="Calibri"/>
        </w:rPr>
        <w:t>Deposited USDT or BNB can remain locked indefinitely when a user never claims.</w:t>
      </w:r>
    </w:p>
    <w:p w14:paraId="7635B8A9">
      <w:r>
        <w:rPr>
          <w:rFonts w:ascii="Calibri" w:hAnsi="Calibri" w:eastAsia="Calibri"/>
        </w:rPr>
        <w:t>A position matures but its owner loses access, abandons the wallet or never submits the claim.</w:t>
      </w:r>
    </w:p>
    <w:p w14:paraId="42B71E53">
      <w:pPr>
        <w:pStyle w:val="169"/>
      </w:pPr>
      <w:r>
        <w:t>Recommendation</w:t>
      </w:r>
    </w:p>
    <w:p w14:paraId="1E6E93B5">
      <w:r>
        <w:rPr>
          <w:rFonts w:ascii="Calibri" w:hAnsi="Calibri" w:eastAsia="Calibri"/>
        </w:rPr>
        <w:t>Consider a permissionless claim-for function that always delivers AGNT to the recorded owner, or a carefully specified post-maturity fallback that does not reduce the user's entitlement. Document long-tail liabilities.</w:t>
      </w:r>
    </w:p>
    <w:p w14:paraId="13E03264">
      <w:pPr>
        <w:pStyle w:val="169"/>
      </w:pPr>
      <w:r>
        <w:t>Validation status</w:t>
      </w:r>
    </w:p>
    <w:tbl>
      <w:tblPr>
        <w:tblStyle w:val="34"/>
        <w:tblW w:w="9360" w:type="dxa"/>
        <w:jc w:val="center"/>
        <w:tblLayout w:type="fixed"/>
        <w:tblCellMar>
          <w:top w:w="0" w:type="dxa"/>
          <w:left w:w="108" w:type="dxa"/>
          <w:bottom w:w="0" w:type="dxa"/>
          <w:right w:w="108" w:type="dxa"/>
        </w:tblCellMar>
      </w:tblPr>
      <w:tblGrid>
        <w:gridCol w:w="9360"/>
      </w:tblGrid>
      <w:tr w14:paraId="7C6B2402">
        <w:tblPrEx>
          <w:tblCellMar>
            <w:top w:w="0" w:type="dxa"/>
            <w:left w:w="108" w:type="dxa"/>
            <w:bottom w:w="0" w:type="dxa"/>
            <w:right w:w="108" w:type="dxa"/>
          </w:tblCellMar>
        </w:tblPrEx>
        <w:trPr>
          <w:jc w:val="center"/>
        </w:trPr>
        <w:tc>
          <w:tcPr>
            <w:tcW w:w="9360" w:type="dxa"/>
            <w:tcBorders>
              <w:top w:val="single" w:color="FEECEB" w:sz="0" w:space="0"/>
              <w:left w:val="single" w:color="FEECEB" w:sz="0" w:space="0"/>
              <w:bottom w:val="single" w:color="FEECEB" w:sz="0" w:space="0"/>
              <w:right w:val="single" w:color="FEECEB" w:sz="0" w:space="0"/>
              <w:insideH w:val="single" w:sz="0" w:space="0"/>
              <w:insideV w:val="single" w:sz="0" w:space="0"/>
            </w:tcBorders>
            <w:shd w:val="clear" w:color="auto" w:fill="FEECEB"/>
            <w:tcMar>
              <w:top w:w="80" w:type="dxa"/>
              <w:left w:w="120" w:type="dxa"/>
              <w:bottom w:w="80" w:type="dxa"/>
              <w:right w:w="120" w:type="dxa"/>
            </w:tcMar>
            <w:vAlign w:val="center"/>
          </w:tcPr>
          <w:p w14:paraId="58829EEB">
            <w:pPr>
              <w:pBdr>
                <w:left w:val="single" w:color="B42318" w:sz="22" w:space="10"/>
              </w:pBdr>
              <w:spacing w:after="60"/>
            </w:pPr>
            <w:r>
              <w:rPr>
                <w:rFonts w:ascii="Calibri" w:hAnsi="Calibri" w:eastAsia="Calibri"/>
                <w:b/>
                <w:color w:val="B42318"/>
                <w:sz w:val="18"/>
              </w:rPr>
              <w:t>OPEN</w:t>
            </w:r>
          </w:p>
          <w:p w14:paraId="4561E9BC">
            <w:pPr>
              <w:pBdr>
                <w:left w:val="single" w:color="B42318" w:sz="22" w:space="10"/>
              </w:pBdr>
              <w:spacing w:after="0"/>
            </w:pPr>
            <w:r>
              <w:rPr>
                <w:rFonts w:ascii="Calibri" w:hAnsi="Calibri" w:eastAsia="Calibri"/>
                <w:color w:val="222A35"/>
                <w:sz w:val="21"/>
              </w:rPr>
              <w:t>Existing tests verify the designed owner-only claim and release sequence; they do not remove the liveness dependency.</w:t>
            </w:r>
          </w:p>
        </w:tc>
      </w:tr>
    </w:tbl>
    <w:p w14:paraId="41010CBC">
      <w:pPr>
        <w:spacing w:after="20"/>
      </w:pPr>
    </w:p>
    <w:p w14:paraId="13DBBEEA">
      <w:r>
        <w:br w:type="page"/>
      </w:r>
    </w:p>
    <w:p w14:paraId="1EB41FCC">
      <w:pPr>
        <w:pStyle w:val="3"/>
        <w:keepNext/>
      </w:pPr>
      <w:bookmarkStart w:id="30" w:name="_Toc31524"/>
      <w:r>
        <w:t>7. Automated verification evidence</w:t>
      </w:r>
      <w:bookmarkEnd w:id="30"/>
    </w:p>
    <w:p w14:paraId="3F41F523">
      <w:pPr>
        <w:pStyle w:val="4"/>
        <w:keepNext/>
      </w:pPr>
      <w:bookmarkStart w:id="31" w:name="_Toc23924"/>
      <w:r>
        <w:t>7.1 Compilation and dynamic tests</w:t>
      </w:r>
      <w:bookmarkEnd w:id="31"/>
    </w:p>
    <w:tbl>
      <w:tblPr>
        <w:tblStyle w:val="34"/>
        <w:tblW w:w="9360" w:type="dxa"/>
        <w:jc w:val="center"/>
        <w:tblLayout w:type="fixed"/>
        <w:tblCellMar>
          <w:top w:w="0" w:type="dxa"/>
          <w:left w:w="108" w:type="dxa"/>
          <w:bottom w:w="0" w:type="dxa"/>
          <w:right w:w="108" w:type="dxa"/>
        </w:tblCellMar>
      </w:tblPr>
      <w:tblGrid>
        <w:gridCol w:w="3100"/>
        <w:gridCol w:w="2500"/>
        <w:gridCol w:w="3760"/>
      </w:tblGrid>
      <w:tr w14:paraId="067F340D">
        <w:tblPrEx>
          <w:tblCellMar>
            <w:top w:w="0" w:type="dxa"/>
            <w:left w:w="108" w:type="dxa"/>
            <w:bottom w:w="0" w:type="dxa"/>
            <w:right w:w="108" w:type="dxa"/>
          </w:tblCellMar>
        </w:tblPrEx>
        <w:trPr>
          <w:cantSplit/>
          <w:tblHeader/>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6744E02">
            <w:pPr>
              <w:spacing w:after="0"/>
            </w:pPr>
            <w:r>
              <w:rPr>
                <w:rFonts w:ascii="Calibri" w:hAnsi="Calibri" w:eastAsia="Calibri"/>
                <w:b/>
                <w:color w:val="17213C"/>
                <w:sz w:val="17"/>
              </w:rPr>
              <w:t>SUITE</w:t>
            </w:r>
          </w:p>
        </w:tc>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6B599E25">
            <w:pPr>
              <w:spacing w:after="0"/>
            </w:pPr>
            <w:r>
              <w:rPr>
                <w:rFonts w:ascii="Calibri" w:hAnsi="Calibri" w:eastAsia="Calibri"/>
                <w:b/>
                <w:color w:val="17213C"/>
                <w:sz w:val="17"/>
              </w:rPr>
              <w:t>RESULT</w:t>
            </w:r>
          </w:p>
        </w:tc>
        <w:tc>
          <w:tcPr>
            <w:tcW w:w="37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18F8A002">
            <w:pPr>
              <w:spacing w:after="0"/>
            </w:pPr>
            <w:r>
              <w:rPr>
                <w:rFonts w:ascii="Calibri" w:hAnsi="Calibri" w:eastAsia="Calibri"/>
                <w:b/>
                <w:color w:val="17213C"/>
                <w:sz w:val="17"/>
              </w:rPr>
              <w:t>EVIDENCE</w:t>
            </w:r>
          </w:p>
        </w:tc>
      </w:tr>
      <w:tr w14:paraId="6E959553">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78CC957">
            <w:pPr>
              <w:spacing w:after="0"/>
            </w:pPr>
            <w:r>
              <w:rPr>
                <w:rFonts w:ascii="Calibri" w:hAnsi="Calibri" w:eastAsia="Calibri"/>
                <w:b/>
                <w:color w:val="222A35"/>
                <w:sz w:val="17"/>
              </w:rPr>
              <w:t>Hardhat clean + compile</w:t>
            </w:r>
          </w:p>
        </w:tc>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C99BF21">
            <w:pPr>
              <w:spacing w:after="0"/>
            </w:pPr>
            <w:r>
              <w:rPr>
                <w:rFonts w:ascii="Calibri" w:hAnsi="Calibri" w:eastAsia="Calibri"/>
                <w:b w:val="0"/>
                <w:color w:val="222A35"/>
                <w:sz w:val="17"/>
              </w:rPr>
              <w:t>34 Solidity files; success</w:t>
            </w:r>
          </w:p>
        </w:tc>
        <w:tc>
          <w:tcPr>
            <w:tcW w:w="37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4B9D6EE">
            <w:pPr>
              <w:spacing w:after="0"/>
            </w:pPr>
            <w:r>
              <w:rPr>
                <w:rFonts w:ascii="Calibri" w:hAnsi="Calibri" w:eastAsia="Calibri"/>
                <w:b w:val="0"/>
                <w:color w:val="222A35"/>
                <w:sz w:val="17"/>
              </w:rPr>
              <w:t>hardhat-check.txt</w:t>
            </w:r>
          </w:p>
        </w:tc>
      </w:tr>
      <w:tr w14:paraId="53F5082B">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09D4404">
            <w:pPr>
              <w:spacing w:after="0"/>
            </w:pPr>
            <w:r>
              <w:rPr>
                <w:rFonts w:ascii="Calibri" w:hAnsi="Calibri" w:eastAsia="Calibri"/>
                <w:b/>
                <w:color w:val="222A35"/>
                <w:sz w:val="17"/>
              </w:rPr>
              <w:t>Chain-56 main suite</w:t>
            </w:r>
          </w:p>
        </w:tc>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05DC8B0A">
            <w:pPr>
              <w:spacing w:after="0"/>
            </w:pPr>
            <w:r>
              <w:rPr>
                <w:rFonts w:ascii="Calibri" w:hAnsi="Calibri" w:eastAsia="Calibri"/>
                <w:b w:val="0"/>
                <w:color w:val="222A35"/>
                <w:sz w:val="17"/>
              </w:rPr>
              <w:t>74 passing; 1 intentional pending</w:t>
            </w:r>
          </w:p>
        </w:tc>
        <w:tc>
          <w:tcPr>
            <w:tcW w:w="37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4D07A318">
            <w:pPr>
              <w:spacing w:after="0"/>
            </w:pPr>
            <w:r>
              <w:rPr>
                <w:rFonts w:ascii="Calibri" w:hAnsi="Calibri" w:eastAsia="Calibri"/>
                <w:b w:val="0"/>
                <w:color w:val="222A35"/>
                <w:sz w:val="17"/>
              </w:rPr>
              <w:t>hardhat-check.txt</w:t>
            </w:r>
          </w:p>
        </w:tc>
      </w:tr>
      <w:tr w14:paraId="65835341">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1458BBF">
            <w:pPr>
              <w:spacing w:after="0"/>
            </w:pPr>
            <w:r>
              <w:rPr>
                <w:rFonts w:ascii="Calibri" w:hAnsi="Calibri" w:eastAsia="Calibri"/>
                <w:b/>
                <w:color w:val="222A35"/>
                <w:sz w:val="17"/>
              </w:rPr>
              <w:t>Chain-97 constructor guard</w:t>
            </w:r>
          </w:p>
        </w:tc>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352A69E">
            <w:pPr>
              <w:spacing w:after="0"/>
            </w:pPr>
            <w:r>
              <w:rPr>
                <w:rFonts w:ascii="Calibri" w:hAnsi="Calibri" w:eastAsia="Calibri"/>
                <w:b w:val="0"/>
                <w:color w:val="222A35"/>
                <w:sz w:val="17"/>
              </w:rPr>
              <w:t>1 passing</w:t>
            </w:r>
          </w:p>
        </w:tc>
        <w:tc>
          <w:tcPr>
            <w:tcW w:w="37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D82F6A0">
            <w:pPr>
              <w:spacing w:after="0"/>
            </w:pPr>
            <w:r>
              <w:rPr>
                <w:rFonts w:ascii="Calibri" w:hAnsi="Calibri" w:eastAsia="Calibri"/>
                <w:b w:val="0"/>
                <w:color w:val="222A35"/>
                <w:sz w:val="17"/>
              </w:rPr>
              <w:t>hardhat-check.txt</w:t>
            </w:r>
          </w:p>
        </w:tc>
      </w:tr>
      <w:tr w14:paraId="084D7986">
        <w:tblPrEx>
          <w:tblCellMar>
            <w:top w:w="0" w:type="dxa"/>
            <w:left w:w="108" w:type="dxa"/>
            <w:bottom w:w="0" w:type="dxa"/>
            <w:right w:w="108" w:type="dxa"/>
          </w:tblCellMar>
        </w:tblPrEx>
        <w:trPr>
          <w:cantSplit/>
          <w:jc w:val="center"/>
        </w:trPr>
        <w:tc>
          <w:tcPr>
            <w:tcW w:w="31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6D31E1E">
            <w:pPr>
              <w:spacing w:after="0"/>
            </w:pPr>
            <w:r>
              <w:rPr>
                <w:rFonts w:ascii="Calibri" w:hAnsi="Calibri" w:eastAsia="Calibri"/>
                <w:b/>
                <w:color w:val="222A35"/>
                <w:sz w:val="17"/>
              </w:rPr>
              <w:t>Coverage-instrumented suite</w:t>
            </w:r>
          </w:p>
        </w:tc>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3C6B5838">
            <w:pPr>
              <w:spacing w:after="0"/>
            </w:pPr>
            <w:r>
              <w:rPr>
                <w:rFonts w:ascii="Calibri" w:hAnsi="Calibri" w:eastAsia="Calibri"/>
                <w:b w:val="0"/>
                <w:color w:val="222A35"/>
                <w:sz w:val="17"/>
              </w:rPr>
              <w:t>74 passing; 1 intentional pending</w:t>
            </w:r>
          </w:p>
        </w:tc>
        <w:tc>
          <w:tcPr>
            <w:tcW w:w="37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65CE8B5">
            <w:pPr>
              <w:spacing w:after="0"/>
            </w:pPr>
            <w:r>
              <w:rPr>
                <w:rFonts w:ascii="Calibri" w:hAnsi="Calibri" w:eastAsia="Calibri"/>
                <w:b w:val="0"/>
                <w:color w:val="222A35"/>
                <w:sz w:val="17"/>
              </w:rPr>
              <w:t>solidity-coverage.txt</w:t>
            </w:r>
          </w:p>
        </w:tc>
      </w:tr>
    </w:tbl>
    <w:p w14:paraId="01AA9BBD">
      <w:pPr>
        <w:spacing w:after="20"/>
      </w:pPr>
    </w:p>
    <w:p w14:paraId="1A6F28A5">
      <w:r>
        <w:rPr>
          <w:rFonts w:ascii="Calibri" w:hAnsi="Calibri" w:eastAsia="Calibri"/>
        </w:rPr>
        <w:t>The pending test is the wrong-chain constructor guard while the main suite runs on chainId 56. The same guard is then executed and passes in the separate chainId 97 configuration.</w:t>
      </w:r>
    </w:p>
    <w:p w14:paraId="3E9300FC">
      <w:pPr>
        <w:pStyle w:val="4"/>
        <w:keepNext/>
      </w:pPr>
      <w:bookmarkStart w:id="32" w:name="_Toc5915"/>
      <w:r>
        <w:t>7.2 Coverage</w:t>
      </w:r>
      <w:bookmarkEnd w:id="32"/>
    </w:p>
    <w:tbl>
      <w:tblPr>
        <w:tblStyle w:val="34"/>
        <w:tblW w:w="9360" w:type="dxa"/>
        <w:jc w:val="center"/>
        <w:tblLayout w:type="fixed"/>
        <w:tblCellMar>
          <w:top w:w="0" w:type="dxa"/>
          <w:left w:w="108" w:type="dxa"/>
          <w:bottom w:w="0" w:type="dxa"/>
          <w:right w:w="108" w:type="dxa"/>
        </w:tblCellMar>
      </w:tblPr>
      <w:tblGrid>
        <w:gridCol w:w="3440"/>
        <w:gridCol w:w="1480"/>
        <w:gridCol w:w="1480"/>
        <w:gridCol w:w="1480"/>
        <w:gridCol w:w="1480"/>
      </w:tblGrid>
      <w:tr w14:paraId="307E1602">
        <w:tblPrEx>
          <w:tblCellMar>
            <w:top w:w="0" w:type="dxa"/>
            <w:left w:w="108" w:type="dxa"/>
            <w:bottom w:w="0" w:type="dxa"/>
            <w:right w:w="108" w:type="dxa"/>
          </w:tblCellMar>
        </w:tblPrEx>
        <w:trPr>
          <w:cantSplit/>
          <w:tblHeader/>
          <w:jc w:val="center"/>
        </w:trPr>
        <w:tc>
          <w:tcPr>
            <w:tcW w:w="344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B520176">
            <w:pPr>
              <w:spacing w:after="0"/>
            </w:pPr>
            <w:r>
              <w:rPr>
                <w:rFonts w:ascii="Calibri" w:hAnsi="Calibri" w:eastAsia="Calibri"/>
                <w:b/>
                <w:color w:val="17213C"/>
                <w:sz w:val="16"/>
              </w:rPr>
              <w:t>FILE</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573FA2B8">
            <w:pPr>
              <w:spacing w:after="0"/>
            </w:pPr>
            <w:r>
              <w:rPr>
                <w:rFonts w:ascii="Calibri" w:hAnsi="Calibri" w:eastAsia="Calibri"/>
                <w:b/>
                <w:color w:val="17213C"/>
                <w:sz w:val="16"/>
              </w:rPr>
              <w:t>STMTS</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CD0EE0B">
            <w:pPr>
              <w:spacing w:after="0"/>
            </w:pPr>
            <w:r>
              <w:rPr>
                <w:rFonts w:ascii="Calibri" w:hAnsi="Calibri" w:eastAsia="Calibri"/>
                <w:b/>
                <w:color w:val="17213C"/>
                <w:sz w:val="16"/>
              </w:rPr>
              <w:t>BRANCH</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C898BD0">
            <w:pPr>
              <w:spacing w:after="0"/>
            </w:pPr>
            <w:r>
              <w:rPr>
                <w:rFonts w:ascii="Calibri" w:hAnsi="Calibri" w:eastAsia="Calibri"/>
                <w:b/>
                <w:color w:val="17213C"/>
                <w:sz w:val="16"/>
              </w:rPr>
              <w:t>FUNCS</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2CAF638">
            <w:pPr>
              <w:spacing w:after="0"/>
            </w:pPr>
            <w:r>
              <w:rPr>
                <w:rFonts w:ascii="Calibri" w:hAnsi="Calibri" w:eastAsia="Calibri"/>
                <w:b/>
                <w:color w:val="17213C"/>
                <w:sz w:val="16"/>
              </w:rPr>
              <w:t>LINES</w:t>
            </w:r>
          </w:p>
        </w:tc>
      </w:tr>
      <w:tr w14:paraId="2B8D75BC">
        <w:tblPrEx>
          <w:tblCellMar>
            <w:top w:w="0" w:type="dxa"/>
            <w:left w:w="108" w:type="dxa"/>
            <w:bottom w:w="0" w:type="dxa"/>
            <w:right w:w="108" w:type="dxa"/>
          </w:tblCellMar>
        </w:tblPrEx>
        <w:trPr>
          <w:cantSplit/>
          <w:jc w:val="center"/>
        </w:trPr>
        <w:tc>
          <w:tcPr>
            <w:tcW w:w="344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CB47F65">
            <w:pPr>
              <w:spacing w:after="0"/>
            </w:pPr>
            <w:r>
              <w:rPr>
                <w:rFonts w:ascii="Calibri" w:hAnsi="Calibri" w:eastAsia="Calibri"/>
                <w:b/>
                <w:color w:val="222A35"/>
                <w:sz w:val="16"/>
              </w:rPr>
              <w:t>AegentMarketRegistry.sol</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4BF4E87">
            <w:pPr>
              <w:spacing w:after="0"/>
            </w:pPr>
            <w:r>
              <w:rPr>
                <w:rFonts w:ascii="Calibri" w:hAnsi="Calibri" w:eastAsia="Calibri"/>
                <w:b w:val="0"/>
                <w:color w:val="222A35"/>
                <w:sz w:val="16"/>
              </w:rPr>
              <w:t>93.22%</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A29A05E">
            <w:pPr>
              <w:spacing w:after="0"/>
            </w:pPr>
            <w:r>
              <w:rPr>
                <w:rFonts w:ascii="Calibri" w:hAnsi="Calibri" w:eastAsia="Calibri"/>
                <w:b w:val="0"/>
                <w:color w:val="222A35"/>
                <w:sz w:val="16"/>
              </w:rPr>
              <w:t>67.44%</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715275D">
            <w:pPr>
              <w:spacing w:after="0"/>
            </w:pPr>
            <w:r>
              <w:rPr>
                <w:rFonts w:ascii="Calibri" w:hAnsi="Calibri" w:eastAsia="Calibri"/>
                <w:b w:val="0"/>
                <w:color w:val="222A35"/>
                <w:sz w:val="16"/>
              </w:rPr>
              <w:t>100.00%</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B82B8DA">
            <w:pPr>
              <w:spacing w:after="0"/>
            </w:pPr>
            <w:r>
              <w:rPr>
                <w:rFonts w:ascii="Calibri" w:hAnsi="Calibri" w:eastAsia="Calibri"/>
                <w:b w:val="0"/>
                <w:color w:val="222A35"/>
                <w:sz w:val="16"/>
              </w:rPr>
              <w:t>91.26%</w:t>
            </w:r>
          </w:p>
        </w:tc>
      </w:tr>
      <w:tr w14:paraId="5958F67E">
        <w:tblPrEx>
          <w:tblCellMar>
            <w:top w:w="0" w:type="dxa"/>
            <w:left w:w="108" w:type="dxa"/>
            <w:bottom w:w="0" w:type="dxa"/>
            <w:right w:w="108" w:type="dxa"/>
          </w:tblCellMar>
        </w:tblPrEx>
        <w:trPr>
          <w:cantSplit/>
          <w:jc w:val="center"/>
        </w:trPr>
        <w:tc>
          <w:tcPr>
            <w:tcW w:w="344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013931B7">
            <w:pPr>
              <w:spacing w:after="0"/>
            </w:pPr>
            <w:r>
              <w:rPr>
                <w:rFonts w:ascii="Calibri" w:hAnsi="Calibri" w:eastAsia="Calibri"/>
                <w:b/>
                <w:color w:val="222A35"/>
                <w:sz w:val="16"/>
              </w:rPr>
              <w:t>AegentRedemptionV2.sol</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3016AC7">
            <w:pPr>
              <w:spacing w:after="0"/>
            </w:pPr>
            <w:r>
              <w:rPr>
                <w:rFonts w:ascii="Calibri" w:hAnsi="Calibri" w:eastAsia="Calibri"/>
                <w:b w:val="0"/>
                <w:color w:val="222A35"/>
                <w:sz w:val="16"/>
              </w:rPr>
              <w:t>94.58%</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4E3EC2B2">
            <w:pPr>
              <w:spacing w:after="0"/>
            </w:pPr>
            <w:r>
              <w:rPr>
                <w:rFonts w:ascii="Calibri" w:hAnsi="Calibri" w:eastAsia="Calibri"/>
                <w:b w:val="0"/>
                <w:color w:val="222A35"/>
                <w:sz w:val="16"/>
              </w:rPr>
              <w:t>51.58%</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3876B783">
            <w:pPr>
              <w:spacing w:after="0"/>
            </w:pPr>
            <w:r>
              <w:rPr>
                <w:rFonts w:ascii="Calibri" w:hAnsi="Calibri" w:eastAsia="Calibri"/>
                <w:b w:val="0"/>
                <w:color w:val="222A35"/>
                <w:sz w:val="16"/>
              </w:rPr>
              <w:t>92.59%</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92AC56C">
            <w:pPr>
              <w:spacing w:after="0"/>
            </w:pPr>
            <w:r>
              <w:rPr>
                <w:rFonts w:ascii="Calibri" w:hAnsi="Calibri" w:eastAsia="Calibri"/>
                <w:b w:val="0"/>
                <w:color w:val="222A35"/>
                <w:sz w:val="16"/>
              </w:rPr>
              <w:t>80.57%</w:t>
            </w:r>
          </w:p>
        </w:tc>
      </w:tr>
      <w:tr w14:paraId="287A9813">
        <w:tblPrEx>
          <w:tblCellMar>
            <w:top w:w="0" w:type="dxa"/>
            <w:left w:w="108" w:type="dxa"/>
            <w:bottom w:w="0" w:type="dxa"/>
            <w:right w:w="108" w:type="dxa"/>
          </w:tblCellMar>
        </w:tblPrEx>
        <w:trPr>
          <w:cantSplit/>
          <w:jc w:val="center"/>
        </w:trPr>
        <w:tc>
          <w:tcPr>
            <w:tcW w:w="344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ABF950A">
            <w:pPr>
              <w:spacing w:after="0"/>
            </w:pPr>
            <w:r>
              <w:rPr>
                <w:rFonts w:ascii="Calibri" w:hAnsi="Calibri" w:eastAsia="Calibri"/>
                <w:b/>
                <w:color w:val="222A35"/>
                <w:sz w:val="16"/>
              </w:rPr>
              <w:t>AegentSaleProceedsVault.sol</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0310416">
            <w:pPr>
              <w:spacing w:after="0"/>
            </w:pPr>
            <w:r>
              <w:rPr>
                <w:rFonts w:ascii="Calibri" w:hAnsi="Calibri" w:eastAsia="Calibri"/>
                <w:b w:val="0"/>
                <w:color w:val="222A35"/>
                <w:sz w:val="16"/>
              </w:rPr>
              <w:t>100.00%</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9F98703">
            <w:pPr>
              <w:spacing w:after="0"/>
            </w:pPr>
            <w:r>
              <w:rPr>
                <w:rFonts w:ascii="Calibri" w:hAnsi="Calibri" w:eastAsia="Calibri"/>
                <w:b w:val="0"/>
                <w:color w:val="222A35"/>
                <w:sz w:val="16"/>
              </w:rPr>
              <w:t>28.13%</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E03339E">
            <w:pPr>
              <w:spacing w:after="0"/>
            </w:pPr>
            <w:r>
              <w:rPr>
                <w:rFonts w:ascii="Calibri" w:hAnsi="Calibri" w:eastAsia="Calibri"/>
                <w:b w:val="0"/>
                <w:color w:val="222A35"/>
                <w:sz w:val="16"/>
              </w:rPr>
              <w:t>100.00%</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ADD9957">
            <w:pPr>
              <w:spacing w:after="0"/>
            </w:pPr>
            <w:r>
              <w:rPr>
                <w:rFonts w:ascii="Calibri" w:hAnsi="Calibri" w:eastAsia="Calibri"/>
                <w:b w:val="0"/>
                <w:color w:val="222A35"/>
                <w:sz w:val="16"/>
              </w:rPr>
              <w:t>78.13%</w:t>
            </w:r>
          </w:p>
        </w:tc>
      </w:tr>
      <w:tr w14:paraId="3BB7060B">
        <w:tblPrEx>
          <w:tblCellMar>
            <w:top w:w="0" w:type="dxa"/>
            <w:left w:w="108" w:type="dxa"/>
            <w:bottom w:w="0" w:type="dxa"/>
            <w:right w:w="108" w:type="dxa"/>
          </w:tblCellMar>
        </w:tblPrEx>
        <w:trPr>
          <w:cantSplit/>
          <w:jc w:val="center"/>
        </w:trPr>
        <w:tc>
          <w:tcPr>
            <w:tcW w:w="344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FE91A14">
            <w:pPr>
              <w:spacing w:after="0"/>
            </w:pPr>
            <w:r>
              <w:rPr>
                <w:rFonts w:ascii="Calibri" w:hAnsi="Calibri" w:eastAsia="Calibri"/>
                <w:b/>
                <w:color w:val="222A35"/>
                <w:sz w:val="16"/>
              </w:rPr>
              <w:t>AegentStakingV1.sol</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61AA6A0">
            <w:pPr>
              <w:spacing w:after="0"/>
            </w:pPr>
            <w:r>
              <w:rPr>
                <w:rFonts w:ascii="Calibri" w:hAnsi="Calibri" w:eastAsia="Calibri"/>
                <w:b w:val="0"/>
                <w:color w:val="222A35"/>
                <w:sz w:val="16"/>
              </w:rPr>
              <w:t>97.94%</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34526C18">
            <w:pPr>
              <w:spacing w:after="0"/>
            </w:pPr>
            <w:r>
              <w:rPr>
                <w:rFonts w:ascii="Calibri" w:hAnsi="Calibri" w:eastAsia="Calibri"/>
                <w:b w:val="0"/>
                <w:color w:val="222A35"/>
                <w:sz w:val="16"/>
              </w:rPr>
              <w:t>78.77%</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F94B701">
            <w:pPr>
              <w:spacing w:after="0"/>
            </w:pPr>
            <w:r>
              <w:rPr>
                <w:rFonts w:ascii="Calibri" w:hAnsi="Calibri" w:eastAsia="Calibri"/>
                <w:b w:val="0"/>
                <w:color w:val="222A35"/>
                <w:sz w:val="16"/>
              </w:rPr>
              <w:t>100.00%</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B6F6761">
            <w:pPr>
              <w:spacing w:after="0"/>
            </w:pPr>
            <w:r>
              <w:rPr>
                <w:rFonts w:ascii="Calibri" w:hAnsi="Calibri" w:eastAsia="Calibri"/>
                <w:b w:val="0"/>
                <w:color w:val="222A35"/>
                <w:sz w:val="16"/>
              </w:rPr>
              <w:t>97.89%</w:t>
            </w:r>
          </w:p>
        </w:tc>
      </w:tr>
      <w:tr w14:paraId="0D322D9E">
        <w:tblPrEx>
          <w:tblCellMar>
            <w:top w:w="0" w:type="dxa"/>
            <w:left w:w="108" w:type="dxa"/>
            <w:bottom w:w="0" w:type="dxa"/>
            <w:right w:w="108" w:type="dxa"/>
          </w:tblCellMar>
        </w:tblPrEx>
        <w:trPr>
          <w:cantSplit/>
          <w:jc w:val="center"/>
        </w:trPr>
        <w:tc>
          <w:tcPr>
            <w:tcW w:w="344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8FBB974">
            <w:pPr>
              <w:spacing w:after="0"/>
            </w:pPr>
            <w:r>
              <w:rPr>
                <w:rFonts w:ascii="Calibri" w:hAnsi="Calibri" w:eastAsia="Calibri"/>
                <w:b/>
                <w:color w:val="222A35"/>
                <w:sz w:val="16"/>
              </w:rPr>
              <w:t>AegentSwapV2.sol</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DBD1733">
            <w:pPr>
              <w:spacing w:after="0"/>
            </w:pPr>
            <w:r>
              <w:rPr>
                <w:rFonts w:ascii="Calibri" w:hAnsi="Calibri" w:eastAsia="Calibri"/>
                <w:b w:val="0"/>
                <w:color w:val="222A35"/>
                <w:sz w:val="16"/>
              </w:rPr>
              <w:t>96.89%</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4917591">
            <w:pPr>
              <w:spacing w:after="0"/>
            </w:pPr>
            <w:r>
              <w:rPr>
                <w:rFonts w:ascii="Calibri" w:hAnsi="Calibri" w:eastAsia="Calibri"/>
                <w:b w:val="0"/>
                <w:color w:val="222A35"/>
                <w:sz w:val="16"/>
              </w:rPr>
              <w:t>53.96%</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9374EFC">
            <w:pPr>
              <w:spacing w:after="0"/>
            </w:pPr>
            <w:r>
              <w:rPr>
                <w:rFonts w:ascii="Calibri" w:hAnsi="Calibri" w:eastAsia="Calibri"/>
                <w:b w:val="0"/>
                <w:color w:val="222A35"/>
                <w:sz w:val="16"/>
              </w:rPr>
              <w:t>97.14%</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EF847A4">
            <w:pPr>
              <w:spacing w:after="0"/>
            </w:pPr>
            <w:r>
              <w:rPr>
                <w:rFonts w:ascii="Calibri" w:hAnsi="Calibri" w:eastAsia="Calibri"/>
                <w:b w:val="0"/>
                <w:color w:val="222A35"/>
                <w:sz w:val="16"/>
              </w:rPr>
              <w:t>85.11%</w:t>
            </w:r>
          </w:p>
        </w:tc>
      </w:tr>
      <w:tr w14:paraId="14DA13CC">
        <w:tblPrEx>
          <w:tblCellMar>
            <w:top w:w="0" w:type="dxa"/>
            <w:left w:w="108" w:type="dxa"/>
            <w:bottom w:w="0" w:type="dxa"/>
            <w:right w:w="108" w:type="dxa"/>
          </w:tblCellMar>
        </w:tblPrEx>
        <w:trPr>
          <w:cantSplit/>
          <w:jc w:val="center"/>
        </w:trPr>
        <w:tc>
          <w:tcPr>
            <w:tcW w:w="344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821C513">
            <w:pPr>
              <w:spacing w:after="0"/>
            </w:pPr>
            <w:r>
              <w:rPr>
                <w:rFonts w:ascii="Calibri" w:hAnsi="Calibri" w:eastAsia="Calibri"/>
                <w:b/>
                <w:color w:val="222A35"/>
                <w:sz w:val="16"/>
              </w:rPr>
              <w:t>All production contracts</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08C7CBB">
            <w:pPr>
              <w:spacing w:after="0"/>
            </w:pPr>
            <w:r>
              <w:rPr>
                <w:rFonts w:ascii="Calibri" w:hAnsi="Calibri" w:eastAsia="Calibri"/>
                <w:b w:val="0"/>
                <w:color w:val="222A35"/>
                <w:sz w:val="16"/>
              </w:rPr>
              <w:t>96.02%</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66C9741">
            <w:pPr>
              <w:spacing w:after="0"/>
            </w:pPr>
            <w:r>
              <w:rPr>
                <w:rFonts w:ascii="Calibri" w:hAnsi="Calibri" w:eastAsia="Calibri"/>
                <w:b w:val="0"/>
                <w:color w:val="222A35"/>
                <w:sz w:val="16"/>
              </w:rPr>
              <w:t>59.30%</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B947DAA">
            <w:pPr>
              <w:spacing w:after="0"/>
            </w:pPr>
            <w:r>
              <w:rPr>
                <w:rFonts w:ascii="Calibri" w:hAnsi="Calibri" w:eastAsia="Calibri"/>
                <w:b w:val="0"/>
                <w:color w:val="222A35"/>
                <w:sz w:val="16"/>
              </w:rPr>
              <w:t>97.09%</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BDF8040">
            <w:pPr>
              <w:spacing w:after="0"/>
            </w:pPr>
            <w:r>
              <w:rPr>
                <w:rFonts w:ascii="Calibri" w:hAnsi="Calibri" w:eastAsia="Calibri"/>
                <w:b w:val="0"/>
                <w:color w:val="222A35"/>
                <w:sz w:val="16"/>
              </w:rPr>
              <w:t>86.25%</w:t>
            </w:r>
          </w:p>
        </w:tc>
      </w:tr>
      <w:tr w14:paraId="131A998A">
        <w:tblPrEx>
          <w:tblCellMar>
            <w:top w:w="0" w:type="dxa"/>
            <w:left w:w="108" w:type="dxa"/>
            <w:bottom w:w="0" w:type="dxa"/>
            <w:right w:w="108" w:type="dxa"/>
          </w:tblCellMar>
        </w:tblPrEx>
        <w:trPr>
          <w:cantSplit/>
          <w:jc w:val="center"/>
        </w:trPr>
        <w:tc>
          <w:tcPr>
            <w:tcW w:w="344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8ACBC4E">
            <w:pPr>
              <w:spacing w:after="0"/>
            </w:pPr>
            <w:r>
              <w:rPr>
                <w:rFonts w:ascii="Calibri" w:hAnsi="Calibri" w:eastAsia="Calibri"/>
                <w:b/>
                <w:color w:val="222A35"/>
                <w:sz w:val="16"/>
              </w:rPr>
              <w:t>All instrumented files</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C933052">
            <w:pPr>
              <w:spacing w:after="0"/>
            </w:pPr>
            <w:r>
              <w:rPr>
                <w:rFonts w:ascii="Calibri" w:hAnsi="Calibri" w:eastAsia="Calibri"/>
                <w:b w:val="0"/>
                <w:color w:val="222A35"/>
                <w:sz w:val="16"/>
              </w:rPr>
              <w:t>96.18%</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9AE2C17">
            <w:pPr>
              <w:spacing w:after="0"/>
            </w:pPr>
            <w:r>
              <w:rPr>
                <w:rFonts w:ascii="Calibri" w:hAnsi="Calibri" w:eastAsia="Calibri"/>
                <w:b w:val="0"/>
                <w:color w:val="222A35"/>
                <w:sz w:val="16"/>
              </w:rPr>
              <w:t>59.91%</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42EC511">
            <w:pPr>
              <w:spacing w:after="0"/>
            </w:pPr>
            <w:r>
              <w:rPr>
                <w:rFonts w:ascii="Calibri" w:hAnsi="Calibri" w:eastAsia="Calibri"/>
                <w:b w:val="0"/>
                <w:color w:val="222A35"/>
                <w:sz w:val="16"/>
              </w:rPr>
              <w:t>97.66%</w:t>
            </w:r>
          </w:p>
        </w:tc>
        <w:tc>
          <w:tcPr>
            <w:tcW w:w="148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3BD319F">
            <w:pPr>
              <w:spacing w:after="0"/>
            </w:pPr>
            <w:r>
              <w:rPr>
                <w:rFonts w:ascii="Calibri" w:hAnsi="Calibri" w:eastAsia="Calibri"/>
                <w:b w:val="0"/>
                <w:color w:val="222A35"/>
                <w:sz w:val="16"/>
              </w:rPr>
              <w:t>87.01%</w:t>
            </w:r>
          </w:p>
        </w:tc>
      </w:tr>
    </w:tbl>
    <w:p w14:paraId="46E9C8F1">
      <w:pPr>
        <w:spacing w:after="20"/>
      </w:pPr>
    </w:p>
    <w:tbl>
      <w:tblPr>
        <w:tblStyle w:val="34"/>
        <w:tblW w:w="9360" w:type="dxa"/>
        <w:jc w:val="center"/>
        <w:tblLayout w:type="fixed"/>
        <w:tblCellMar>
          <w:top w:w="0" w:type="dxa"/>
          <w:left w:w="108" w:type="dxa"/>
          <w:bottom w:w="0" w:type="dxa"/>
          <w:right w:w="108" w:type="dxa"/>
        </w:tblCellMar>
      </w:tblPr>
      <w:tblGrid>
        <w:gridCol w:w="9360"/>
      </w:tblGrid>
      <w:tr w14:paraId="0536D7A2">
        <w:tblPrEx>
          <w:tblCellMar>
            <w:top w:w="0" w:type="dxa"/>
            <w:left w:w="108" w:type="dxa"/>
            <w:bottom w:w="0" w:type="dxa"/>
            <w:right w:w="108" w:type="dxa"/>
          </w:tblCellMar>
        </w:tblPrEx>
        <w:trPr>
          <w:jc w:val="center"/>
        </w:trPr>
        <w:tc>
          <w:tcPr>
            <w:tcW w:w="9360" w:type="dxa"/>
            <w:tcBorders>
              <w:top w:val="single" w:color="EAF2FF" w:sz="0" w:space="0"/>
              <w:left w:val="single" w:color="EAF2FF" w:sz="0" w:space="0"/>
              <w:bottom w:val="single" w:color="EAF2FF" w:sz="0" w:space="0"/>
              <w:right w:val="single" w:color="EAF2FF" w:sz="0" w:space="0"/>
              <w:insideH w:val="single" w:sz="0" w:space="0"/>
              <w:insideV w:val="single" w:sz="0" w:space="0"/>
            </w:tcBorders>
            <w:shd w:val="clear" w:color="auto" w:fill="EAF2FF"/>
            <w:tcMar>
              <w:top w:w="80" w:type="dxa"/>
              <w:left w:w="120" w:type="dxa"/>
              <w:bottom w:w="80" w:type="dxa"/>
              <w:right w:w="120" w:type="dxa"/>
            </w:tcMar>
            <w:vAlign w:val="center"/>
          </w:tcPr>
          <w:p w14:paraId="20583F15">
            <w:pPr>
              <w:pBdr>
                <w:left w:val="single" w:color="175CD3" w:sz="22" w:space="10"/>
              </w:pBdr>
              <w:spacing w:after="60"/>
            </w:pPr>
            <w:r>
              <w:rPr>
                <w:rFonts w:ascii="Calibri" w:hAnsi="Calibri" w:eastAsia="Calibri"/>
                <w:b/>
                <w:color w:val="175CD3"/>
                <w:sz w:val="18"/>
              </w:rPr>
              <w:t>COVERAGE INTERPRETATION</w:t>
            </w:r>
          </w:p>
          <w:p w14:paraId="1447A42D">
            <w:pPr>
              <w:pBdr>
                <w:left w:val="single" w:color="175CD3" w:sz="22" w:space="10"/>
              </w:pBdr>
              <w:spacing w:after="0"/>
            </w:pPr>
            <w:r>
              <w:rPr>
                <w:rFonts w:ascii="Calibri" w:hAnsi="Calibri" w:eastAsia="Calibri"/>
                <w:color w:val="222A35"/>
                <w:sz w:val="21"/>
              </w:rPr>
              <w:t>Coverage measures exercised code, not exploit absence. Branch coverage remains the weakest metric, particularly for Redemption and Vault. Boundary, failure and invariant tests should continue to grow.</w:t>
            </w:r>
          </w:p>
        </w:tc>
      </w:tr>
    </w:tbl>
    <w:p w14:paraId="6CDC2E41">
      <w:pPr>
        <w:spacing w:after="20"/>
      </w:pPr>
    </w:p>
    <w:p w14:paraId="527C135F">
      <w:r>
        <w:br w:type="page"/>
      </w:r>
    </w:p>
    <w:p w14:paraId="37E0081F">
      <w:pPr>
        <w:pStyle w:val="4"/>
        <w:keepNext/>
      </w:pPr>
      <w:bookmarkStart w:id="33" w:name="_Toc32344"/>
      <w:r>
        <w:t>7.3 Slither static analysis</w:t>
      </w:r>
      <w:bookmarkEnd w:id="33"/>
    </w:p>
    <w:tbl>
      <w:tblPr>
        <w:tblStyle w:val="34"/>
        <w:tblW w:w="9360" w:type="dxa"/>
        <w:jc w:val="center"/>
        <w:tblLayout w:type="fixed"/>
        <w:tblCellMar>
          <w:top w:w="0" w:type="dxa"/>
          <w:left w:w="108" w:type="dxa"/>
          <w:bottom w:w="0" w:type="dxa"/>
          <w:right w:w="108" w:type="dxa"/>
        </w:tblCellMar>
      </w:tblPr>
      <w:tblGrid>
        <w:gridCol w:w="6500"/>
        <w:gridCol w:w="2860"/>
      </w:tblGrid>
      <w:tr w14:paraId="53A5EEAA">
        <w:tblPrEx>
          <w:tblCellMar>
            <w:top w:w="0" w:type="dxa"/>
            <w:left w:w="108" w:type="dxa"/>
            <w:bottom w:w="0" w:type="dxa"/>
            <w:right w:w="108" w:type="dxa"/>
          </w:tblCellMar>
        </w:tblPrEx>
        <w:trPr>
          <w:cantSplit/>
          <w:tblHeader/>
          <w:jc w:val="center"/>
        </w:trPr>
        <w:tc>
          <w:tcPr>
            <w:tcW w:w="65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24AB0E33">
            <w:pPr>
              <w:spacing w:after="0"/>
            </w:pPr>
            <w:r>
              <w:rPr>
                <w:rFonts w:ascii="Calibri" w:hAnsi="Calibri" w:eastAsia="Calibri"/>
                <w:b/>
                <w:color w:val="17213C"/>
                <w:sz w:val="17"/>
              </w:rPr>
              <w:t>RAW IMPACT LABEL</w:t>
            </w:r>
          </w:p>
        </w:tc>
        <w:tc>
          <w:tcPr>
            <w:tcW w:w="28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52E70701">
            <w:pPr>
              <w:spacing w:after="0"/>
            </w:pPr>
            <w:r>
              <w:rPr>
                <w:rFonts w:ascii="Calibri" w:hAnsi="Calibri" w:eastAsia="Calibri"/>
                <w:b/>
                <w:color w:val="17213C"/>
                <w:sz w:val="17"/>
              </w:rPr>
              <w:t>COUNT</w:t>
            </w:r>
          </w:p>
        </w:tc>
      </w:tr>
      <w:tr w14:paraId="6C8CAAF8">
        <w:tblPrEx>
          <w:tblCellMar>
            <w:top w:w="0" w:type="dxa"/>
            <w:left w:w="108" w:type="dxa"/>
            <w:bottom w:w="0" w:type="dxa"/>
            <w:right w:w="108" w:type="dxa"/>
          </w:tblCellMar>
        </w:tblPrEx>
        <w:trPr>
          <w:cantSplit/>
          <w:jc w:val="center"/>
        </w:trPr>
        <w:tc>
          <w:tcPr>
            <w:tcW w:w="65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26A52EF">
            <w:pPr>
              <w:spacing w:after="0"/>
            </w:pPr>
            <w:r>
              <w:rPr>
                <w:rFonts w:ascii="Calibri" w:hAnsi="Calibri" w:eastAsia="Calibri"/>
                <w:b/>
                <w:color w:val="222A35"/>
                <w:sz w:val="17"/>
              </w:rPr>
              <w:t>Medium</w:t>
            </w:r>
          </w:p>
        </w:tc>
        <w:tc>
          <w:tcPr>
            <w:tcW w:w="28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397FEFE">
            <w:pPr>
              <w:spacing w:after="0"/>
            </w:pPr>
            <w:r>
              <w:rPr>
                <w:rFonts w:ascii="Calibri" w:hAnsi="Calibri" w:eastAsia="Calibri"/>
                <w:b w:val="0"/>
                <w:color w:val="222A35"/>
                <w:sz w:val="17"/>
              </w:rPr>
              <w:t>30</w:t>
            </w:r>
          </w:p>
        </w:tc>
      </w:tr>
      <w:tr w14:paraId="72787830">
        <w:tblPrEx>
          <w:tblCellMar>
            <w:top w:w="0" w:type="dxa"/>
            <w:left w:w="108" w:type="dxa"/>
            <w:bottom w:w="0" w:type="dxa"/>
            <w:right w:w="108" w:type="dxa"/>
          </w:tblCellMar>
        </w:tblPrEx>
        <w:trPr>
          <w:cantSplit/>
          <w:jc w:val="center"/>
        </w:trPr>
        <w:tc>
          <w:tcPr>
            <w:tcW w:w="65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25B694C">
            <w:pPr>
              <w:spacing w:after="0"/>
            </w:pPr>
            <w:r>
              <w:rPr>
                <w:rFonts w:ascii="Calibri" w:hAnsi="Calibri" w:eastAsia="Calibri"/>
                <w:b/>
                <w:color w:val="222A35"/>
                <w:sz w:val="17"/>
              </w:rPr>
              <w:t>Low</w:t>
            </w:r>
          </w:p>
        </w:tc>
        <w:tc>
          <w:tcPr>
            <w:tcW w:w="28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46F7C834">
            <w:pPr>
              <w:spacing w:after="0"/>
            </w:pPr>
            <w:r>
              <w:rPr>
                <w:rFonts w:ascii="Calibri" w:hAnsi="Calibri" w:eastAsia="Calibri"/>
                <w:b w:val="0"/>
                <w:color w:val="222A35"/>
                <w:sz w:val="17"/>
              </w:rPr>
              <w:t>34</w:t>
            </w:r>
          </w:p>
        </w:tc>
      </w:tr>
      <w:tr w14:paraId="2AD2D7B3">
        <w:tblPrEx>
          <w:tblCellMar>
            <w:top w:w="0" w:type="dxa"/>
            <w:left w:w="108" w:type="dxa"/>
            <w:bottom w:w="0" w:type="dxa"/>
            <w:right w:w="108" w:type="dxa"/>
          </w:tblCellMar>
        </w:tblPrEx>
        <w:trPr>
          <w:cantSplit/>
          <w:jc w:val="center"/>
        </w:trPr>
        <w:tc>
          <w:tcPr>
            <w:tcW w:w="65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1CD913A">
            <w:pPr>
              <w:spacing w:after="0"/>
            </w:pPr>
            <w:r>
              <w:rPr>
                <w:rFonts w:ascii="Calibri" w:hAnsi="Calibri" w:eastAsia="Calibri"/>
                <w:b/>
                <w:color w:val="222A35"/>
                <w:sz w:val="17"/>
              </w:rPr>
              <w:t>Informational</w:t>
            </w:r>
          </w:p>
        </w:tc>
        <w:tc>
          <w:tcPr>
            <w:tcW w:w="28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57C6598">
            <w:pPr>
              <w:spacing w:after="0"/>
            </w:pPr>
            <w:r>
              <w:rPr>
                <w:rFonts w:ascii="Calibri" w:hAnsi="Calibri" w:eastAsia="Calibri"/>
                <w:b w:val="0"/>
                <w:color w:val="222A35"/>
                <w:sz w:val="17"/>
              </w:rPr>
              <w:t>7</w:t>
            </w:r>
          </w:p>
        </w:tc>
      </w:tr>
      <w:tr w14:paraId="0155888C">
        <w:tblPrEx>
          <w:tblCellMar>
            <w:top w:w="0" w:type="dxa"/>
            <w:left w:w="108" w:type="dxa"/>
            <w:bottom w:w="0" w:type="dxa"/>
            <w:right w:w="108" w:type="dxa"/>
          </w:tblCellMar>
        </w:tblPrEx>
        <w:trPr>
          <w:cantSplit/>
          <w:jc w:val="center"/>
        </w:trPr>
        <w:tc>
          <w:tcPr>
            <w:tcW w:w="65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D44439E">
            <w:pPr>
              <w:spacing w:after="0"/>
            </w:pPr>
            <w:r>
              <w:rPr>
                <w:rFonts w:ascii="Calibri" w:hAnsi="Calibri" w:eastAsia="Calibri"/>
                <w:b/>
                <w:color w:val="222A35"/>
                <w:sz w:val="17"/>
              </w:rPr>
              <w:t>Total</w:t>
            </w:r>
          </w:p>
        </w:tc>
        <w:tc>
          <w:tcPr>
            <w:tcW w:w="28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B839DD3">
            <w:pPr>
              <w:spacing w:after="0"/>
            </w:pPr>
            <w:r>
              <w:rPr>
                <w:rFonts w:ascii="Calibri" w:hAnsi="Calibri" w:eastAsia="Calibri"/>
                <w:b w:val="0"/>
                <w:color w:val="222A35"/>
                <w:sz w:val="17"/>
              </w:rPr>
              <w:t>71</w:t>
            </w:r>
          </w:p>
        </w:tc>
      </w:tr>
    </w:tbl>
    <w:p w14:paraId="4C6DC9AF">
      <w:pPr>
        <w:spacing w:after="20"/>
      </w:pPr>
    </w:p>
    <w:p w14:paraId="42A28197">
      <w:r>
        <w:rPr>
          <w:rFonts w:ascii="Calibri" w:hAnsi="Calibri" w:eastAsia="Calibri"/>
        </w:rPr>
        <w:t>Slither completed successfully at the JSON level. Its process exit code is non-zero when detector records exist; the JSON success flag was true. Raw tool impact labels are not report severities. All 71 records have a record-level disposition in slither-triage-register.json (SHA-256 e066c0fd6215640e3348b981af6af6524ec0b4ff5427b529e38e743d8ddc98e5).</w:t>
      </w:r>
    </w:p>
    <w:tbl>
      <w:tblPr>
        <w:tblStyle w:val="34"/>
        <w:tblW w:w="9360" w:type="dxa"/>
        <w:jc w:val="center"/>
        <w:tblLayout w:type="fixed"/>
        <w:tblCellMar>
          <w:top w:w="0" w:type="dxa"/>
          <w:left w:w="108" w:type="dxa"/>
          <w:bottom w:w="0" w:type="dxa"/>
          <w:right w:w="108" w:type="dxa"/>
        </w:tblCellMar>
      </w:tblPr>
      <w:tblGrid>
        <w:gridCol w:w="2400"/>
        <w:gridCol w:w="1250"/>
        <w:gridCol w:w="5710"/>
      </w:tblGrid>
      <w:tr w14:paraId="54C84716">
        <w:tblPrEx>
          <w:tblCellMar>
            <w:top w:w="0" w:type="dxa"/>
            <w:left w:w="108" w:type="dxa"/>
            <w:bottom w:w="0" w:type="dxa"/>
            <w:right w:w="108" w:type="dxa"/>
          </w:tblCellMar>
        </w:tblPrEx>
        <w:trPr>
          <w:cantSplit/>
          <w:tblHeader/>
          <w:jc w:val="center"/>
        </w:trPr>
        <w:tc>
          <w:tcPr>
            <w:tcW w:w="24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86DE660">
            <w:pPr>
              <w:spacing w:after="0"/>
            </w:pPr>
            <w:r>
              <w:rPr>
                <w:rFonts w:ascii="Calibri" w:hAnsi="Calibri" w:eastAsia="Calibri"/>
                <w:b/>
                <w:color w:val="17213C"/>
                <w:sz w:val="16"/>
              </w:rPr>
              <w:t>DETECTOR</w:t>
            </w:r>
          </w:p>
        </w:tc>
        <w:tc>
          <w:tcPr>
            <w:tcW w:w="12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84D768A">
            <w:pPr>
              <w:spacing w:after="0"/>
            </w:pPr>
            <w:r>
              <w:rPr>
                <w:rFonts w:ascii="Calibri" w:hAnsi="Calibri" w:eastAsia="Calibri"/>
                <w:b/>
                <w:color w:val="17213C"/>
                <w:sz w:val="16"/>
              </w:rPr>
              <w:t>RAW COUNT</w:t>
            </w:r>
          </w:p>
        </w:tc>
        <w:tc>
          <w:tcPr>
            <w:tcW w:w="571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514789B8">
            <w:pPr>
              <w:spacing w:after="0"/>
            </w:pPr>
            <w:r>
              <w:rPr>
                <w:rFonts w:ascii="Calibri" w:hAnsi="Calibri" w:eastAsia="Calibri"/>
                <w:b/>
                <w:color w:val="17213C"/>
                <w:sz w:val="16"/>
              </w:rPr>
              <w:t>MANUAL DISPOSITION</w:t>
            </w:r>
          </w:p>
        </w:tc>
      </w:tr>
      <w:tr w14:paraId="7F401050">
        <w:tblPrEx>
          <w:tblCellMar>
            <w:top w:w="0" w:type="dxa"/>
            <w:left w:w="108" w:type="dxa"/>
            <w:bottom w:w="0" w:type="dxa"/>
            <w:right w:w="108" w:type="dxa"/>
          </w:tblCellMar>
        </w:tblPrEx>
        <w:trPr>
          <w:cantSplit/>
          <w:jc w:val="center"/>
        </w:trPr>
        <w:tc>
          <w:tcPr>
            <w:tcW w:w="24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00481CA">
            <w:pPr>
              <w:spacing w:after="0"/>
            </w:pPr>
            <w:r>
              <w:rPr>
                <w:rFonts w:ascii="Calibri" w:hAnsi="Calibri" w:eastAsia="Calibri"/>
                <w:b w:val="0"/>
                <w:color w:val="222A35"/>
                <w:sz w:val="16"/>
              </w:rPr>
              <w:t>timestamp</w:t>
            </w:r>
          </w:p>
        </w:tc>
        <w:tc>
          <w:tcPr>
            <w:tcW w:w="125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2F01B5A">
            <w:pPr>
              <w:spacing w:after="0"/>
            </w:pPr>
            <w:r>
              <w:rPr>
                <w:rFonts w:ascii="Calibri" w:hAnsi="Calibri" w:eastAsia="Calibri"/>
                <w:b w:val="0"/>
                <w:color w:val="222A35"/>
                <w:sz w:val="16"/>
              </w:rPr>
              <w:t>31</w:t>
            </w:r>
          </w:p>
        </w:tc>
        <w:tc>
          <w:tcPr>
            <w:tcW w:w="571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FC17132">
            <w:pPr>
              <w:spacing w:after="0"/>
            </w:pPr>
            <w:r>
              <w:rPr>
                <w:rFonts w:ascii="Calibri" w:hAnsi="Calibri" w:eastAsia="Calibri"/>
                <w:b w:val="0"/>
                <w:color w:val="222A35"/>
                <w:sz w:val="16"/>
              </w:rPr>
              <w:t>Lifecycle comparisons reviewed; LOW-01 retained as a separate manual design finding</w:t>
            </w:r>
          </w:p>
        </w:tc>
      </w:tr>
      <w:tr w14:paraId="10A58F39">
        <w:tblPrEx>
          <w:tblCellMar>
            <w:top w:w="0" w:type="dxa"/>
            <w:left w:w="108" w:type="dxa"/>
            <w:bottom w:w="0" w:type="dxa"/>
            <w:right w:w="108" w:type="dxa"/>
          </w:tblCellMar>
        </w:tblPrEx>
        <w:trPr>
          <w:cantSplit/>
          <w:jc w:val="center"/>
        </w:trPr>
        <w:tc>
          <w:tcPr>
            <w:tcW w:w="24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10D3F93">
            <w:pPr>
              <w:spacing w:after="0"/>
            </w:pPr>
            <w:r>
              <w:rPr>
                <w:rFonts w:ascii="Calibri" w:hAnsi="Calibri" w:eastAsia="Calibri"/>
                <w:b w:val="0"/>
                <w:color w:val="222A35"/>
                <w:sz w:val="16"/>
              </w:rPr>
              <w:t>incorrect-equality</w:t>
            </w:r>
          </w:p>
        </w:tc>
        <w:tc>
          <w:tcPr>
            <w:tcW w:w="12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7304A8F">
            <w:pPr>
              <w:spacing w:after="0"/>
            </w:pPr>
            <w:r>
              <w:rPr>
                <w:rFonts w:ascii="Calibri" w:hAnsi="Calibri" w:eastAsia="Calibri"/>
                <w:b w:val="0"/>
                <w:color w:val="222A35"/>
                <w:sz w:val="16"/>
              </w:rPr>
              <w:t>16</w:t>
            </w:r>
          </w:p>
        </w:tc>
        <w:tc>
          <w:tcPr>
            <w:tcW w:w="571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C2FCED4">
            <w:pPr>
              <w:spacing w:after="0"/>
            </w:pPr>
            <w:r>
              <w:rPr>
                <w:rFonts w:ascii="Calibri" w:hAnsi="Calibri" w:eastAsia="Calibri"/>
                <w:b w:val="0"/>
                <w:color w:val="222A35"/>
                <w:sz w:val="16"/>
              </w:rPr>
              <w:t>Intentional zero, enum, sentinel and exact-boundary validation</w:t>
            </w:r>
          </w:p>
        </w:tc>
      </w:tr>
      <w:tr w14:paraId="76F9A335">
        <w:tblPrEx>
          <w:tblCellMar>
            <w:top w:w="0" w:type="dxa"/>
            <w:left w:w="108" w:type="dxa"/>
            <w:bottom w:w="0" w:type="dxa"/>
            <w:right w:w="108" w:type="dxa"/>
          </w:tblCellMar>
        </w:tblPrEx>
        <w:trPr>
          <w:cantSplit/>
          <w:jc w:val="center"/>
        </w:trPr>
        <w:tc>
          <w:tcPr>
            <w:tcW w:w="24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1632D0B">
            <w:pPr>
              <w:spacing w:after="0"/>
            </w:pPr>
            <w:r>
              <w:rPr>
                <w:rFonts w:ascii="Calibri" w:hAnsi="Calibri" w:eastAsia="Calibri"/>
                <w:b w:val="0"/>
                <w:color w:val="222A35"/>
                <w:sz w:val="16"/>
              </w:rPr>
              <w:t>uninitialized-local</w:t>
            </w:r>
          </w:p>
        </w:tc>
        <w:tc>
          <w:tcPr>
            <w:tcW w:w="125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F1D7DF8">
            <w:pPr>
              <w:spacing w:after="0"/>
            </w:pPr>
            <w:r>
              <w:rPr>
                <w:rFonts w:ascii="Calibri" w:hAnsi="Calibri" w:eastAsia="Calibri"/>
                <w:b w:val="0"/>
                <w:color w:val="222A35"/>
                <w:sz w:val="16"/>
              </w:rPr>
              <w:t>9</w:t>
            </w:r>
          </w:p>
        </w:tc>
        <w:tc>
          <w:tcPr>
            <w:tcW w:w="571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F35332D">
            <w:pPr>
              <w:spacing w:after="0"/>
            </w:pPr>
            <w:r>
              <w:rPr>
                <w:rFonts w:ascii="Calibri" w:hAnsi="Calibri" w:eastAsia="Calibri"/>
                <w:b w:val="0"/>
                <w:color w:val="222A35"/>
                <w:sz w:val="16"/>
              </w:rPr>
              <w:t>Try/catch and named-output defaults; no uninitialized storage use found</w:t>
            </w:r>
          </w:p>
        </w:tc>
      </w:tr>
      <w:tr w14:paraId="6FD3E7BC">
        <w:tblPrEx>
          <w:tblCellMar>
            <w:top w:w="0" w:type="dxa"/>
            <w:left w:w="108" w:type="dxa"/>
            <w:bottom w:w="0" w:type="dxa"/>
            <w:right w:w="108" w:type="dxa"/>
          </w:tblCellMar>
        </w:tblPrEx>
        <w:trPr>
          <w:cantSplit/>
          <w:jc w:val="center"/>
        </w:trPr>
        <w:tc>
          <w:tcPr>
            <w:tcW w:w="24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0552BB0A">
            <w:pPr>
              <w:spacing w:after="0"/>
            </w:pPr>
            <w:r>
              <w:rPr>
                <w:rFonts w:ascii="Calibri" w:hAnsi="Calibri" w:eastAsia="Calibri"/>
                <w:b w:val="0"/>
                <w:color w:val="222A35"/>
                <w:sz w:val="16"/>
              </w:rPr>
              <w:t>low-level-calls</w:t>
            </w:r>
          </w:p>
        </w:tc>
        <w:tc>
          <w:tcPr>
            <w:tcW w:w="12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0A202301">
            <w:pPr>
              <w:spacing w:after="0"/>
            </w:pPr>
            <w:r>
              <w:rPr>
                <w:rFonts w:ascii="Calibri" w:hAnsi="Calibri" w:eastAsia="Calibri"/>
                <w:b w:val="0"/>
                <w:color w:val="222A35"/>
                <w:sz w:val="16"/>
              </w:rPr>
              <w:t>4</w:t>
            </w:r>
          </w:p>
        </w:tc>
        <w:tc>
          <w:tcPr>
            <w:tcW w:w="571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0CFF643">
            <w:pPr>
              <w:spacing w:after="0"/>
            </w:pPr>
            <w:r>
              <w:rPr>
                <w:rFonts w:ascii="Calibri" w:hAnsi="Calibri" w:eastAsia="Calibri"/>
                <w:b w:val="0"/>
                <w:color w:val="222A35"/>
                <w:sz w:val="16"/>
              </w:rPr>
              <w:t>Expected native transfers; balance/state ordering reviewed</w:t>
            </w:r>
          </w:p>
        </w:tc>
      </w:tr>
      <w:tr w14:paraId="29F5E545">
        <w:tblPrEx>
          <w:tblCellMar>
            <w:top w:w="0" w:type="dxa"/>
            <w:left w:w="108" w:type="dxa"/>
            <w:bottom w:w="0" w:type="dxa"/>
            <w:right w:w="108" w:type="dxa"/>
          </w:tblCellMar>
        </w:tblPrEx>
        <w:trPr>
          <w:cantSplit/>
          <w:jc w:val="center"/>
        </w:trPr>
        <w:tc>
          <w:tcPr>
            <w:tcW w:w="24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9E3F5DD">
            <w:pPr>
              <w:spacing w:after="0"/>
            </w:pPr>
            <w:r>
              <w:rPr>
                <w:rFonts w:ascii="Calibri" w:hAnsi="Calibri" w:eastAsia="Calibri"/>
                <w:b w:val="0"/>
                <w:color w:val="222A35"/>
                <w:sz w:val="16"/>
              </w:rPr>
              <w:t>unused-return</w:t>
            </w:r>
          </w:p>
        </w:tc>
        <w:tc>
          <w:tcPr>
            <w:tcW w:w="125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F9CA4CB">
            <w:pPr>
              <w:spacing w:after="0"/>
            </w:pPr>
            <w:r>
              <w:rPr>
                <w:rFonts w:ascii="Calibri" w:hAnsi="Calibri" w:eastAsia="Calibri"/>
                <w:b w:val="0"/>
                <w:color w:val="222A35"/>
                <w:sz w:val="16"/>
              </w:rPr>
              <w:t>3</w:t>
            </w:r>
          </w:p>
        </w:tc>
        <w:tc>
          <w:tcPr>
            <w:tcW w:w="571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6E2E35D">
            <w:pPr>
              <w:spacing w:after="0"/>
            </w:pPr>
            <w:r>
              <w:rPr>
                <w:rFonts w:ascii="Calibri" w:hAnsi="Calibri" w:eastAsia="Calibri"/>
                <w:b w:val="0"/>
                <w:color w:val="222A35"/>
                <w:sz w:val="16"/>
              </w:rPr>
              <w:t>Unused tuple fields; required round fields are checked</w:t>
            </w:r>
          </w:p>
        </w:tc>
      </w:tr>
      <w:tr w14:paraId="634D3769">
        <w:tblPrEx>
          <w:tblCellMar>
            <w:top w:w="0" w:type="dxa"/>
            <w:left w:w="108" w:type="dxa"/>
            <w:bottom w:w="0" w:type="dxa"/>
            <w:right w:w="108" w:type="dxa"/>
          </w:tblCellMar>
        </w:tblPrEx>
        <w:trPr>
          <w:cantSplit/>
          <w:jc w:val="center"/>
        </w:trPr>
        <w:tc>
          <w:tcPr>
            <w:tcW w:w="24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348FFE21">
            <w:pPr>
              <w:spacing w:after="0"/>
            </w:pPr>
            <w:r>
              <w:rPr>
                <w:rFonts w:ascii="Calibri" w:hAnsi="Calibri" w:eastAsia="Calibri"/>
                <w:b w:val="0"/>
                <w:color w:val="222A35"/>
                <w:sz w:val="16"/>
              </w:rPr>
              <w:t>locked-ether</w:t>
            </w:r>
          </w:p>
        </w:tc>
        <w:tc>
          <w:tcPr>
            <w:tcW w:w="125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03424FA">
            <w:pPr>
              <w:spacing w:after="0"/>
            </w:pPr>
            <w:r>
              <w:rPr>
                <w:rFonts w:ascii="Calibri" w:hAnsi="Calibri" w:eastAsia="Calibri"/>
                <w:b w:val="0"/>
                <w:color w:val="222A35"/>
                <w:sz w:val="16"/>
              </w:rPr>
              <w:t>2</w:t>
            </w:r>
          </w:p>
        </w:tc>
        <w:tc>
          <w:tcPr>
            <w:tcW w:w="571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51D7BC7">
            <w:pPr>
              <w:spacing w:after="0"/>
            </w:pPr>
            <w:r>
              <w:rPr>
                <w:rFonts w:ascii="Calibri" w:hAnsi="Calibri" w:eastAsia="Calibri"/>
                <w:b w:val="0"/>
                <w:color w:val="222A35"/>
                <w:sz w:val="16"/>
              </w:rPr>
              <w:t>Production Redemption receive reverts; second record is a test mock</w:t>
            </w:r>
          </w:p>
        </w:tc>
      </w:tr>
      <w:tr w14:paraId="58B09068">
        <w:tblPrEx>
          <w:tblCellMar>
            <w:top w:w="0" w:type="dxa"/>
            <w:left w:w="108" w:type="dxa"/>
            <w:bottom w:w="0" w:type="dxa"/>
            <w:right w:w="108" w:type="dxa"/>
          </w:tblCellMar>
        </w:tblPrEx>
        <w:trPr>
          <w:cantSplit/>
          <w:jc w:val="center"/>
        </w:trPr>
        <w:tc>
          <w:tcPr>
            <w:tcW w:w="24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DC86B94">
            <w:pPr>
              <w:spacing w:after="0"/>
            </w:pPr>
            <w:r>
              <w:rPr>
                <w:rFonts w:ascii="Calibri" w:hAnsi="Calibri" w:eastAsia="Calibri"/>
                <w:b w:val="0"/>
                <w:color w:val="222A35"/>
                <w:sz w:val="16"/>
              </w:rPr>
              <w:t>other detectors</w:t>
            </w:r>
          </w:p>
        </w:tc>
        <w:tc>
          <w:tcPr>
            <w:tcW w:w="125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93E0829">
            <w:pPr>
              <w:spacing w:after="0"/>
            </w:pPr>
            <w:r>
              <w:rPr>
                <w:rFonts w:ascii="Calibri" w:hAnsi="Calibri" w:eastAsia="Calibri"/>
                <w:b w:val="0"/>
                <w:color w:val="222A35"/>
                <w:sz w:val="16"/>
              </w:rPr>
              <w:t>6</w:t>
            </w:r>
          </w:p>
        </w:tc>
        <w:tc>
          <w:tcPr>
            <w:tcW w:w="571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AD3C6C6">
            <w:pPr>
              <w:spacing w:after="0"/>
            </w:pPr>
            <w:r>
              <w:rPr>
                <w:rFonts w:ascii="Calibri" w:hAnsi="Calibri" w:eastAsia="Calibri"/>
                <w:b w:val="0"/>
                <w:color w:val="222A35"/>
                <w:sz w:val="16"/>
              </w:rPr>
              <w:t>Record-level disposition and evidence location are listed in the triage register</w:t>
            </w:r>
          </w:p>
        </w:tc>
      </w:tr>
    </w:tbl>
    <w:p w14:paraId="358D6703">
      <w:pPr>
        <w:spacing w:after="20"/>
      </w:pPr>
    </w:p>
    <w:p w14:paraId="301F7501">
      <w:pPr>
        <w:pStyle w:val="4"/>
        <w:keepNext/>
      </w:pPr>
      <w:bookmarkStart w:id="34" w:name="_Toc10811"/>
      <w:r>
        <w:t>7.4 Dependency audit</w:t>
      </w:r>
      <w:bookmarkEnd w:id="34"/>
    </w:p>
    <w:tbl>
      <w:tblPr>
        <w:tblStyle w:val="34"/>
        <w:tblW w:w="9360" w:type="dxa"/>
        <w:jc w:val="center"/>
        <w:tblLayout w:type="fixed"/>
        <w:tblCellMar>
          <w:top w:w="0" w:type="dxa"/>
          <w:left w:w="108" w:type="dxa"/>
          <w:bottom w:w="0" w:type="dxa"/>
          <w:right w:w="108" w:type="dxa"/>
        </w:tblCellMar>
      </w:tblPr>
      <w:tblGrid>
        <w:gridCol w:w="3600"/>
        <w:gridCol w:w="1800"/>
        <w:gridCol w:w="3960"/>
      </w:tblGrid>
      <w:tr w14:paraId="11559515">
        <w:tblPrEx>
          <w:tblCellMar>
            <w:top w:w="0" w:type="dxa"/>
            <w:left w:w="108" w:type="dxa"/>
            <w:bottom w:w="0" w:type="dxa"/>
            <w:right w:w="108" w:type="dxa"/>
          </w:tblCellMar>
        </w:tblPrEx>
        <w:trPr>
          <w:cantSplit/>
          <w:tblHeader/>
          <w:jc w:val="center"/>
        </w:trPr>
        <w:tc>
          <w:tcPr>
            <w:tcW w:w="3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54A4FB79">
            <w:pPr>
              <w:spacing w:after="0"/>
            </w:pPr>
            <w:r>
              <w:rPr>
                <w:rFonts w:ascii="Calibri" w:hAnsi="Calibri" w:eastAsia="Calibri"/>
                <w:b/>
                <w:color w:val="17213C"/>
                <w:sz w:val="16"/>
              </w:rPr>
              <w:t>DEPENDENCY</w:t>
            </w:r>
          </w:p>
        </w:tc>
        <w:tc>
          <w:tcPr>
            <w:tcW w:w="18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4D4B6459">
            <w:pPr>
              <w:spacing w:after="0"/>
            </w:pPr>
            <w:r>
              <w:rPr>
                <w:rFonts w:ascii="Calibri" w:hAnsi="Calibri" w:eastAsia="Calibri"/>
                <w:b/>
                <w:color w:val="17213C"/>
                <w:sz w:val="16"/>
              </w:rPr>
              <w:t>VERSION</w:t>
            </w:r>
          </w:p>
        </w:tc>
        <w:tc>
          <w:tcPr>
            <w:tcW w:w="39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EE2A6B9">
            <w:pPr>
              <w:spacing w:after="0"/>
            </w:pPr>
            <w:r>
              <w:rPr>
                <w:rFonts w:ascii="Calibri" w:hAnsi="Calibri" w:eastAsia="Calibri"/>
                <w:b/>
                <w:color w:val="17213C"/>
                <w:sz w:val="16"/>
              </w:rPr>
              <w:t>RESULT</w:t>
            </w:r>
          </w:p>
        </w:tc>
      </w:tr>
      <w:tr w14:paraId="370CE49B">
        <w:tblPrEx>
          <w:tblCellMar>
            <w:top w:w="0" w:type="dxa"/>
            <w:left w:w="108" w:type="dxa"/>
            <w:bottom w:w="0" w:type="dxa"/>
            <w:right w:w="108" w:type="dxa"/>
          </w:tblCellMar>
        </w:tblPrEx>
        <w:trPr>
          <w:cantSplit/>
          <w:jc w:val="center"/>
        </w:trPr>
        <w:tc>
          <w:tcPr>
            <w:tcW w:w="3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834FA73">
            <w:pPr>
              <w:spacing w:after="0"/>
            </w:pPr>
            <w:r>
              <w:rPr>
                <w:rFonts w:ascii="Calibri" w:hAnsi="Calibri" w:eastAsia="Calibri"/>
                <w:b/>
                <w:color w:val="222A35"/>
                <w:sz w:val="16"/>
              </w:rPr>
              <w:t>@openzeppelin/contracts</w:t>
            </w:r>
          </w:p>
        </w:tc>
        <w:tc>
          <w:tcPr>
            <w:tcW w:w="18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3CAC63C">
            <w:pPr>
              <w:spacing w:after="0"/>
            </w:pPr>
            <w:r>
              <w:rPr>
                <w:rFonts w:ascii="Calibri" w:hAnsi="Calibri" w:eastAsia="Calibri"/>
                <w:b w:val="0"/>
                <w:color w:val="222A35"/>
                <w:sz w:val="16"/>
              </w:rPr>
              <w:t>5.1.0</w:t>
            </w:r>
          </w:p>
        </w:tc>
        <w:tc>
          <w:tcPr>
            <w:tcW w:w="39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59D54F5">
            <w:pPr>
              <w:spacing w:after="0"/>
            </w:pPr>
            <w:r>
              <w:rPr>
                <w:rFonts w:ascii="Calibri" w:hAnsi="Calibri" w:eastAsia="Calibri"/>
                <w:b w:val="0"/>
                <w:color w:val="222A35"/>
                <w:sz w:val="16"/>
              </w:rPr>
              <w:t>0 production advisories reported by npm audit</w:t>
            </w:r>
          </w:p>
        </w:tc>
      </w:tr>
      <w:tr w14:paraId="263BA614">
        <w:tblPrEx>
          <w:tblCellMar>
            <w:top w:w="0" w:type="dxa"/>
            <w:left w:w="108" w:type="dxa"/>
            <w:bottom w:w="0" w:type="dxa"/>
            <w:right w:w="108" w:type="dxa"/>
          </w:tblCellMar>
        </w:tblPrEx>
        <w:trPr>
          <w:cantSplit/>
          <w:jc w:val="center"/>
        </w:trPr>
        <w:tc>
          <w:tcPr>
            <w:tcW w:w="3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8AEF07B">
            <w:pPr>
              <w:spacing w:after="0"/>
            </w:pPr>
            <w:r>
              <w:rPr>
                <w:rFonts w:ascii="Calibri" w:hAnsi="Calibri" w:eastAsia="Calibri"/>
                <w:b/>
                <w:color w:val="222A35"/>
                <w:sz w:val="16"/>
              </w:rPr>
              <w:t>ethers</w:t>
            </w:r>
          </w:p>
        </w:tc>
        <w:tc>
          <w:tcPr>
            <w:tcW w:w="18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09E2E86E">
            <w:pPr>
              <w:spacing w:after="0"/>
            </w:pPr>
            <w:r>
              <w:rPr>
                <w:rFonts w:ascii="Calibri" w:hAnsi="Calibri" w:eastAsia="Calibri"/>
                <w:b w:val="0"/>
                <w:color w:val="222A35"/>
                <w:sz w:val="16"/>
              </w:rPr>
              <w:t>6.17.0</w:t>
            </w:r>
          </w:p>
        </w:tc>
        <w:tc>
          <w:tcPr>
            <w:tcW w:w="39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B5B0A44">
            <w:pPr>
              <w:spacing w:after="0"/>
            </w:pPr>
            <w:r>
              <w:rPr>
                <w:rFonts w:ascii="Calibri" w:hAnsi="Calibri" w:eastAsia="Calibri"/>
                <w:b w:val="0"/>
                <w:color w:val="222A35"/>
                <w:sz w:val="16"/>
              </w:rPr>
              <w:t>Development/test dependency</w:t>
            </w:r>
          </w:p>
        </w:tc>
      </w:tr>
      <w:tr w14:paraId="175A0787">
        <w:tblPrEx>
          <w:tblCellMar>
            <w:top w:w="0" w:type="dxa"/>
            <w:left w:w="108" w:type="dxa"/>
            <w:bottom w:w="0" w:type="dxa"/>
            <w:right w:w="108" w:type="dxa"/>
          </w:tblCellMar>
        </w:tblPrEx>
        <w:trPr>
          <w:cantSplit/>
          <w:jc w:val="center"/>
        </w:trPr>
        <w:tc>
          <w:tcPr>
            <w:tcW w:w="3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92966A6">
            <w:pPr>
              <w:spacing w:after="0"/>
            </w:pPr>
            <w:r>
              <w:rPr>
                <w:rFonts w:ascii="Calibri" w:hAnsi="Calibri" w:eastAsia="Calibri"/>
                <w:b/>
                <w:color w:val="222A35"/>
                <w:sz w:val="16"/>
              </w:rPr>
              <w:t>hardhat</w:t>
            </w:r>
          </w:p>
        </w:tc>
        <w:tc>
          <w:tcPr>
            <w:tcW w:w="18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99C9840">
            <w:pPr>
              <w:spacing w:after="0"/>
            </w:pPr>
            <w:r>
              <w:rPr>
                <w:rFonts w:ascii="Calibri" w:hAnsi="Calibri" w:eastAsia="Calibri"/>
                <w:b w:val="0"/>
                <w:color w:val="222A35"/>
                <w:sz w:val="16"/>
              </w:rPr>
              <w:t>2.29.0</w:t>
            </w:r>
          </w:p>
        </w:tc>
        <w:tc>
          <w:tcPr>
            <w:tcW w:w="39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0D5C0F2">
            <w:pPr>
              <w:spacing w:after="0"/>
            </w:pPr>
            <w:r>
              <w:rPr>
                <w:rFonts w:ascii="Calibri" w:hAnsi="Calibri" w:eastAsia="Calibri"/>
                <w:b w:val="0"/>
                <w:color w:val="222A35"/>
                <w:sz w:val="16"/>
              </w:rPr>
              <w:t>Development/test dependency</w:t>
            </w:r>
          </w:p>
        </w:tc>
      </w:tr>
      <w:tr w14:paraId="2929E85B">
        <w:tblPrEx>
          <w:tblCellMar>
            <w:top w:w="0" w:type="dxa"/>
            <w:left w:w="108" w:type="dxa"/>
            <w:bottom w:w="0" w:type="dxa"/>
            <w:right w:w="108" w:type="dxa"/>
          </w:tblCellMar>
        </w:tblPrEx>
        <w:trPr>
          <w:cantSplit/>
          <w:jc w:val="center"/>
        </w:trPr>
        <w:tc>
          <w:tcPr>
            <w:tcW w:w="3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070977FF">
            <w:pPr>
              <w:spacing w:after="0"/>
            </w:pPr>
            <w:r>
              <w:rPr>
                <w:rFonts w:ascii="Calibri" w:hAnsi="Calibri" w:eastAsia="Calibri"/>
                <w:b/>
                <w:color w:val="222A35"/>
                <w:sz w:val="16"/>
              </w:rPr>
              <w:t>Total production dependency count</w:t>
            </w:r>
          </w:p>
        </w:tc>
        <w:tc>
          <w:tcPr>
            <w:tcW w:w="18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4CE3F42C">
            <w:pPr>
              <w:spacing w:after="0"/>
            </w:pPr>
            <w:r>
              <w:rPr>
                <w:rFonts w:ascii="Calibri" w:hAnsi="Calibri" w:eastAsia="Calibri"/>
                <w:b w:val="0"/>
                <w:color w:val="222A35"/>
                <w:sz w:val="16"/>
              </w:rPr>
              <w:t>2</w:t>
            </w:r>
          </w:p>
        </w:tc>
        <w:tc>
          <w:tcPr>
            <w:tcW w:w="39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48E6C25">
            <w:pPr>
              <w:spacing w:after="0"/>
            </w:pPr>
            <w:r>
              <w:rPr>
                <w:rFonts w:ascii="Calibri" w:hAnsi="Calibri" w:eastAsia="Calibri"/>
                <w:b w:val="0"/>
                <w:color w:val="222A35"/>
                <w:sz w:val="16"/>
              </w:rPr>
              <w:t>0 info / low / moderate / high / critical advisories</w:t>
            </w:r>
          </w:p>
        </w:tc>
      </w:tr>
    </w:tbl>
    <w:p w14:paraId="17E52709">
      <w:pPr>
        <w:spacing w:after="20"/>
      </w:pPr>
    </w:p>
    <w:p w14:paraId="5166135F">
      <w:pPr>
        <w:pStyle w:val="167"/>
      </w:pPr>
      <w:r>
        <w:rPr>
          <w:rFonts w:ascii="Calibri" w:hAnsi="Calibri" w:eastAsia="Calibri"/>
        </w:rPr>
        <w:t>The npm result is a point-in-time registry advisory query, not a guarantee that dependencies are free of undisclosed vulnerabilities. The execution time, registry and lockfile hash are recorded in npm-audit-command.json.</w:t>
      </w:r>
    </w:p>
    <w:p w14:paraId="6035297F">
      <w:r>
        <w:br w:type="page"/>
      </w:r>
    </w:p>
    <w:p w14:paraId="5921133E">
      <w:pPr>
        <w:pStyle w:val="3"/>
        <w:keepNext/>
      </w:pPr>
      <w:bookmarkStart w:id="35" w:name="_Toc26417"/>
      <w:r>
        <w:t>8. Operational and deployment readiness</w:t>
      </w:r>
      <w:bookmarkEnd w:id="35"/>
    </w:p>
    <w:p w14:paraId="1545E0C2">
      <w:pPr>
        <w:pStyle w:val="4"/>
        <w:keepNext/>
      </w:pPr>
      <w:bookmarkStart w:id="36" w:name="_Toc32287"/>
      <w:r>
        <w:t>8.1 Deployment script boundary</w:t>
      </w:r>
      <w:bookmarkEnd w:id="36"/>
    </w:p>
    <w:p w14:paraId="54BFEC0F">
      <w:r>
        <w:rPr>
          <w:rFonts w:ascii="Calibri" w:hAnsi="Calibri" w:eastAsia="Calibri"/>
        </w:rPr>
        <w:t>The reviewed BSC deployment script predicts and deploys Registry, Swap and Redemption, with the Sale Vault created by Swap. It validates chain 56, schedule boundaries, endpoint bindings and reviewed oracle-age inputs. The current source derives the three initial oracle reference prices from the Swap deployment receipt, rejects missing, duplicate and unknown feed events, and checks those immutable deployment facts against live state. It does not deploy or verify Staking.</w:t>
      </w:r>
    </w:p>
    <w:p w14:paraId="21766165">
      <w:pPr>
        <w:pStyle w:val="4"/>
        <w:keepNext/>
      </w:pPr>
      <w:bookmarkStart w:id="37" w:name="_Toc24790"/>
      <w:r>
        <w:t>8.2 Oracle-breaker keeper</w:t>
      </w:r>
      <w:bookmarkEnd w:id="37"/>
    </w:p>
    <w:p w14:paraId="3BB0A917">
      <w:r>
        <w:rPr>
          <w:rFonts w:ascii="Calibri" w:hAnsi="Calibri" w:eastAsia="Calibri"/>
        </w:rPr>
        <w:t>The keeper validates chainId 56, bytecode, Registry binding and feed code; it only monitors purchase-capable modes before sale end. Error logs redact configured RPC URLs, private keys and generic URLs. Availability still depends on an external process, RPC, gas and key custody. Because breaker trip is permissionless, keeper outage does not remove the manual on-chain path.</w:t>
      </w:r>
    </w:p>
    <w:p w14:paraId="1AC21D01">
      <w:pPr>
        <w:pStyle w:val="4"/>
        <w:keepNext/>
      </w:pPr>
      <w:bookmarkStart w:id="38" w:name="_Toc20315"/>
      <w:r>
        <w:t>8.3 Mandatory mainnet gates</w:t>
      </w:r>
      <w:bookmarkEnd w:id="38"/>
    </w:p>
    <w:tbl>
      <w:tblPr>
        <w:tblStyle w:val="34"/>
        <w:tblW w:w="9360" w:type="dxa"/>
        <w:jc w:val="center"/>
        <w:tblLayout w:type="fixed"/>
        <w:tblCellMar>
          <w:top w:w="0" w:type="dxa"/>
          <w:left w:w="108" w:type="dxa"/>
          <w:bottom w:w="0" w:type="dxa"/>
          <w:right w:w="108" w:type="dxa"/>
        </w:tblCellMar>
      </w:tblPr>
      <w:tblGrid>
        <w:gridCol w:w="1100"/>
        <w:gridCol w:w="6600"/>
        <w:gridCol w:w="1660"/>
      </w:tblGrid>
      <w:tr w14:paraId="1F602059">
        <w:tblPrEx>
          <w:tblCellMar>
            <w:top w:w="0" w:type="dxa"/>
            <w:left w:w="108" w:type="dxa"/>
            <w:bottom w:w="0" w:type="dxa"/>
            <w:right w:w="108" w:type="dxa"/>
          </w:tblCellMar>
        </w:tblPrEx>
        <w:trPr>
          <w:cantSplit/>
          <w:tblHeader/>
          <w:jc w:val="center"/>
        </w:trPr>
        <w:tc>
          <w:tcPr>
            <w:tcW w:w="11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507A5C7D">
            <w:pPr>
              <w:spacing w:after="0"/>
            </w:pPr>
            <w:r>
              <w:rPr>
                <w:rFonts w:ascii="Calibri" w:hAnsi="Calibri" w:eastAsia="Calibri"/>
                <w:b/>
                <w:color w:val="17213C"/>
                <w:sz w:val="16"/>
              </w:rPr>
              <w:t>GATE</w:t>
            </w:r>
          </w:p>
        </w:tc>
        <w:tc>
          <w:tcPr>
            <w:tcW w:w="6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59338800">
            <w:pPr>
              <w:spacing w:after="0"/>
            </w:pPr>
            <w:r>
              <w:rPr>
                <w:rFonts w:ascii="Calibri" w:hAnsi="Calibri" w:eastAsia="Calibri"/>
                <w:b/>
                <w:color w:val="17213C"/>
                <w:sz w:val="16"/>
              </w:rPr>
              <w:t>REQUIRED EVIDENCE</w:t>
            </w:r>
          </w:p>
        </w:tc>
        <w:tc>
          <w:tcPr>
            <w:tcW w:w="16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59147C16">
            <w:pPr>
              <w:spacing w:after="0"/>
            </w:pPr>
            <w:r>
              <w:rPr>
                <w:rFonts w:ascii="Calibri" w:hAnsi="Calibri" w:eastAsia="Calibri"/>
                <w:b/>
                <w:color w:val="17213C"/>
                <w:sz w:val="16"/>
              </w:rPr>
              <w:t>STATUS</w:t>
            </w:r>
          </w:p>
        </w:tc>
      </w:tr>
      <w:tr w14:paraId="28EB24AA">
        <w:tblPrEx>
          <w:tblCellMar>
            <w:top w:w="0" w:type="dxa"/>
            <w:left w:w="108" w:type="dxa"/>
            <w:bottom w:w="0" w:type="dxa"/>
            <w:right w:w="108" w:type="dxa"/>
          </w:tblCellMar>
        </w:tblPrEx>
        <w:trPr>
          <w:cantSplit/>
          <w:jc w:val="center"/>
        </w:trPr>
        <w:tc>
          <w:tcPr>
            <w:tcW w:w="11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D8285AB">
            <w:pPr>
              <w:spacing w:after="0"/>
            </w:pPr>
            <w:r>
              <w:rPr>
                <w:rFonts w:ascii="Calibri" w:hAnsi="Calibri" w:eastAsia="Calibri"/>
                <w:b/>
                <w:color w:val="222A35"/>
                <w:sz w:val="16"/>
              </w:rPr>
              <w:t>G-01</w:t>
            </w:r>
          </w:p>
        </w:tc>
        <w:tc>
          <w:tcPr>
            <w:tcW w:w="6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42707E9">
            <w:pPr>
              <w:spacing w:after="0"/>
            </w:pPr>
            <w:r>
              <w:rPr>
                <w:rFonts w:ascii="Calibri" w:hAnsi="Calibri" w:eastAsia="Calibri"/>
                <w:b w:val="0"/>
                <w:color w:val="222A35"/>
                <w:sz w:val="16"/>
              </w:rPr>
              <w:t>Remediate or formally risk-accept MED-04 and add boundary tests</w:t>
            </w:r>
          </w:p>
        </w:tc>
        <w:tc>
          <w:tcPr>
            <w:tcW w:w="16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BBE5B66">
            <w:pPr>
              <w:spacing w:after="0"/>
            </w:pPr>
            <w:r>
              <w:rPr>
                <w:rFonts w:ascii="Calibri" w:hAnsi="Calibri" w:eastAsia="Calibri"/>
                <w:b w:val="0"/>
                <w:color w:val="222A35"/>
                <w:sz w:val="16"/>
              </w:rPr>
              <w:t>BLOCKING</w:t>
            </w:r>
          </w:p>
        </w:tc>
      </w:tr>
      <w:tr w14:paraId="57CF2534">
        <w:tblPrEx>
          <w:tblCellMar>
            <w:top w:w="0" w:type="dxa"/>
            <w:left w:w="108" w:type="dxa"/>
            <w:bottom w:w="0" w:type="dxa"/>
            <w:right w:w="108" w:type="dxa"/>
          </w:tblCellMar>
        </w:tblPrEx>
        <w:trPr>
          <w:cantSplit/>
          <w:jc w:val="center"/>
        </w:trPr>
        <w:tc>
          <w:tcPr>
            <w:tcW w:w="11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7A49017">
            <w:pPr>
              <w:spacing w:after="0"/>
            </w:pPr>
            <w:r>
              <w:rPr>
                <w:rFonts w:ascii="Calibri" w:hAnsi="Calibri" w:eastAsia="Calibri"/>
                <w:b/>
                <w:color w:val="222A35"/>
                <w:sz w:val="16"/>
              </w:rPr>
              <w:t>G-02</w:t>
            </w:r>
          </w:p>
        </w:tc>
        <w:tc>
          <w:tcPr>
            <w:tcW w:w="6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39DCF69">
            <w:pPr>
              <w:spacing w:after="0"/>
            </w:pPr>
            <w:r>
              <w:rPr>
                <w:rFonts w:ascii="Calibri" w:hAnsi="Calibri" w:eastAsia="Calibri"/>
                <w:b w:val="0"/>
                <w:color w:val="222A35"/>
                <w:sz w:val="16"/>
              </w:rPr>
              <w:t>Deploy all intended components, including Staking if enabled</w:t>
            </w:r>
          </w:p>
        </w:tc>
        <w:tc>
          <w:tcPr>
            <w:tcW w:w="16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3EF25DE3">
            <w:pPr>
              <w:spacing w:after="0"/>
            </w:pPr>
            <w:r>
              <w:rPr>
                <w:rFonts w:ascii="Calibri" w:hAnsi="Calibri" w:eastAsia="Calibri"/>
                <w:b w:val="0"/>
                <w:color w:val="222A35"/>
                <w:sz w:val="16"/>
              </w:rPr>
              <w:t>BLOCKING</w:t>
            </w:r>
          </w:p>
        </w:tc>
      </w:tr>
      <w:tr w14:paraId="270A4B0C">
        <w:tblPrEx>
          <w:tblCellMar>
            <w:top w:w="0" w:type="dxa"/>
            <w:left w:w="108" w:type="dxa"/>
            <w:bottom w:w="0" w:type="dxa"/>
            <w:right w:w="108" w:type="dxa"/>
          </w:tblCellMar>
        </w:tblPrEx>
        <w:trPr>
          <w:cantSplit/>
          <w:jc w:val="center"/>
        </w:trPr>
        <w:tc>
          <w:tcPr>
            <w:tcW w:w="11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67AEA23">
            <w:pPr>
              <w:spacing w:after="0"/>
            </w:pPr>
            <w:r>
              <w:rPr>
                <w:rFonts w:ascii="Calibri" w:hAnsi="Calibri" w:eastAsia="Calibri"/>
                <w:b/>
                <w:color w:val="222A35"/>
                <w:sz w:val="16"/>
              </w:rPr>
              <w:t>G-03</w:t>
            </w:r>
          </w:p>
        </w:tc>
        <w:tc>
          <w:tcPr>
            <w:tcW w:w="6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E0DD5FB">
            <w:pPr>
              <w:spacing w:after="0"/>
            </w:pPr>
            <w:r>
              <w:rPr>
                <w:rFonts w:ascii="Calibri" w:hAnsi="Calibri" w:eastAsia="Calibri"/>
                <w:b w:val="0"/>
                <w:color w:val="222A35"/>
                <w:sz w:val="16"/>
              </w:rPr>
              <w:t>Verify source and constructor arguments on the selected explorer</w:t>
            </w:r>
          </w:p>
        </w:tc>
        <w:tc>
          <w:tcPr>
            <w:tcW w:w="16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7992483">
            <w:pPr>
              <w:spacing w:after="0"/>
            </w:pPr>
            <w:r>
              <w:rPr>
                <w:rFonts w:ascii="Calibri" w:hAnsi="Calibri" w:eastAsia="Calibri"/>
                <w:b w:val="0"/>
                <w:color w:val="222A35"/>
                <w:sz w:val="16"/>
              </w:rPr>
              <w:t>BLOCKING</w:t>
            </w:r>
          </w:p>
        </w:tc>
      </w:tr>
      <w:tr w14:paraId="7213DAA1">
        <w:tblPrEx>
          <w:tblCellMar>
            <w:top w:w="0" w:type="dxa"/>
            <w:left w:w="108" w:type="dxa"/>
            <w:bottom w:w="0" w:type="dxa"/>
            <w:right w:w="108" w:type="dxa"/>
          </w:tblCellMar>
        </w:tblPrEx>
        <w:trPr>
          <w:cantSplit/>
          <w:jc w:val="center"/>
        </w:trPr>
        <w:tc>
          <w:tcPr>
            <w:tcW w:w="11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F3EB112">
            <w:pPr>
              <w:spacing w:after="0"/>
            </w:pPr>
            <w:r>
              <w:rPr>
                <w:rFonts w:ascii="Calibri" w:hAnsi="Calibri" w:eastAsia="Calibri"/>
                <w:b/>
                <w:color w:val="222A35"/>
                <w:sz w:val="16"/>
              </w:rPr>
              <w:t>G-04</w:t>
            </w:r>
          </w:p>
        </w:tc>
        <w:tc>
          <w:tcPr>
            <w:tcW w:w="6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57C0FAE">
            <w:pPr>
              <w:spacing w:after="0"/>
            </w:pPr>
            <w:r>
              <w:rPr>
                <w:rFonts w:ascii="Calibri" w:hAnsi="Calibri" w:eastAsia="Calibri"/>
                <w:b w:val="0"/>
                <w:color w:val="222A35"/>
                <w:sz w:val="16"/>
              </w:rPr>
              <w:t>Verify immutable token, feed, beneficiary and Registry bindings</w:t>
            </w:r>
          </w:p>
        </w:tc>
        <w:tc>
          <w:tcPr>
            <w:tcW w:w="16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4E2FA58B">
            <w:pPr>
              <w:spacing w:after="0"/>
            </w:pPr>
            <w:r>
              <w:rPr>
                <w:rFonts w:ascii="Calibri" w:hAnsi="Calibri" w:eastAsia="Calibri"/>
                <w:b w:val="0"/>
                <w:color w:val="222A35"/>
                <w:sz w:val="16"/>
              </w:rPr>
              <w:t>BLOCKING</w:t>
            </w:r>
          </w:p>
        </w:tc>
      </w:tr>
      <w:tr w14:paraId="39533DB2">
        <w:tblPrEx>
          <w:tblCellMar>
            <w:top w:w="0" w:type="dxa"/>
            <w:left w:w="108" w:type="dxa"/>
            <w:bottom w:w="0" w:type="dxa"/>
            <w:right w:w="108" w:type="dxa"/>
          </w:tblCellMar>
        </w:tblPrEx>
        <w:trPr>
          <w:cantSplit/>
          <w:jc w:val="center"/>
        </w:trPr>
        <w:tc>
          <w:tcPr>
            <w:tcW w:w="11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7151128">
            <w:pPr>
              <w:spacing w:after="0"/>
            </w:pPr>
            <w:r>
              <w:rPr>
                <w:rFonts w:ascii="Calibri" w:hAnsi="Calibri" w:eastAsia="Calibri"/>
                <w:b/>
                <w:color w:val="222A35"/>
                <w:sz w:val="16"/>
              </w:rPr>
              <w:t>G-05</w:t>
            </w:r>
          </w:p>
        </w:tc>
        <w:tc>
          <w:tcPr>
            <w:tcW w:w="6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CA9CA2A">
            <w:pPr>
              <w:spacing w:after="0"/>
            </w:pPr>
            <w:r>
              <w:rPr>
                <w:rFonts w:ascii="Calibri" w:hAnsi="Calibri" w:eastAsia="Calibri"/>
                <w:b w:val="0"/>
                <w:color w:val="222A35"/>
                <w:sz w:val="16"/>
              </w:rPr>
              <w:t>Transfer ownership to tested multisig / timelock and document thresholds</w:t>
            </w:r>
          </w:p>
        </w:tc>
        <w:tc>
          <w:tcPr>
            <w:tcW w:w="16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F4BB4D1">
            <w:pPr>
              <w:spacing w:after="0"/>
            </w:pPr>
            <w:r>
              <w:rPr>
                <w:rFonts w:ascii="Calibri" w:hAnsi="Calibri" w:eastAsia="Calibri"/>
                <w:b w:val="0"/>
                <w:color w:val="222A35"/>
                <w:sz w:val="16"/>
              </w:rPr>
              <w:t>BLOCKING</w:t>
            </w:r>
          </w:p>
        </w:tc>
      </w:tr>
      <w:tr w14:paraId="324B365A">
        <w:tblPrEx>
          <w:tblCellMar>
            <w:top w:w="0" w:type="dxa"/>
            <w:left w:w="108" w:type="dxa"/>
            <w:bottom w:w="0" w:type="dxa"/>
            <w:right w:w="108" w:type="dxa"/>
          </w:tblCellMar>
        </w:tblPrEx>
        <w:trPr>
          <w:cantSplit/>
          <w:jc w:val="center"/>
        </w:trPr>
        <w:tc>
          <w:tcPr>
            <w:tcW w:w="11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08D88046">
            <w:pPr>
              <w:spacing w:after="0"/>
            </w:pPr>
            <w:r>
              <w:rPr>
                <w:rFonts w:ascii="Calibri" w:hAnsi="Calibri" w:eastAsia="Calibri"/>
                <w:b/>
                <w:color w:val="222A35"/>
                <w:sz w:val="16"/>
              </w:rPr>
              <w:t>G-06</w:t>
            </w:r>
          </w:p>
        </w:tc>
        <w:tc>
          <w:tcPr>
            <w:tcW w:w="6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6FC8A22">
            <w:pPr>
              <w:spacing w:after="0"/>
            </w:pPr>
            <w:r>
              <w:rPr>
                <w:rFonts w:ascii="Calibri" w:hAnsi="Calibri" w:eastAsia="Calibri"/>
                <w:b w:val="0"/>
                <w:color w:val="222A35"/>
                <w:sz w:val="16"/>
              </w:rPr>
              <w:t>Fund AGNT inventory and refund reserves; reconcile liabilities</w:t>
            </w:r>
          </w:p>
        </w:tc>
        <w:tc>
          <w:tcPr>
            <w:tcW w:w="16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3DCE0F2E">
            <w:pPr>
              <w:spacing w:after="0"/>
            </w:pPr>
            <w:r>
              <w:rPr>
                <w:rFonts w:ascii="Calibri" w:hAnsi="Calibri" w:eastAsia="Calibri"/>
                <w:b w:val="0"/>
                <w:color w:val="222A35"/>
                <w:sz w:val="16"/>
              </w:rPr>
              <w:t>BLOCKING</w:t>
            </w:r>
          </w:p>
        </w:tc>
      </w:tr>
      <w:tr w14:paraId="4C20B53C">
        <w:tblPrEx>
          <w:tblCellMar>
            <w:top w:w="0" w:type="dxa"/>
            <w:left w:w="108" w:type="dxa"/>
            <w:bottom w:w="0" w:type="dxa"/>
            <w:right w:w="108" w:type="dxa"/>
          </w:tblCellMar>
        </w:tblPrEx>
        <w:trPr>
          <w:cantSplit/>
          <w:jc w:val="center"/>
        </w:trPr>
        <w:tc>
          <w:tcPr>
            <w:tcW w:w="11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F13F76D">
            <w:pPr>
              <w:spacing w:after="0"/>
            </w:pPr>
            <w:r>
              <w:rPr>
                <w:rFonts w:ascii="Calibri" w:hAnsi="Calibri" w:eastAsia="Calibri"/>
                <w:b/>
                <w:color w:val="222A35"/>
                <w:sz w:val="16"/>
              </w:rPr>
              <w:t>G-07</w:t>
            </w:r>
          </w:p>
        </w:tc>
        <w:tc>
          <w:tcPr>
            <w:tcW w:w="6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8E6543A">
            <w:pPr>
              <w:spacing w:after="0"/>
            </w:pPr>
            <w:r>
              <w:rPr>
                <w:rFonts w:ascii="Calibri" w:hAnsi="Calibri" w:eastAsia="Calibri"/>
                <w:b w:val="0"/>
                <w:color w:val="222A35"/>
                <w:sz w:val="16"/>
              </w:rPr>
              <w:t>Run minimum-value BNB/USDT/USDC purchase, refund, claim and staking tests</w:t>
            </w:r>
          </w:p>
        </w:tc>
        <w:tc>
          <w:tcPr>
            <w:tcW w:w="16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C043F40">
            <w:pPr>
              <w:spacing w:after="0"/>
            </w:pPr>
            <w:r>
              <w:rPr>
                <w:rFonts w:ascii="Calibri" w:hAnsi="Calibri" w:eastAsia="Calibri"/>
                <w:b w:val="0"/>
                <w:color w:val="222A35"/>
                <w:sz w:val="16"/>
              </w:rPr>
              <w:t>BLOCKING</w:t>
            </w:r>
          </w:p>
        </w:tc>
      </w:tr>
      <w:tr w14:paraId="3E148BEA">
        <w:tblPrEx>
          <w:tblCellMar>
            <w:top w:w="0" w:type="dxa"/>
            <w:left w:w="108" w:type="dxa"/>
            <w:bottom w:w="0" w:type="dxa"/>
            <w:right w:w="108" w:type="dxa"/>
          </w:tblCellMar>
        </w:tblPrEx>
        <w:trPr>
          <w:cantSplit/>
          <w:jc w:val="center"/>
        </w:trPr>
        <w:tc>
          <w:tcPr>
            <w:tcW w:w="11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70BF1A0">
            <w:pPr>
              <w:spacing w:after="0"/>
            </w:pPr>
            <w:r>
              <w:rPr>
                <w:rFonts w:ascii="Calibri" w:hAnsi="Calibri" w:eastAsia="Calibri"/>
                <w:b/>
                <w:color w:val="222A35"/>
                <w:sz w:val="16"/>
              </w:rPr>
              <w:t>G-08</w:t>
            </w:r>
          </w:p>
        </w:tc>
        <w:tc>
          <w:tcPr>
            <w:tcW w:w="6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DB9D83D">
            <w:pPr>
              <w:spacing w:after="0"/>
            </w:pPr>
            <w:r>
              <w:rPr>
                <w:rFonts w:ascii="Calibri" w:hAnsi="Calibri" w:eastAsia="Calibri"/>
                <w:b w:val="0"/>
                <w:color w:val="222A35"/>
                <w:sz w:val="16"/>
              </w:rPr>
              <w:t>Verify breaker keeper monitoring, alerts, gas funding and failover</w:t>
            </w:r>
          </w:p>
        </w:tc>
        <w:tc>
          <w:tcPr>
            <w:tcW w:w="16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D4AE8C3">
            <w:pPr>
              <w:spacing w:after="0"/>
            </w:pPr>
            <w:r>
              <w:rPr>
                <w:rFonts w:ascii="Calibri" w:hAnsi="Calibri" w:eastAsia="Calibri"/>
                <w:b w:val="0"/>
                <w:color w:val="222A35"/>
                <w:sz w:val="16"/>
              </w:rPr>
              <w:t>REQUIRED</w:t>
            </w:r>
          </w:p>
        </w:tc>
      </w:tr>
      <w:tr w14:paraId="72CC8840">
        <w:tblPrEx>
          <w:tblCellMar>
            <w:top w:w="0" w:type="dxa"/>
            <w:left w:w="108" w:type="dxa"/>
            <w:bottom w:w="0" w:type="dxa"/>
            <w:right w:w="108" w:type="dxa"/>
          </w:tblCellMar>
        </w:tblPrEx>
        <w:trPr>
          <w:cantSplit/>
          <w:jc w:val="center"/>
        </w:trPr>
        <w:tc>
          <w:tcPr>
            <w:tcW w:w="11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0049005">
            <w:pPr>
              <w:spacing w:after="0"/>
            </w:pPr>
            <w:r>
              <w:rPr>
                <w:rFonts w:ascii="Calibri" w:hAnsi="Calibri" w:eastAsia="Calibri"/>
                <w:b/>
                <w:color w:val="222A35"/>
                <w:sz w:val="16"/>
              </w:rPr>
              <w:t>G-09</w:t>
            </w:r>
          </w:p>
        </w:tc>
        <w:tc>
          <w:tcPr>
            <w:tcW w:w="6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C968620">
            <w:pPr>
              <w:spacing w:after="0"/>
            </w:pPr>
            <w:r>
              <w:rPr>
                <w:rFonts w:ascii="Calibri" w:hAnsi="Calibri" w:eastAsia="Calibri"/>
                <w:b w:val="0"/>
                <w:color w:val="222A35"/>
                <w:sz w:val="16"/>
              </w:rPr>
              <w:t>Archive bytecode, addresses, tx hashes, events and configuration evidence</w:t>
            </w:r>
          </w:p>
        </w:tc>
        <w:tc>
          <w:tcPr>
            <w:tcW w:w="16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8CF35BC">
            <w:pPr>
              <w:spacing w:after="0"/>
            </w:pPr>
            <w:r>
              <w:rPr>
                <w:rFonts w:ascii="Calibri" w:hAnsi="Calibri" w:eastAsia="Calibri"/>
                <w:b w:val="0"/>
                <w:color w:val="222A35"/>
                <w:sz w:val="16"/>
              </w:rPr>
              <w:t>REQUIRED</w:t>
            </w:r>
          </w:p>
        </w:tc>
      </w:tr>
    </w:tbl>
    <w:p w14:paraId="525EA14B">
      <w:pPr>
        <w:spacing w:after="20"/>
      </w:pPr>
    </w:p>
    <w:tbl>
      <w:tblPr>
        <w:tblStyle w:val="34"/>
        <w:tblW w:w="9360" w:type="dxa"/>
        <w:jc w:val="center"/>
        <w:tblLayout w:type="fixed"/>
        <w:tblCellMar>
          <w:top w:w="0" w:type="dxa"/>
          <w:left w:w="108" w:type="dxa"/>
          <w:bottom w:w="0" w:type="dxa"/>
          <w:right w:w="108" w:type="dxa"/>
        </w:tblCellMar>
      </w:tblPr>
      <w:tblGrid>
        <w:gridCol w:w="9360"/>
      </w:tblGrid>
      <w:tr w14:paraId="78BBBF28">
        <w:tblPrEx>
          <w:tblCellMar>
            <w:top w:w="0" w:type="dxa"/>
            <w:left w:w="108" w:type="dxa"/>
            <w:bottom w:w="0" w:type="dxa"/>
            <w:right w:w="108" w:type="dxa"/>
          </w:tblCellMar>
        </w:tblPrEx>
        <w:trPr>
          <w:jc w:val="center"/>
        </w:trPr>
        <w:tc>
          <w:tcPr>
            <w:tcW w:w="9360" w:type="dxa"/>
            <w:tcBorders>
              <w:top w:val="single" w:color="FEECEB" w:sz="0" w:space="0"/>
              <w:left w:val="single" w:color="FEECEB" w:sz="0" w:space="0"/>
              <w:bottom w:val="single" w:color="FEECEB" w:sz="0" w:space="0"/>
              <w:right w:val="single" w:color="FEECEB" w:sz="0" w:space="0"/>
              <w:insideH w:val="single" w:sz="0" w:space="0"/>
              <w:insideV w:val="single" w:sz="0" w:space="0"/>
            </w:tcBorders>
            <w:shd w:val="clear" w:color="auto" w:fill="FEECEB"/>
            <w:tcMar>
              <w:top w:w="80" w:type="dxa"/>
              <w:left w:w="120" w:type="dxa"/>
              <w:bottom w:w="80" w:type="dxa"/>
              <w:right w:w="120" w:type="dxa"/>
            </w:tcMar>
            <w:vAlign w:val="center"/>
          </w:tcPr>
          <w:p w14:paraId="61D2A2B5">
            <w:pPr>
              <w:pBdr>
                <w:left w:val="single" w:color="B42318" w:sz="22" w:space="10"/>
              </w:pBdr>
              <w:spacing w:after="60"/>
            </w:pPr>
            <w:r>
              <w:rPr>
                <w:rFonts w:ascii="Calibri" w:hAnsi="Calibri" w:eastAsia="Calibri"/>
                <w:b/>
                <w:color w:val="B42318"/>
                <w:sz w:val="18"/>
              </w:rPr>
              <w:t>DEPLOYMENT STATUS</w:t>
            </w:r>
          </w:p>
          <w:p w14:paraId="0CAAB86D">
            <w:pPr>
              <w:pBdr>
                <w:left w:val="single" w:color="B42318" w:sz="22" w:space="10"/>
              </w:pBdr>
              <w:spacing w:after="0"/>
            </w:pPr>
            <w:r>
              <w:rPr>
                <w:rFonts w:ascii="Calibri" w:hAnsi="Calibri" w:eastAsia="Calibri"/>
                <w:color w:val="222A35"/>
                <w:sz w:val="21"/>
              </w:rPr>
              <w:t>No deployment directory, production address list, verified bytecode, constructor transaction, funded receipt or live role evidence was supplied. This report must not be interpreted as a deployed-system certification.</w:t>
            </w:r>
          </w:p>
        </w:tc>
      </w:tr>
    </w:tbl>
    <w:p w14:paraId="7BBA13A2">
      <w:pPr>
        <w:spacing w:after="20"/>
      </w:pPr>
    </w:p>
    <w:p w14:paraId="48386F07">
      <w:r>
        <w:br w:type="page"/>
      </w:r>
    </w:p>
    <w:p w14:paraId="5EE74D3C">
      <w:pPr>
        <w:pStyle w:val="3"/>
        <w:keepNext/>
      </w:pPr>
      <w:bookmarkStart w:id="39" w:name="_Toc22587"/>
      <w:r>
        <w:t>9. Residual risk and limitations</w:t>
      </w:r>
      <w:bookmarkEnd w:id="39"/>
    </w:p>
    <w:p w14:paraId="5412BB7B">
      <w:pPr>
        <w:pStyle w:val="16"/>
      </w:pPr>
      <w:r>
        <w:rPr>
          <w:rFonts w:ascii="Calibri" w:hAnsi="Calibri" w:eastAsia="Calibri"/>
        </w:rPr>
        <w:t>Security depends on exact deployment parameters, token/feed identities, role custody and reserve funding that were not assessed.</w:t>
      </w:r>
    </w:p>
    <w:p w14:paraId="0AFB7D28">
      <w:pPr>
        <w:pStyle w:val="16"/>
      </w:pPr>
      <w:r>
        <w:rPr>
          <w:rFonts w:ascii="Calibri" w:hAnsi="Calibri" w:eastAsia="Calibri"/>
        </w:rPr>
        <w:t>Oracle controls reduce but do not eliminate dependence on upstream data, RPC availability, gas and operator policy.</w:t>
      </w:r>
    </w:p>
    <w:p w14:paraId="51EA9401">
      <w:pPr>
        <w:pStyle w:val="16"/>
      </w:pPr>
      <w:r>
        <w:rPr>
          <w:rFonts w:ascii="Calibri" w:hAnsi="Calibri" w:eastAsia="Calibri"/>
        </w:rPr>
        <w:t>High test coverage does not prove economic correctness under all market, sequencing or governance conditions.</w:t>
      </w:r>
    </w:p>
    <w:p w14:paraId="2DE58865">
      <w:pPr>
        <w:pStyle w:val="16"/>
      </w:pPr>
      <w:r>
        <w:rPr>
          <w:rFonts w:ascii="Calibri" w:hAnsi="Calibri" w:eastAsia="Calibri"/>
        </w:rPr>
        <w:t>No stateful invariant fuzzing, symbolic execution, formal proof or adversarial mainnet fork exercise was completed.</w:t>
      </w:r>
    </w:p>
    <w:p w14:paraId="7094013D">
      <w:pPr>
        <w:pStyle w:val="16"/>
      </w:pPr>
      <w:r>
        <w:rPr>
          <w:rFonts w:ascii="Calibri" w:hAnsi="Calibri" w:eastAsia="Calibri"/>
        </w:rPr>
        <w:t>The assessment is first-party and does not substitute for independent review before material funds are exposed.</w:t>
      </w:r>
    </w:p>
    <w:p w14:paraId="7A0562D5">
      <w:pPr>
        <w:pStyle w:val="16"/>
      </w:pPr>
      <w:r>
        <w:rPr>
          <w:rFonts w:ascii="Calibri" w:hAnsi="Calibri" w:eastAsia="Calibri"/>
        </w:rPr>
        <w:t>The report applies only to the scope root printed on every controlled copy; any code change requires retest.</w:t>
      </w:r>
    </w:p>
    <w:p w14:paraId="0C637375">
      <w:pPr>
        <w:pStyle w:val="4"/>
        <w:keepNext/>
      </w:pPr>
      <w:bookmarkStart w:id="40" w:name="_Toc14081"/>
      <w:r>
        <w:t>9.1 Responsible disclosure</w:t>
      </w:r>
      <w:bookmarkEnd w:id="40"/>
    </w:p>
    <w:p w14:paraId="6B709581">
      <w:r>
        <w:rPr>
          <w:rFonts w:ascii="Calibri" w:hAnsi="Calibri" w:eastAsia="Calibri"/>
        </w:rPr>
        <w:t>Security reports should identify the report document ID, evidence run and scope-root hash. Sensitive exploit details should be sent through AEGENT's controlled security contact channel rather than public issue trackers.</w:t>
      </w:r>
    </w:p>
    <w:p w14:paraId="1AA98C0C">
      <w:r>
        <w:br w:type="page"/>
      </w:r>
    </w:p>
    <w:p w14:paraId="3F339FD1">
      <w:pPr>
        <w:pStyle w:val="3"/>
        <w:keepNext/>
      </w:pPr>
      <w:bookmarkStart w:id="41" w:name="_Toc2670"/>
      <w:r>
        <w:t>10. Conclusion</w:t>
      </w:r>
      <w:bookmarkEnd w:id="41"/>
    </w:p>
    <w:tbl>
      <w:tblPr>
        <w:tblStyle w:val="34"/>
        <w:tblW w:w="9360" w:type="dxa"/>
        <w:jc w:val="center"/>
        <w:tblLayout w:type="fixed"/>
        <w:tblCellMar>
          <w:top w:w="0" w:type="dxa"/>
          <w:left w:w="108" w:type="dxa"/>
          <w:bottom w:w="0" w:type="dxa"/>
          <w:right w:w="108" w:type="dxa"/>
        </w:tblCellMar>
      </w:tblPr>
      <w:tblGrid>
        <w:gridCol w:w="9360"/>
      </w:tblGrid>
      <w:tr w14:paraId="7EA36923">
        <w:tblPrEx>
          <w:tblCellMar>
            <w:top w:w="0" w:type="dxa"/>
            <w:left w:w="108" w:type="dxa"/>
            <w:bottom w:w="0" w:type="dxa"/>
            <w:right w:w="108" w:type="dxa"/>
          </w:tblCellMar>
        </w:tblPrEx>
        <w:trPr>
          <w:jc w:val="center"/>
        </w:trPr>
        <w:tc>
          <w:tcPr>
            <w:tcW w:w="9360" w:type="dxa"/>
            <w:tcBorders>
              <w:top w:val="single" w:color="FFF4E5" w:sz="0" w:space="0"/>
              <w:left w:val="single" w:color="FFF4E5" w:sz="0" w:space="0"/>
              <w:bottom w:val="single" w:color="FFF4E5" w:sz="0" w:space="0"/>
              <w:right w:val="single" w:color="FFF4E5" w:sz="0" w:space="0"/>
              <w:insideH w:val="single" w:sz="0" w:space="0"/>
              <w:insideV w:val="single" w:sz="0" w:space="0"/>
            </w:tcBorders>
            <w:shd w:val="clear" w:color="auto" w:fill="FFF4E5"/>
            <w:tcMar>
              <w:top w:w="80" w:type="dxa"/>
              <w:left w:w="120" w:type="dxa"/>
              <w:bottom w:w="80" w:type="dxa"/>
              <w:right w:w="120" w:type="dxa"/>
            </w:tcMar>
            <w:vAlign w:val="center"/>
          </w:tcPr>
          <w:p w14:paraId="608E149C">
            <w:pPr>
              <w:pBdr>
                <w:left w:val="single" w:color="B54708" w:sz="22" w:space="10"/>
              </w:pBdr>
              <w:spacing w:after="60"/>
            </w:pPr>
            <w:r>
              <w:rPr>
                <w:rFonts w:ascii="Calibri" w:hAnsi="Calibri" w:eastAsia="Calibri"/>
                <w:b/>
                <w:color w:val="B54708"/>
                <w:sz w:val="18"/>
              </w:rPr>
              <w:t>REMEDIATION REQUIRED BEFORE MAINNET</w:t>
            </w:r>
          </w:p>
          <w:p w14:paraId="7D968294">
            <w:pPr>
              <w:pBdr>
                <w:left w:val="single" w:color="B54708" w:sz="22" w:space="10"/>
              </w:pBdr>
              <w:spacing w:after="0"/>
            </w:pPr>
            <w:r>
              <w:rPr>
                <w:rFonts w:ascii="Calibri" w:hAnsi="Calibri" w:eastAsia="Calibri"/>
                <w:color w:val="222A35"/>
                <w:sz w:val="21"/>
              </w:rPr>
              <w:t>The updated contracts demonstrate substantial remediation and a stronger fail-closed posture. The purchase and redemption controls are materially improved; automated checks completed and their outputs were manually triaged. Staking oracle validation remains the principal open Medium risk.</w:t>
            </w:r>
          </w:p>
        </w:tc>
      </w:tr>
    </w:tbl>
    <w:p w14:paraId="3F3183A7">
      <w:pPr>
        <w:spacing w:after="20"/>
      </w:pPr>
    </w:p>
    <w:p w14:paraId="73B4D637">
      <w:r>
        <w:rPr>
          <w:rFonts w:ascii="Calibri" w:hAnsi="Calibri" w:eastAsia="Calibri"/>
        </w:rPr>
        <w:t>AEGENT should keep mainnet enablement gated until MED-04 and the deployment evidence checklist are closed. LOW-01 and the Informational items should be resolved or explicitly documented as accepted operating assumptions.</w:t>
      </w:r>
    </w:p>
    <w:p w14:paraId="2F7C26E8">
      <w:r>
        <w:rPr>
          <w:rFonts w:ascii="Calibri" w:hAnsi="Calibri" w:eastAsia="Calibri"/>
        </w:rPr>
        <w:t>This conclusion is valid only for evidence run 20260730T020710Z and scope root 5c51c8e5df9126e3b0a5ce15e98869f6130e43bb13e4caaebf30853286763f0c. No statement is made about unreviewed code, deployed bytecode, live balances or third-party endorsement.</w:t>
      </w:r>
    </w:p>
    <w:p w14:paraId="3AF99D30">
      <w:pPr>
        <w:spacing w:before="480"/>
      </w:pPr>
      <w:r>
        <w:rPr>
          <w:rFonts w:ascii="Calibri" w:hAnsi="Calibri" w:eastAsia="Calibri"/>
          <w:b/>
          <w:color w:val="17213C"/>
          <w:sz w:val="20"/>
        </w:rPr>
        <w:t>AEGENT SECURITY REVIEW TEAM</w:t>
      </w:r>
      <w:r>
        <w:rPr>
          <w:rFonts w:ascii="Calibri" w:hAnsi="Calibri" w:eastAsia="Calibri"/>
          <w:b/>
          <w:color w:val="17213C"/>
          <w:sz w:val="20"/>
        </w:rPr>
        <w:br w:type="textWrapping"/>
      </w:r>
      <w:r>
        <w:rPr>
          <w:rFonts w:ascii="Calibri" w:hAnsi="Calibri" w:eastAsia="Calibri"/>
          <w:color w:val="667085"/>
          <w:sz w:val="18"/>
        </w:rPr>
        <w:t>Issued 30 July 2026  •  AEG-SAR-2026-0730-01  •  v1.0</w:t>
      </w:r>
    </w:p>
    <w:p w14:paraId="7F83C9DD">
      <w:r>
        <w:br w:type="page"/>
      </w:r>
    </w:p>
    <w:p w14:paraId="7243C5DD">
      <w:pPr>
        <w:pStyle w:val="3"/>
        <w:keepNext/>
      </w:pPr>
      <w:bookmarkStart w:id="42" w:name="_Toc27934"/>
      <w:r>
        <w:t>Appendix A — Scope file hashes</w:t>
      </w:r>
      <w:bookmarkEnd w:id="42"/>
    </w:p>
    <w:tbl>
      <w:tblPr>
        <w:tblStyle w:val="34"/>
        <w:tblW w:w="9360" w:type="dxa"/>
        <w:jc w:val="center"/>
        <w:tblLayout w:type="fixed"/>
        <w:tblCellMar>
          <w:top w:w="0" w:type="dxa"/>
          <w:left w:w="108" w:type="dxa"/>
          <w:bottom w:w="0" w:type="dxa"/>
          <w:right w:w="108" w:type="dxa"/>
        </w:tblCellMar>
      </w:tblPr>
      <w:tblGrid>
        <w:gridCol w:w="3600"/>
        <w:gridCol w:w="760"/>
        <w:gridCol w:w="5000"/>
      </w:tblGrid>
      <w:tr w14:paraId="50CE537C">
        <w:tblPrEx>
          <w:tblCellMar>
            <w:top w:w="0" w:type="dxa"/>
            <w:left w:w="108" w:type="dxa"/>
            <w:bottom w:w="0" w:type="dxa"/>
            <w:right w:w="108" w:type="dxa"/>
          </w:tblCellMar>
        </w:tblPrEx>
        <w:trPr>
          <w:cantSplit/>
          <w:tblHeader/>
          <w:jc w:val="center"/>
        </w:trPr>
        <w:tc>
          <w:tcPr>
            <w:tcW w:w="3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7818C478">
            <w:pPr>
              <w:spacing w:after="0"/>
            </w:pPr>
            <w:r>
              <w:rPr>
                <w:rFonts w:ascii="Calibri" w:hAnsi="Calibri" w:eastAsia="Calibri"/>
                <w:b/>
                <w:color w:val="17213C"/>
                <w:sz w:val="14"/>
              </w:rPr>
              <w:t>RELATIVE PATH</w:t>
            </w:r>
          </w:p>
        </w:tc>
        <w:tc>
          <w:tcPr>
            <w:tcW w:w="7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273E125A">
            <w:pPr>
              <w:spacing w:after="0"/>
            </w:pPr>
            <w:r>
              <w:rPr>
                <w:rFonts w:ascii="Calibri" w:hAnsi="Calibri" w:eastAsia="Calibri"/>
                <w:b/>
                <w:color w:val="17213C"/>
                <w:sz w:val="14"/>
              </w:rPr>
              <w:t>LOC</w:t>
            </w:r>
          </w:p>
        </w:tc>
        <w:tc>
          <w:tcPr>
            <w:tcW w:w="50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6F96B726">
            <w:pPr>
              <w:spacing w:after="0"/>
            </w:pPr>
            <w:r>
              <w:rPr>
                <w:rFonts w:ascii="Calibri" w:hAnsi="Calibri" w:eastAsia="Calibri"/>
                <w:b/>
                <w:color w:val="17213C"/>
                <w:sz w:val="14"/>
              </w:rPr>
              <w:t>SHA-256</w:t>
            </w:r>
          </w:p>
        </w:tc>
      </w:tr>
      <w:tr w14:paraId="3D1C28E9">
        <w:tblPrEx>
          <w:tblCellMar>
            <w:top w:w="0" w:type="dxa"/>
            <w:left w:w="108" w:type="dxa"/>
            <w:bottom w:w="0" w:type="dxa"/>
            <w:right w:w="108" w:type="dxa"/>
          </w:tblCellMar>
        </w:tblPrEx>
        <w:trPr>
          <w:cantSplit/>
          <w:jc w:val="center"/>
        </w:trPr>
        <w:tc>
          <w:tcPr>
            <w:tcW w:w="3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54D2DC6">
            <w:pPr>
              <w:spacing w:after="0"/>
            </w:pPr>
            <w:r>
              <w:rPr>
                <w:rFonts w:ascii="Calibri" w:hAnsi="Calibri" w:eastAsia="Calibri"/>
                <w:b/>
                <w:color w:val="222A35"/>
                <w:sz w:val="14"/>
              </w:rPr>
              <w:t>contracts/AegentMarketRegistry.sol</w:t>
            </w:r>
          </w:p>
        </w:tc>
        <w:tc>
          <w:tcPr>
            <w:tcW w:w="7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BFAF977">
            <w:pPr>
              <w:spacing w:after="0"/>
            </w:pPr>
            <w:r>
              <w:rPr>
                <w:rFonts w:ascii="Calibri" w:hAnsi="Calibri" w:eastAsia="Calibri"/>
                <w:b w:val="0"/>
                <w:color w:val="222A35"/>
                <w:sz w:val="14"/>
              </w:rPr>
              <w:t>406</w:t>
            </w:r>
          </w:p>
        </w:tc>
        <w:tc>
          <w:tcPr>
            <w:tcW w:w="50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9B68498">
            <w:pPr>
              <w:spacing w:after="0"/>
            </w:pPr>
            <w:r>
              <w:rPr>
                <w:rFonts w:ascii="Calibri" w:hAnsi="Calibri" w:eastAsia="Calibri"/>
                <w:b w:val="0"/>
                <w:color w:val="222A35"/>
                <w:sz w:val="14"/>
              </w:rPr>
              <w:t>7bb6cf38a0b59e52564f8fa83be1a24ad33456286f712eb239ad681f83dbfb32</w:t>
            </w:r>
          </w:p>
        </w:tc>
      </w:tr>
      <w:tr w14:paraId="57B1C7A3">
        <w:tblPrEx>
          <w:tblCellMar>
            <w:top w:w="0" w:type="dxa"/>
            <w:left w:w="108" w:type="dxa"/>
            <w:bottom w:w="0" w:type="dxa"/>
            <w:right w:w="108" w:type="dxa"/>
          </w:tblCellMar>
        </w:tblPrEx>
        <w:trPr>
          <w:cantSplit/>
          <w:jc w:val="center"/>
        </w:trPr>
        <w:tc>
          <w:tcPr>
            <w:tcW w:w="3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7069329">
            <w:pPr>
              <w:spacing w:after="0"/>
            </w:pPr>
            <w:r>
              <w:rPr>
                <w:rFonts w:ascii="Calibri" w:hAnsi="Calibri" w:eastAsia="Calibri"/>
                <w:b/>
                <w:color w:val="222A35"/>
                <w:sz w:val="14"/>
              </w:rPr>
              <w:t>contracts/AegentRedemptionV2.sol</w:t>
            </w:r>
          </w:p>
        </w:tc>
        <w:tc>
          <w:tcPr>
            <w:tcW w:w="7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9CD3C18">
            <w:pPr>
              <w:spacing w:after="0"/>
            </w:pPr>
            <w:r>
              <w:rPr>
                <w:rFonts w:ascii="Calibri" w:hAnsi="Calibri" w:eastAsia="Calibri"/>
                <w:b w:val="0"/>
                <w:color w:val="222A35"/>
                <w:sz w:val="14"/>
              </w:rPr>
              <w:t>925</w:t>
            </w:r>
          </w:p>
        </w:tc>
        <w:tc>
          <w:tcPr>
            <w:tcW w:w="50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DA2FFDB">
            <w:pPr>
              <w:spacing w:after="0"/>
            </w:pPr>
            <w:r>
              <w:rPr>
                <w:rFonts w:ascii="Calibri" w:hAnsi="Calibri" w:eastAsia="Calibri"/>
                <w:b w:val="0"/>
                <w:color w:val="222A35"/>
                <w:sz w:val="14"/>
              </w:rPr>
              <w:t>1353e6b2ef4382cd544bd321141e071d3b50e7a3704e31387847ce1ceebfcf13</w:t>
            </w:r>
          </w:p>
        </w:tc>
      </w:tr>
      <w:tr w14:paraId="041BDAB2">
        <w:tblPrEx>
          <w:tblCellMar>
            <w:top w:w="0" w:type="dxa"/>
            <w:left w:w="108" w:type="dxa"/>
            <w:bottom w:w="0" w:type="dxa"/>
            <w:right w:w="108" w:type="dxa"/>
          </w:tblCellMar>
        </w:tblPrEx>
        <w:trPr>
          <w:cantSplit/>
          <w:jc w:val="center"/>
        </w:trPr>
        <w:tc>
          <w:tcPr>
            <w:tcW w:w="3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5AF18F9">
            <w:pPr>
              <w:spacing w:after="0"/>
            </w:pPr>
            <w:r>
              <w:rPr>
                <w:rFonts w:ascii="Calibri" w:hAnsi="Calibri" w:eastAsia="Calibri"/>
                <w:b/>
                <w:color w:val="222A35"/>
                <w:sz w:val="14"/>
              </w:rPr>
              <w:t>contracts/AegentSaleProceedsVault.sol</w:t>
            </w:r>
          </w:p>
        </w:tc>
        <w:tc>
          <w:tcPr>
            <w:tcW w:w="7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CDBF8E5">
            <w:pPr>
              <w:spacing w:after="0"/>
            </w:pPr>
            <w:r>
              <w:rPr>
                <w:rFonts w:ascii="Calibri" w:hAnsi="Calibri" w:eastAsia="Calibri"/>
                <w:b w:val="0"/>
                <w:color w:val="222A35"/>
                <w:sz w:val="14"/>
              </w:rPr>
              <w:t>109</w:t>
            </w:r>
          </w:p>
        </w:tc>
        <w:tc>
          <w:tcPr>
            <w:tcW w:w="50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99EC2FE">
            <w:pPr>
              <w:spacing w:after="0"/>
            </w:pPr>
            <w:r>
              <w:rPr>
                <w:rFonts w:ascii="Calibri" w:hAnsi="Calibri" w:eastAsia="Calibri"/>
                <w:b w:val="0"/>
                <w:color w:val="222A35"/>
                <w:sz w:val="14"/>
              </w:rPr>
              <w:t>983af93be4bb1fcbe2809c9fb01baea34a7bae0ddf12caf05933c5450842cc34</w:t>
            </w:r>
          </w:p>
        </w:tc>
      </w:tr>
      <w:tr w14:paraId="21E14855">
        <w:tblPrEx>
          <w:tblCellMar>
            <w:top w:w="0" w:type="dxa"/>
            <w:left w:w="108" w:type="dxa"/>
            <w:bottom w:w="0" w:type="dxa"/>
            <w:right w:w="108" w:type="dxa"/>
          </w:tblCellMar>
        </w:tblPrEx>
        <w:trPr>
          <w:cantSplit/>
          <w:jc w:val="center"/>
        </w:trPr>
        <w:tc>
          <w:tcPr>
            <w:tcW w:w="3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0027D8E5">
            <w:pPr>
              <w:spacing w:after="0"/>
            </w:pPr>
            <w:r>
              <w:rPr>
                <w:rFonts w:ascii="Calibri" w:hAnsi="Calibri" w:eastAsia="Calibri"/>
                <w:b/>
                <w:color w:val="222A35"/>
                <w:sz w:val="14"/>
              </w:rPr>
              <w:t>contracts/AegentStakingV1.sol</w:t>
            </w:r>
          </w:p>
        </w:tc>
        <w:tc>
          <w:tcPr>
            <w:tcW w:w="7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0EE7CEE">
            <w:pPr>
              <w:spacing w:after="0"/>
            </w:pPr>
            <w:r>
              <w:rPr>
                <w:rFonts w:ascii="Calibri" w:hAnsi="Calibri" w:eastAsia="Calibri"/>
                <w:b w:val="0"/>
                <w:color w:val="222A35"/>
                <w:sz w:val="14"/>
              </w:rPr>
              <w:t>557</w:t>
            </w:r>
          </w:p>
        </w:tc>
        <w:tc>
          <w:tcPr>
            <w:tcW w:w="50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09E441B">
            <w:pPr>
              <w:spacing w:after="0"/>
            </w:pPr>
            <w:r>
              <w:rPr>
                <w:rFonts w:ascii="Calibri" w:hAnsi="Calibri" w:eastAsia="Calibri"/>
                <w:b w:val="0"/>
                <w:color w:val="222A35"/>
                <w:sz w:val="14"/>
              </w:rPr>
              <w:t>789b1839a17e021b5e9cca679b8332e53ea6615644ef422ec30349e4c3b0abde</w:t>
            </w:r>
          </w:p>
        </w:tc>
      </w:tr>
      <w:tr w14:paraId="09F8E4CB">
        <w:tblPrEx>
          <w:tblCellMar>
            <w:top w:w="0" w:type="dxa"/>
            <w:left w:w="108" w:type="dxa"/>
            <w:bottom w:w="0" w:type="dxa"/>
            <w:right w:w="108" w:type="dxa"/>
          </w:tblCellMar>
        </w:tblPrEx>
        <w:trPr>
          <w:cantSplit/>
          <w:jc w:val="center"/>
        </w:trPr>
        <w:tc>
          <w:tcPr>
            <w:tcW w:w="3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2025B3A">
            <w:pPr>
              <w:spacing w:after="0"/>
            </w:pPr>
            <w:r>
              <w:rPr>
                <w:rFonts w:ascii="Calibri" w:hAnsi="Calibri" w:eastAsia="Calibri"/>
                <w:b/>
                <w:color w:val="222A35"/>
                <w:sz w:val="14"/>
              </w:rPr>
              <w:t>contracts/AegentSwapV2.sol</w:t>
            </w:r>
          </w:p>
        </w:tc>
        <w:tc>
          <w:tcPr>
            <w:tcW w:w="7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5292898">
            <w:pPr>
              <w:spacing w:after="0"/>
            </w:pPr>
            <w:r>
              <w:rPr>
                <w:rFonts w:ascii="Calibri" w:hAnsi="Calibri" w:eastAsia="Calibri"/>
                <w:b w:val="0"/>
                <w:color w:val="222A35"/>
                <w:sz w:val="14"/>
              </w:rPr>
              <w:t>1142</w:t>
            </w:r>
          </w:p>
        </w:tc>
        <w:tc>
          <w:tcPr>
            <w:tcW w:w="50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AC744DB">
            <w:pPr>
              <w:spacing w:after="0"/>
            </w:pPr>
            <w:r>
              <w:rPr>
                <w:rFonts w:ascii="Calibri" w:hAnsi="Calibri" w:eastAsia="Calibri"/>
                <w:b w:val="0"/>
                <w:color w:val="222A35"/>
                <w:sz w:val="14"/>
              </w:rPr>
              <w:t>c93726e35beb4d5bbdbfe37353f03c8418dc9be1add5d333c9aaedb0620d2334</w:t>
            </w:r>
          </w:p>
        </w:tc>
      </w:tr>
      <w:tr w14:paraId="1AFE30D7">
        <w:tblPrEx>
          <w:tblCellMar>
            <w:top w:w="0" w:type="dxa"/>
            <w:left w:w="108" w:type="dxa"/>
            <w:bottom w:w="0" w:type="dxa"/>
            <w:right w:w="108" w:type="dxa"/>
          </w:tblCellMar>
        </w:tblPrEx>
        <w:trPr>
          <w:cantSplit/>
          <w:jc w:val="center"/>
        </w:trPr>
        <w:tc>
          <w:tcPr>
            <w:tcW w:w="3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04FE9F43">
            <w:pPr>
              <w:spacing w:after="0"/>
            </w:pPr>
            <w:r>
              <w:rPr>
                <w:rFonts w:ascii="Calibri" w:hAnsi="Calibri" w:eastAsia="Calibri"/>
                <w:b/>
                <w:color w:val="222A35"/>
                <w:sz w:val="14"/>
              </w:rPr>
              <w:t>contracts/interfaces/IAegentMarketRegistry.sol</w:t>
            </w:r>
          </w:p>
        </w:tc>
        <w:tc>
          <w:tcPr>
            <w:tcW w:w="7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968D3CB">
            <w:pPr>
              <w:spacing w:after="0"/>
            </w:pPr>
            <w:r>
              <w:rPr>
                <w:rFonts w:ascii="Calibri" w:hAnsi="Calibri" w:eastAsia="Calibri"/>
                <w:b w:val="0"/>
                <w:color w:val="222A35"/>
                <w:sz w:val="14"/>
              </w:rPr>
              <w:t>70</w:t>
            </w:r>
          </w:p>
        </w:tc>
        <w:tc>
          <w:tcPr>
            <w:tcW w:w="50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E37EB63">
            <w:pPr>
              <w:spacing w:after="0"/>
            </w:pPr>
            <w:r>
              <w:rPr>
                <w:rFonts w:ascii="Calibri" w:hAnsi="Calibri" w:eastAsia="Calibri"/>
                <w:b w:val="0"/>
                <w:color w:val="222A35"/>
                <w:sz w:val="14"/>
              </w:rPr>
              <w:t>20f86c9d6927aec67a51bdf5fbf7fa2ce8fbbeaa76ea577ca410c42f6f382b76</w:t>
            </w:r>
          </w:p>
        </w:tc>
      </w:tr>
      <w:tr w14:paraId="58EFB07E">
        <w:tblPrEx>
          <w:tblCellMar>
            <w:top w:w="0" w:type="dxa"/>
            <w:left w:w="108" w:type="dxa"/>
            <w:bottom w:w="0" w:type="dxa"/>
            <w:right w:w="108" w:type="dxa"/>
          </w:tblCellMar>
        </w:tblPrEx>
        <w:trPr>
          <w:cantSplit/>
          <w:jc w:val="center"/>
        </w:trPr>
        <w:tc>
          <w:tcPr>
            <w:tcW w:w="3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C831436">
            <w:pPr>
              <w:spacing w:after="0"/>
            </w:pPr>
            <w:r>
              <w:rPr>
                <w:rFonts w:ascii="Calibri" w:hAnsi="Calibri" w:eastAsia="Calibri"/>
                <w:b/>
                <w:color w:val="222A35"/>
                <w:sz w:val="14"/>
              </w:rPr>
              <w:t>contracts/interfaces/IAegentPurchaseReceiptSource.sol</w:t>
            </w:r>
          </w:p>
        </w:tc>
        <w:tc>
          <w:tcPr>
            <w:tcW w:w="7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58210C2">
            <w:pPr>
              <w:spacing w:after="0"/>
            </w:pPr>
            <w:r>
              <w:rPr>
                <w:rFonts w:ascii="Calibri" w:hAnsi="Calibri" w:eastAsia="Calibri"/>
                <w:b w:val="0"/>
                <w:color w:val="222A35"/>
                <w:sz w:val="14"/>
              </w:rPr>
              <w:t>28</w:t>
            </w:r>
          </w:p>
        </w:tc>
        <w:tc>
          <w:tcPr>
            <w:tcW w:w="50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409461E">
            <w:pPr>
              <w:spacing w:after="0"/>
            </w:pPr>
            <w:r>
              <w:rPr>
                <w:rFonts w:ascii="Calibri" w:hAnsi="Calibri" w:eastAsia="Calibri"/>
                <w:b w:val="0"/>
                <w:color w:val="222A35"/>
                <w:sz w:val="14"/>
              </w:rPr>
              <w:t>52abd846c87734040bfb375177186bff6d8b56f9b23ddbeeb8a7a4f4c3d5badb</w:t>
            </w:r>
          </w:p>
        </w:tc>
      </w:tr>
      <w:tr w14:paraId="2478868F">
        <w:tblPrEx>
          <w:tblCellMar>
            <w:top w:w="0" w:type="dxa"/>
            <w:left w:w="108" w:type="dxa"/>
            <w:bottom w:w="0" w:type="dxa"/>
            <w:right w:w="108" w:type="dxa"/>
          </w:tblCellMar>
        </w:tblPrEx>
        <w:trPr>
          <w:cantSplit/>
          <w:jc w:val="center"/>
        </w:trPr>
        <w:tc>
          <w:tcPr>
            <w:tcW w:w="3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7B114C5">
            <w:pPr>
              <w:spacing w:after="0"/>
            </w:pPr>
            <w:r>
              <w:rPr>
                <w:rFonts w:ascii="Calibri" w:hAnsi="Calibri" w:eastAsia="Calibri"/>
                <w:b/>
                <w:color w:val="222A35"/>
                <w:sz w:val="14"/>
              </w:rPr>
              <w:t>contracts/interfaces/IAegentRedemptionEndpoint.sol</w:t>
            </w:r>
          </w:p>
        </w:tc>
        <w:tc>
          <w:tcPr>
            <w:tcW w:w="7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DF9EC27">
            <w:pPr>
              <w:spacing w:after="0"/>
            </w:pPr>
            <w:r>
              <w:rPr>
                <w:rFonts w:ascii="Calibri" w:hAnsi="Calibri" w:eastAsia="Calibri"/>
                <w:b w:val="0"/>
                <w:color w:val="222A35"/>
                <w:sz w:val="14"/>
              </w:rPr>
              <w:t>13</w:t>
            </w:r>
          </w:p>
        </w:tc>
        <w:tc>
          <w:tcPr>
            <w:tcW w:w="50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00FB024E">
            <w:pPr>
              <w:spacing w:after="0"/>
            </w:pPr>
            <w:r>
              <w:rPr>
                <w:rFonts w:ascii="Calibri" w:hAnsi="Calibri" w:eastAsia="Calibri"/>
                <w:b w:val="0"/>
                <w:color w:val="222A35"/>
                <w:sz w:val="14"/>
              </w:rPr>
              <w:t>b78ac12e384e2c71bdf33eb44a899c417c30eb4a9376fb28351d85c50bcf369d</w:t>
            </w:r>
          </w:p>
        </w:tc>
      </w:tr>
      <w:tr w14:paraId="0B587942">
        <w:tblPrEx>
          <w:tblCellMar>
            <w:top w:w="0" w:type="dxa"/>
            <w:left w:w="108" w:type="dxa"/>
            <w:bottom w:w="0" w:type="dxa"/>
            <w:right w:w="108" w:type="dxa"/>
          </w:tblCellMar>
        </w:tblPrEx>
        <w:trPr>
          <w:cantSplit/>
          <w:jc w:val="center"/>
        </w:trPr>
        <w:tc>
          <w:tcPr>
            <w:tcW w:w="3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2387E87">
            <w:pPr>
              <w:spacing w:after="0"/>
            </w:pPr>
            <w:r>
              <w:rPr>
                <w:rFonts w:ascii="Calibri" w:hAnsi="Calibri" w:eastAsia="Calibri"/>
                <w:b/>
                <w:color w:val="222A35"/>
                <w:sz w:val="14"/>
              </w:rPr>
              <w:t>contracts/interfaces/IAegentRegistryBound.sol</w:t>
            </w:r>
          </w:p>
        </w:tc>
        <w:tc>
          <w:tcPr>
            <w:tcW w:w="7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4F9E9DF">
            <w:pPr>
              <w:spacing w:after="0"/>
            </w:pPr>
            <w:r>
              <w:rPr>
                <w:rFonts w:ascii="Calibri" w:hAnsi="Calibri" w:eastAsia="Calibri"/>
                <w:b w:val="0"/>
                <w:color w:val="222A35"/>
                <w:sz w:val="14"/>
              </w:rPr>
              <w:t>8</w:t>
            </w:r>
          </w:p>
        </w:tc>
        <w:tc>
          <w:tcPr>
            <w:tcW w:w="50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AD7F181">
            <w:pPr>
              <w:spacing w:after="0"/>
            </w:pPr>
            <w:r>
              <w:rPr>
                <w:rFonts w:ascii="Calibri" w:hAnsi="Calibri" w:eastAsia="Calibri"/>
                <w:b w:val="0"/>
                <w:color w:val="222A35"/>
                <w:sz w:val="14"/>
              </w:rPr>
              <w:t>bf53c7606cbc5853a74710c9fa31dfd256a31283eedaf7ede01e213b0f12bc84</w:t>
            </w:r>
          </w:p>
        </w:tc>
      </w:tr>
      <w:tr w14:paraId="3F2CF2C6">
        <w:tblPrEx>
          <w:tblCellMar>
            <w:top w:w="0" w:type="dxa"/>
            <w:left w:w="108" w:type="dxa"/>
            <w:bottom w:w="0" w:type="dxa"/>
            <w:right w:w="108" w:type="dxa"/>
          </w:tblCellMar>
        </w:tblPrEx>
        <w:trPr>
          <w:cantSplit/>
          <w:jc w:val="center"/>
        </w:trPr>
        <w:tc>
          <w:tcPr>
            <w:tcW w:w="36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3F848F4">
            <w:pPr>
              <w:spacing w:after="0"/>
            </w:pPr>
            <w:r>
              <w:rPr>
                <w:rFonts w:ascii="Calibri" w:hAnsi="Calibri" w:eastAsia="Calibri"/>
                <w:b/>
                <w:color w:val="222A35"/>
                <w:sz w:val="14"/>
              </w:rPr>
              <w:t>contracts/interfaces/IAegentSaleProceedsVault.sol</w:t>
            </w:r>
          </w:p>
        </w:tc>
        <w:tc>
          <w:tcPr>
            <w:tcW w:w="7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2364538">
            <w:pPr>
              <w:spacing w:after="0"/>
            </w:pPr>
            <w:r>
              <w:rPr>
                <w:rFonts w:ascii="Calibri" w:hAnsi="Calibri" w:eastAsia="Calibri"/>
                <w:b w:val="0"/>
                <w:color w:val="222A35"/>
                <w:sz w:val="14"/>
              </w:rPr>
              <w:t>12</w:t>
            </w:r>
          </w:p>
        </w:tc>
        <w:tc>
          <w:tcPr>
            <w:tcW w:w="50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3C83F89">
            <w:pPr>
              <w:spacing w:after="0"/>
            </w:pPr>
            <w:r>
              <w:rPr>
                <w:rFonts w:ascii="Calibri" w:hAnsi="Calibri" w:eastAsia="Calibri"/>
                <w:b w:val="0"/>
                <w:color w:val="222A35"/>
                <w:sz w:val="14"/>
              </w:rPr>
              <w:t>eb1005d38941efc7dfd9e8c961eb5a4df10f9a43f630330495dd82b73854c974</w:t>
            </w:r>
          </w:p>
        </w:tc>
      </w:tr>
      <w:tr w14:paraId="281BCDC2">
        <w:tblPrEx>
          <w:tblCellMar>
            <w:top w:w="0" w:type="dxa"/>
            <w:left w:w="108" w:type="dxa"/>
            <w:bottom w:w="0" w:type="dxa"/>
            <w:right w:w="108" w:type="dxa"/>
          </w:tblCellMar>
        </w:tblPrEx>
        <w:trPr>
          <w:cantSplit/>
          <w:jc w:val="center"/>
        </w:trPr>
        <w:tc>
          <w:tcPr>
            <w:tcW w:w="36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0D5892C">
            <w:pPr>
              <w:spacing w:after="0"/>
            </w:pPr>
            <w:r>
              <w:rPr>
                <w:rFonts w:ascii="Calibri" w:hAnsi="Calibri" w:eastAsia="Calibri"/>
                <w:b/>
                <w:color w:val="222A35"/>
                <w:sz w:val="14"/>
              </w:rPr>
              <w:t>contracts/interfaces/IAggregatorV3.sol</w:t>
            </w:r>
          </w:p>
        </w:tc>
        <w:tc>
          <w:tcPr>
            <w:tcW w:w="7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85B04BE">
            <w:pPr>
              <w:spacing w:after="0"/>
            </w:pPr>
            <w:r>
              <w:rPr>
                <w:rFonts w:ascii="Calibri" w:hAnsi="Calibri" w:eastAsia="Calibri"/>
                <w:b w:val="0"/>
                <w:color w:val="222A35"/>
                <w:sz w:val="14"/>
              </w:rPr>
              <w:t>17</w:t>
            </w:r>
          </w:p>
        </w:tc>
        <w:tc>
          <w:tcPr>
            <w:tcW w:w="50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10943EE">
            <w:pPr>
              <w:spacing w:after="0"/>
            </w:pPr>
            <w:r>
              <w:rPr>
                <w:rFonts w:ascii="Calibri" w:hAnsi="Calibri" w:eastAsia="Calibri"/>
                <w:b w:val="0"/>
                <w:color w:val="222A35"/>
                <w:sz w:val="14"/>
              </w:rPr>
              <w:t>2dc0d69856b9cf3579d866c1da3bb9baff2fe505d9702001fcddc47e319a2b7e</w:t>
            </w:r>
          </w:p>
        </w:tc>
      </w:tr>
    </w:tbl>
    <w:p w14:paraId="620E54E9">
      <w:pPr>
        <w:spacing w:after="20"/>
      </w:pPr>
    </w:p>
    <w:p w14:paraId="528AFCC1">
      <w:pPr>
        <w:pStyle w:val="167"/>
      </w:pPr>
      <w:r>
        <w:rPr>
          <w:rFonts w:ascii="Calibri" w:hAnsi="Calibri" w:eastAsia="Calibri"/>
        </w:rPr>
        <w:t>Production Solidity total: 11 files / 3,287 LOC. Scope root: 5c51c8e5df9126e3b0a5ce15e98869f6130e43bb13e4caaebf30853286763f0c.</w:t>
      </w:r>
    </w:p>
    <w:p w14:paraId="64A5B069">
      <w:r>
        <w:br w:type="page"/>
      </w:r>
    </w:p>
    <w:p w14:paraId="766BC230">
      <w:pPr>
        <w:pStyle w:val="3"/>
        <w:keepNext/>
      </w:pPr>
      <w:bookmarkStart w:id="43" w:name="_Toc27029"/>
      <w:r>
        <w:t>Appendix B — Reproducible command profile</w:t>
      </w:r>
      <w:bookmarkEnd w:id="43"/>
    </w:p>
    <w:p w14:paraId="192DA26B">
      <w:r>
        <w:rPr>
          <w:rFonts w:ascii="Calibri" w:hAnsi="Calibri" w:eastAsia="Calibri"/>
        </w:rPr>
        <w:t>Commands are normalized to project-relative paths; machine-specific isolated tool paths are intentionally omitted.</w:t>
      </w:r>
    </w:p>
    <w:p w14:paraId="6BF44858">
      <w:pPr>
        <w:pStyle w:val="166"/>
        <w:pBdr>
          <w:left w:val="single" w:color="98A2B3" w:sz="10" w:space="6"/>
        </w:pBdr>
        <w:shd w:val="clear" w:fill="F6F8FA"/>
      </w:pPr>
      <w:r>
        <w:rPr>
          <w:rFonts w:ascii="Courier New" w:hAnsi="Courier New" w:eastAsia="Courier New"/>
          <w:sz w:val="17"/>
        </w:rPr>
        <w:t>Set-Location &lt;project&gt;/合约</w:t>
      </w:r>
      <w:r>
        <w:br w:type="textWrapping"/>
      </w:r>
      <w:r>
        <w:rPr>
          <w:rFonts w:ascii="Courier New" w:hAnsi="Courier New" w:eastAsia="Courier New"/>
          <w:sz w:val="17"/>
        </w:rPr>
        <w:t>npm run check</w:t>
      </w:r>
      <w:r>
        <w:br w:type="textWrapping"/>
      </w:r>
      <w:r>
        <w:br w:type="textWrapping"/>
      </w:r>
      <w:r>
        <w:rPr>
          <w:rFonts w:ascii="Courier New" w:hAnsi="Courier New" w:eastAsia="Courier New"/>
          <w:sz w:val="17"/>
        </w:rPr>
        <w:t>hardhat --config ../docs/security/audits/tools/hardhat.coverage.config.cjs coverage</w:t>
      </w:r>
      <w:r>
        <w:br w:type="textWrapping"/>
      </w:r>
      <w:r>
        <w:br w:type="textWrapping"/>
      </w:r>
      <w:r>
        <w:rPr>
          <w:rFonts w:ascii="Courier New" w:hAnsi="Courier New" w:eastAsia="Courier New"/>
          <w:sz w:val="17"/>
        </w:rPr>
        <w:t>hardhat --config ../docs/security/audits/tools/hardhat.slither.config.cjs compile --force</w:t>
      </w:r>
      <w:r>
        <w:br w:type="textWrapping"/>
      </w:r>
      <w:r>
        <w:rPr>
          <w:rFonts w:ascii="Courier New" w:hAnsi="Courier New" w:eastAsia="Courier New"/>
          <w:sz w:val="17"/>
        </w:rPr>
        <w:t>slither . --hardhat-ignore-compile --exclude-dependencies --json slither-0.11.5.json</w:t>
      </w:r>
      <w:r>
        <w:br w:type="textWrapping"/>
      </w:r>
      <w:r>
        <w:br w:type="textWrapping"/>
      </w:r>
      <w:r>
        <w:rPr>
          <w:rFonts w:ascii="Courier New" w:hAnsi="Courier New" w:eastAsia="Courier New"/>
          <w:sz w:val="17"/>
        </w:rPr>
        <w:t>npm audit --omit=dev --json</w:t>
      </w:r>
    </w:p>
    <w:p w14:paraId="705110E3">
      <w:pPr>
        <w:pStyle w:val="3"/>
        <w:keepNext/>
      </w:pPr>
      <w:bookmarkStart w:id="44" w:name="_Toc5193"/>
      <w:r>
        <w:t>Appendix C — Evidence index</w:t>
      </w:r>
      <w:bookmarkEnd w:id="44"/>
    </w:p>
    <w:tbl>
      <w:tblPr>
        <w:tblStyle w:val="34"/>
        <w:tblW w:w="9360" w:type="dxa"/>
        <w:jc w:val="center"/>
        <w:tblLayout w:type="fixed"/>
        <w:tblCellMar>
          <w:top w:w="0" w:type="dxa"/>
          <w:left w:w="108" w:type="dxa"/>
          <w:bottom w:w="0" w:type="dxa"/>
          <w:right w:w="108" w:type="dxa"/>
        </w:tblCellMar>
      </w:tblPr>
      <w:tblGrid>
        <w:gridCol w:w="3500"/>
        <w:gridCol w:w="5860"/>
      </w:tblGrid>
      <w:tr w14:paraId="56492867">
        <w:tblPrEx>
          <w:tblCellMar>
            <w:top w:w="0" w:type="dxa"/>
            <w:left w:w="108" w:type="dxa"/>
            <w:bottom w:w="0" w:type="dxa"/>
            <w:right w:w="108" w:type="dxa"/>
          </w:tblCellMar>
        </w:tblPrEx>
        <w:trPr>
          <w:cantSplit/>
          <w:tblHeader/>
          <w:jc w:val="center"/>
        </w:trPr>
        <w:tc>
          <w:tcPr>
            <w:tcW w:w="35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60A7F9EF">
            <w:pPr>
              <w:spacing w:after="0"/>
            </w:pPr>
            <w:r>
              <w:rPr>
                <w:rFonts w:ascii="Calibri" w:hAnsi="Calibri" w:eastAsia="Calibri"/>
                <w:b/>
                <w:color w:val="17213C"/>
                <w:sz w:val="16"/>
              </w:rPr>
              <w:t>EVIDENCE ARTIFACT</w:t>
            </w:r>
          </w:p>
        </w:tc>
        <w:tc>
          <w:tcPr>
            <w:tcW w:w="58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053EB2AB">
            <w:pPr>
              <w:spacing w:after="0"/>
            </w:pPr>
            <w:r>
              <w:rPr>
                <w:rFonts w:ascii="Calibri" w:hAnsi="Calibri" w:eastAsia="Calibri"/>
                <w:b/>
                <w:color w:val="17213C"/>
                <w:sz w:val="16"/>
              </w:rPr>
              <w:t>PURPOSE</w:t>
            </w:r>
          </w:p>
        </w:tc>
      </w:tr>
      <w:tr w14:paraId="7746A6D7">
        <w:tblPrEx>
          <w:tblCellMar>
            <w:top w:w="0" w:type="dxa"/>
            <w:left w:w="108" w:type="dxa"/>
            <w:bottom w:w="0" w:type="dxa"/>
            <w:right w:w="108" w:type="dxa"/>
          </w:tblCellMar>
        </w:tblPrEx>
        <w:trPr>
          <w:cantSplit/>
          <w:jc w:val="center"/>
        </w:trPr>
        <w:tc>
          <w:tcPr>
            <w:tcW w:w="35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0B82804">
            <w:pPr>
              <w:spacing w:after="0"/>
            </w:pPr>
            <w:r>
              <w:rPr>
                <w:rFonts w:ascii="Calibri" w:hAnsi="Calibri" w:eastAsia="Calibri"/>
                <w:b/>
                <w:color w:val="222A35"/>
                <w:sz w:val="16"/>
              </w:rPr>
              <w:t>snapshot-manifest.json</w:t>
            </w:r>
          </w:p>
        </w:tc>
        <w:tc>
          <w:tcPr>
            <w:tcW w:w="58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79BBE95">
            <w:pPr>
              <w:spacing w:after="0"/>
            </w:pPr>
            <w:r>
              <w:rPr>
                <w:rFonts w:ascii="Calibri" w:hAnsi="Calibri" w:eastAsia="Calibri"/>
                <w:b w:val="0"/>
                <w:color w:val="222A35"/>
                <w:sz w:val="16"/>
              </w:rPr>
              <w:t>Frozen 35-file package, hashes, timestamps and scope root</w:t>
            </w:r>
          </w:p>
        </w:tc>
      </w:tr>
      <w:tr w14:paraId="57D22AAF">
        <w:tblPrEx>
          <w:tblCellMar>
            <w:top w:w="0" w:type="dxa"/>
            <w:left w:w="108" w:type="dxa"/>
            <w:bottom w:w="0" w:type="dxa"/>
            <w:right w:w="108" w:type="dxa"/>
          </w:tblCellMar>
        </w:tblPrEx>
        <w:trPr>
          <w:cantSplit/>
          <w:jc w:val="center"/>
        </w:trPr>
        <w:tc>
          <w:tcPr>
            <w:tcW w:w="35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8D14AC2">
            <w:pPr>
              <w:spacing w:after="0"/>
            </w:pPr>
            <w:r>
              <w:rPr>
                <w:rFonts w:ascii="Calibri" w:hAnsi="Calibri" w:eastAsia="Calibri"/>
                <w:b/>
                <w:color w:val="222A35"/>
                <w:sz w:val="16"/>
              </w:rPr>
              <w:t>hardhat-check.txt</w:t>
            </w:r>
          </w:p>
        </w:tc>
        <w:tc>
          <w:tcPr>
            <w:tcW w:w="58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E7CA214">
            <w:pPr>
              <w:spacing w:after="0"/>
            </w:pPr>
            <w:r>
              <w:rPr>
                <w:rFonts w:ascii="Calibri" w:hAnsi="Calibri" w:eastAsia="Calibri"/>
                <w:b w:val="0"/>
                <w:color w:val="222A35"/>
                <w:sz w:val="16"/>
              </w:rPr>
              <w:t>Clean compile, chain-56 tests and chain-97 wrong-chain test</w:t>
            </w:r>
          </w:p>
        </w:tc>
      </w:tr>
      <w:tr w14:paraId="5C8243D3">
        <w:tblPrEx>
          <w:tblCellMar>
            <w:top w:w="0" w:type="dxa"/>
            <w:left w:w="108" w:type="dxa"/>
            <w:bottom w:w="0" w:type="dxa"/>
            <w:right w:w="108" w:type="dxa"/>
          </w:tblCellMar>
        </w:tblPrEx>
        <w:trPr>
          <w:cantSplit/>
          <w:jc w:val="center"/>
        </w:trPr>
        <w:tc>
          <w:tcPr>
            <w:tcW w:w="35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50AB2EB">
            <w:pPr>
              <w:spacing w:after="0"/>
            </w:pPr>
            <w:r>
              <w:rPr>
                <w:rFonts w:ascii="Calibri" w:hAnsi="Calibri" w:eastAsia="Calibri"/>
                <w:b/>
                <w:color w:val="222A35"/>
                <w:sz w:val="16"/>
              </w:rPr>
              <w:t>solidity-coverage.txt</w:t>
            </w:r>
          </w:p>
        </w:tc>
        <w:tc>
          <w:tcPr>
            <w:tcW w:w="58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16C8081D">
            <w:pPr>
              <w:spacing w:after="0"/>
            </w:pPr>
            <w:r>
              <w:rPr>
                <w:rFonts w:ascii="Calibri" w:hAnsi="Calibri" w:eastAsia="Calibri"/>
                <w:b w:val="0"/>
                <w:color w:val="222A35"/>
                <w:sz w:val="16"/>
              </w:rPr>
              <w:t>Instrumented test result and coverage table</w:t>
            </w:r>
          </w:p>
        </w:tc>
      </w:tr>
      <w:tr w14:paraId="5A141847">
        <w:tblPrEx>
          <w:tblCellMar>
            <w:top w:w="0" w:type="dxa"/>
            <w:left w:w="108" w:type="dxa"/>
            <w:bottom w:w="0" w:type="dxa"/>
            <w:right w:w="108" w:type="dxa"/>
          </w:tblCellMar>
        </w:tblPrEx>
        <w:trPr>
          <w:cantSplit/>
          <w:jc w:val="center"/>
        </w:trPr>
        <w:tc>
          <w:tcPr>
            <w:tcW w:w="35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74C7AE5E">
            <w:pPr>
              <w:spacing w:after="0"/>
            </w:pPr>
            <w:r>
              <w:rPr>
                <w:rFonts w:ascii="Calibri" w:hAnsi="Calibri" w:eastAsia="Calibri"/>
                <w:b/>
                <w:color w:val="222A35"/>
                <w:sz w:val="16"/>
              </w:rPr>
              <w:t>coverage.json / coverage-html</w:t>
            </w:r>
          </w:p>
        </w:tc>
        <w:tc>
          <w:tcPr>
            <w:tcW w:w="58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5E732C5">
            <w:pPr>
              <w:spacing w:after="0"/>
            </w:pPr>
            <w:r>
              <w:rPr>
                <w:rFonts w:ascii="Calibri" w:hAnsi="Calibri" w:eastAsia="Calibri"/>
                <w:b w:val="0"/>
                <w:color w:val="222A35"/>
                <w:sz w:val="16"/>
              </w:rPr>
              <w:t>Machine-readable and rendered coverage evidence</w:t>
            </w:r>
          </w:p>
        </w:tc>
      </w:tr>
      <w:tr w14:paraId="77B3EAF5">
        <w:tblPrEx>
          <w:tblCellMar>
            <w:top w:w="0" w:type="dxa"/>
            <w:left w:w="108" w:type="dxa"/>
            <w:bottom w:w="0" w:type="dxa"/>
            <w:right w:w="108" w:type="dxa"/>
          </w:tblCellMar>
        </w:tblPrEx>
        <w:trPr>
          <w:cantSplit/>
          <w:jc w:val="center"/>
        </w:trPr>
        <w:tc>
          <w:tcPr>
            <w:tcW w:w="35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AF39FB9">
            <w:pPr>
              <w:spacing w:after="0"/>
            </w:pPr>
            <w:r>
              <w:rPr>
                <w:rFonts w:ascii="Calibri" w:hAnsi="Calibri" w:eastAsia="Calibri"/>
                <w:b/>
                <w:color w:val="222A35"/>
                <w:sz w:val="16"/>
              </w:rPr>
              <w:t>slither-0.11.5.json</w:t>
            </w:r>
          </w:p>
        </w:tc>
        <w:tc>
          <w:tcPr>
            <w:tcW w:w="58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0425190C">
            <w:pPr>
              <w:spacing w:after="0"/>
            </w:pPr>
            <w:r>
              <w:rPr>
                <w:rFonts w:ascii="Calibri" w:hAnsi="Calibri" w:eastAsia="Calibri"/>
                <w:b w:val="0"/>
                <w:color w:val="222A35"/>
                <w:sz w:val="16"/>
              </w:rPr>
              <w:t>Raw Slither detector output</w:t>
            </w:r>
          </w:p>
        </w:tc>
      </w:tr>
      <w:tr w14:paraId="2B604643">
        <w:tblPrEx>
          <w:tblCellMar>
            <w:top w:w="0" w:type="dxa"/>
            <w:left w:w="108" w:type="dxa"/>
            <w:bottom w:w="0" w:type="dxa"/>
            <w:right w:w="108" w:type="dxa"/>
          </w:tblCellMar>
        </w:tblPrEx>
        <w:trPr>
          <w:cantSplit/>
          <w:jc w:val="center"/>
        </w:trPr>
        <w:tc>
          <w:tcPr>
            <w:tcW w:w="35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48B974FB">
            <w:pPr>
              <w:spacing w:after="0"/>
            </w:pPr>
            <w:r>
              <w:rPr>
                <w:rFonts w:ascii="Calibri" w:hAnsi="Calibri" w:eastAsia="Calibri"/>
                <w:b/>
                <w:color w:val="222A35"/>
                <w:sz w:val="16"/>
              </w:rPr>
              <w:t>slither-summary.json</w:t>
            </w:r>
          </w:p>
        </w:tc>
        <w:tc>
          <w:tcPr>
            <w:tcW w:w="58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2E988E90">
            <w:pPr>
              <w:spacing w:after="0"/>
            </w:pPr>
            <w:r>
              <w:rPr>
                <w:rFonts w:ascii="Calibri" w:hAnsi="Calibri" w:eastAsia="Calibri"/>
                <w:b w:val="0"/>
                <w:color w:val="222A35"/>
                <w:sz w:val="16"/>
              </w:rPr>
              <w:t>Raw detector counts by impact and check</w:t>
            </w:r>
          </w:p>
        </w:tc>
      </w:tr>
      <w:tr w14:paraId="534B38F4">
        <w:tblPrEx>
          <w:tblCellMar>
            <w:top w:w="0" w:type="dxa"/>
            <w:left w:w="108" w:type="dxa"/>
            <w:bottom w:w="0" w:type="dxa"/>
            <w:right w:w="108" w:type="dxa"/>
          </w:tblCellMar>
        </w:tblPrEx>
        <w:trPr>
          <w:cantSplit/>
          <w:jc w:val="center"/>
        </w:trPr>
        <w:tc>
          <w:tcPr>
            <w:tcW w:w="35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7D2C9DB4">
            <w:pPr>
              <w:spacing w:after="0"/>
            </w:pPr>
            <w:r>
              <w:rPr>
                <w:rFonts w:ascii="Calibri" w:hAnsi="Calibri" w:eastAsia="Calibri"/>
                <w:b/>
                <w:color w:val="222A35"/>
                <w:sz w:val="16"/>
              </w:rPr>
              <w:t>slither-triage-register.json</w:t>
            </w:r>
          </w:p>
        </w:tc>
        <w:tc>
          <w:tcPr>
            <w:tcW w:w="58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C36B1B5">
            <w:pPr>
              <w:spacing w:after="0"/>
            </w:pPr>
            <w:r>
              <w:rPr>
                <w:rFonts w:ascii="Calibri" w:hAnsi="Calibri" w:eastAsia="Calibri"/>
                <w:b w:val="0"/>
                <w:color w:val="222A35"/>
                <w:sz w:val="16"/>
              </w:rPr>
              <w:t>Record-level detector disposition and report linkage</w:t>
            </w:r>
          </w:p>
        </w:tc>
      </w:tr>
      <w:tr w14:paraId="75D8AAE9">
        <w:tblPrEx>
          <w:tblCellMar>
            <w:top w:w="0" w:type="dxa"/>
            <w:left w:w="108" w:type="dxa"/>
            <w:bottom w:w="0" w:type="dxa"/>
            <w:right w:w="108" w:type="dxa"/>
          </w:tblCellMar>
        </w:tblPrEx>
        <w:trPr>
          <w:cantSplit/>
          <w:jc w:val="center"/>
        </w:trPr>
        <w:tc>
          <w:tcPr>
            <w:tcW w:w="35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38D266C">
            <w:pPr>
              <w:spacing w:after="0"/>
            </w:pPr>
            <w:r>
              <w:rPr>
                <w:rFonts w:ascii="Calibri" w:hAnsi="Calibri" w:eastAsia="Calibri"/>
                <w:b/>
                <w:color w:val="222A35"/>
                <w:sz w:val="16"/>
              </w:rPr>
              <w:t>npm-audit-production.json</w:t>
            </w:r>
          </w:p>
        </w:tc>
        <w:tc>
          <w:tcPr>
            <w:tcW w:w="58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E395551">
            <w:pPr>
              <w:spacing w:after="0"/>
            </w:pPr>
            <w:r>
              <w:rPr>
                <w:rFonts w:ascii="Calibri" w:hAnsi="Calibri" w:eastAsia="Calibri"/>
                <w:b w:val="0"/>
                <w:color w:val="222A35"/>
                <w:sz w:val="16"/>
              </w:rPr>
              <w:t>Production dependency advisory result</w:t>
            </w:r>
          </w:p>
        </w:tc>
      </w:tr>
      <w:tr w14:paraId="3605975C">
        <w:tblPrEx>
          <w:tblCellMar>
            <w:top w:w="0" w:type="dxa"/>
            <w:left w:w="108" w:type="dxa"/>
            <w:bottom w:w="0" w:type="dxa"/>
            <w:right w:w="108" w:type="dxa"/>
          </w:tblCellMar>
        </w:tblPrEx>
        <w:trPr>
          <w:cantSplit/>
          <w:jc w:val="center"/>
        </w:trPr>
        <w:tc>
          <w:tcPr>
            <w:tcW w:w="35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0168FF1">
            <w:pPr>
              <w:spacing w:after="0"/>
            </w:pPr>
            <w:r>
              <w:rPr>
                <w:rFonts w:ascii="Calibri" w:hAnsi="Calibri" w:eastAsia="Calibri"/>
                <w:b/>
                <w:color w:val="222A35"/>
                <w:sz w:val="16"/>
              </w:rPr>
              <w:t>source-snapshot/</w:t>
            </w:r>
          </w:p>
        </w:tc>
        <w:tc>
          <w:tcPr>
            <w:tcW w:w="58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7F6692C">
            <w:pPr>
              <w:spacing w:after="0"/>
            </w:pPr>
            <w:r>
              <w:rPr>
                <w:rFonts w:ascii="Calibri" w:hAnsi="Calibri" w:eastAsia="Calibri"/>
                <w:b w:val="0"/>
                <w:color w:val="222A35"/>
                <w:sz w:val="16"/>
              </w:rPr>
              <w:t>Frozen contracts, interfaces, tests, scripts and configuration</w:t>
            </w:r>
          </w:p>
        </w:tc>
      </w:tr>
    </w:tbl>
    <w:p w14:paraId="7EA36293">
      <w:pPr>
        <w:spacing w:after="20"/>
      </w:pPr>
    </w:p>
    <w:p w14:paraId="2D58B4C9">
      <w:pPr>
        <w:pStyle w:val="3"/>
        <w:keepNext/>
      </w:pPr>
      <w:bookmarkStart w:id="45" w:name="_Toc19153"/>
      <w:r>
        <w:t>Appendix D — Terminology</w:t>
      </w:r>
      <w:bookmarkEnd w:id="45"/>
    </w:p>
    <w:tbl>
      <w:tblPr>
        <w:tblStyle w:val="34"/>
        <w:tblW w:w="9360" w:type="dxa"/>
        <w:jc w:val="center"/>
        <w:tblLayout w:type="fixed"/>
        <w:tblCellMar>
          <w:top w:w="0" w:type="dxa"/>
          <w:left w:w="108" w:type="dxa"/>
          <w:bottom w:w="0" w:type="dxa"/>
          <w:right w:w="108" w:type="dxa"/>
        </w:tblCellMar>
      </w:tblPr>
      <w:tblGrid>
        <w:gridCol w:w="2500"/>
        <w:gridCol w:w="6860"/>
      </w:tblGrid>
      <w:tr w14:paraId="2FD14252">
        <w:tblPrEx>
          <w:tblCellMar>
            <w:top w:w="0" w:type="dxa"/>
            <w:left w:w="108" w:type="dxa"/>
            <w:bottom w:w="0" w:type="dxa"/>
            <w:right w:w="108" w:type="dxa"/>
          </w:tblCellMar>
        </w:tblPrEx>
        <w:trPr>
          <w:cantSplit/>
          <w:tblHeader/>
          <w:jc w:val="center"/>
        </w:trPr>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3FA6B650">
            <w:pPr>
              <w:spacing w:after="0"/>
            </w:pPr>
            <w:r>
              <w:rPr>
                <w:rFonts w:ascii="Calibri" w:hAnsi="Calibri" w:eastAsia="Calibri"/>
                <w:b/>
                <w:color w:val="17213C"/>
                <w:sz w:val="17"/>
              </w:rPr>
              <w:t>TERM</w:t>
            </w:r>
          </w:p>
        </w:tc>
        <w:tc>
          <w:tcPr>
            <w:tcW w:w="68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2F4F7"/>
            <w:tcMar>
              <w:top w:w="80" w:type="dxa"/>
              <w:left w:w="120" w:type="dxa"/>
              <w:bottom w:w="80" w:type="dxa"/>
              <w:right w:w="120" w:type="dxa"/>
            </w:tcMar>
            <w:vAlign w:val="center"/>
          </w:tcPr>
          <w:p w14:paraId="410AE130">
            <w:pPr>
              <w:spacing w:after="0"/>
            </w:pPr>
            <w:r>
              <w:rPr>
                <w:rFonts w:ascii="Calibri" w:hAnsi="Calibri" w:eastAsia="Calibri"/>
                <w:b/>
                <w:color w:val="17213C"/>
                <w:sz w:val="17"/>
              </w:rPr>
              <w:t>DEFINITION</w:t>
            </w:r>
          </w:p>
        </w:tc>
      </w:tr>
      <w:tr w14:paraId="5AD95847">
        <w:tblPrEx>
          <w:tblCellMar>
            <w:top w:w="0" w:type="dxa"/>
            <w:left w:w="108" w:type="dxa"/>
            <w:bottom w:w="0" w:type="dxa"/>
            <w:right w:w="108" w:type="dxa"/>
          </w:tblCellMar>
        </w:tblPrEx>
        <w:trPr>
          <w:cantSplit/>
          <w:jc w:val="center"/>
        </w:trPr>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7FBE55C">
            <w:pPr>
              <w:spacing w:after="0"/>
            </w:pPr>
            <w:r>
              <w:rPr>
                <w:rFonts w:ascii="Calibri" w:hAnsi="Calibri" w:eastAsia="Calibri"/>
                <w:b/>
                <w:color w:val="222A35"/>
                <w:sz w:val="17"/>
              </w:rPr>
              <w:t>Scope root</w:t>
            </w:r>
          </w:p>
        </w:tc>
        <w:tc>
          <w:tcPr>
            <w:tcW w:w="68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B2C9B81">
            <w:pPr>
              <w:spacing w:after="0"/>
            </w:pPr>
            <w:r>
              <w:rPr>
                <w:rFonts w:ascii="Calibri" w:hAnsi="Calibri" w:eastAsia="Calibri"/>
                <w:b w:val="0"/>
                <w:color w:val="222A35"/>
                <w:sz w:val="17"/>
              </w:rPr>
              <w:t>SHA-256 over ordered production Solidity relative-path/hash pairs</w:t>
            </w:r>
          </w:p>
        </w:tc>
      </w:tr>
      <w:tr w14:paraId="2ECD536D">
        <w:tblPrEx>
          <w:tblCellMar>
            <w:top w:w="0" w:type="dxa"/>
            <w:left w:w="108" w:type="dxa"/>
            <w:bottom w:w="0" w:type="dxa"/>
            <w:right w:w="108" w:type="dxa"/>
          </w:tblCellMar>
        </w:tblPrEx>
        <w:trPr>
          <w:cantSplit/>
          <w:jc w:val="center"/>
        </w:trPr>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42A0FABC">
            <w:pPr>
              <w:spacing w:after="0"/>
            </w:pPr>
            <w:r>
              <w:rPr>
                <w:rFonts w:ascii="Calibri" w:hAnsi="Calibri" w:eastAsia="Calibri"/>
                <w:b/>
                <w:color w:val="222A35"/>
                <w:sz w:val="17"/>
              </w:rPr>
              <w:t>First-party assessment</w:t>
            </w:r>
          </w:p>
        </w:tc>
        <w:tc>
          <w:tcPr>
            <w:tcW w:w="68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11439C18">
            <w:pPr>
              <w:spacing w:after="0"/>
            </w:pPr>
            <w:r>
              <w:rPr>
                <w:rFonts w:ascii="Calibri" w:hAnsi="Calibri" w:eastAsia="Calibri"/>
                <w:b w:val="0"/>
                <w:color w:val="222A35"/>
                <w:sz w:val="17"/>
              </w:rPr>
              <w:t>Security review authored by the project organization itself</w:t>
            </w:r>
          </w:p>
        </w:tc>
      </w:tr>
      <w:tr w14:paraId="2D7D4D37">
        <w:tblPrEx>
          <w:tblCellMar>
            <w:top w:w="0" w:type="dxa"/>
            <w:left w:w="108" w:type="dxa"/>
            <w:bottom w:w="0" w:type="dxa"/>
            <w:right w:w="108" w:type="dxa"/>
          </w:tblCellMar>
        </w:tblPrEx>
        <w:trPr>
          <w:cantSplit/>
          <w:jc w:val="center"/>
        </w:trPr>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4450AF57">
            <w:pPr>
              <w:spacing w:after="0"/>
            </w:pPr>
            <w:r>
              <w:rPr>
                <w:rFonts w:ascii="Calibri" w:hAnsi="Calibri" w:eastAsia="Calibri"/>
                <w:b/>
                <w:color w:val="222A35"/>
                <w:sz w:val="17"/>
              </w:rPr>
              <w:t>Independent review</w:t>
            </w:r>
          </w:p>
        </w:tc>
        <w:tc>
          <w:tcPr>
            <w:tcW w:w="68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299DCD49">
            <w:pPr>
              <w:spacing w:after="0"/>
            </w:pPr>
            <w:r>
              <w:rPr>
                <w:rFonts w:ascii="Calibri" w:hAnsi="Calibri" w:eastAsia="Calibri"/>
                <w:b w:val="0"/>
                <w:color w:val="222A35"/>
                <w:sz w:val="17"/>
              </w:rPr>
              <w:t>Assessment performed and issued by a separate security organization</w:t>
            </w:r>
          </w:p>
        </w:tc>
      </w:tr>
      <w:tr w14:paraId="2D674B90">
        <w:tblPrEx>
          <w:tblCellMar>
            <w:top w:w="0" w:type="dxa"/>
            <w:left w:w="108" w:type="dxa"/>
            <w:bottom w:w="0" w:type="dxa"/>
            <w:right w:w="108" w:type="dxa"/>
          </w:tblCellMar>
        </w:tblPrEx>
        <w:trPr>
          <w:cantSplit/>
          <w:jc w:val="center"/>
        </w:trPr>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6E36546">
            <w:pPr>
              <w:spacing w:after="0"/>
            </w:pPr>
            <w:r>
              <w:rPr>
                <w:rFonts w:ascii="Calibri" w:hAnsi="Calibri" w:eastAsia="Calibri"/>
                <w:b/>
                <w:color w:val="222A35"/>
                <w:sz w:val="17"/>
              </w:rPr>
              <w:t>Fail closed</w:t>
            </w:r>
          </w:p>
        </w:tc>
        <w:tc>
          <w:tcPr>
            <w:tcW w:w="68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62EA5518">
            <w:pPr>
              <w:spacing w:after="0"/>
            </w:pPr>
            <w:r>
              <w:rPr>
                <w:rFonts w:ascii="Calibri" w:hAnsi="Calibri" w:eastAsia="Calibri"/>
                <w:b w:val="0"/>
                <w:color w:val="222A35"/>
                <w:sz w:val="17"/>
              </w:rPr>
              <w:t>Reject execution when a required dependency or fact cannot be verified</w:t>
            </w:r>
          </w:p>
        </w:tc>
      </w:tr>
      <w:tr w14:paraId="651FB5CE">
        <w:tblPrEx>
          <w:tblCellMar>
            <w:top w:w="0" w:type="dxa"/>
            <w:left w:w="108" w:type="dxa"/>
            <w:bottom w:w="0" w:type="dxa"/>
            <w:right w:w="108" w:type="dxa"/>
          </w:tblCellMar>
        </w:tblPrEx>
        <w:trPr>
          <w:cantSplit/>
          <w:jc w:val="center"/>
        </w:trPr>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6F4EC27F">
            <w:pPr>
              <w:spacing w:after="0"/>
            </w:pPr>
            <w:r>
              <w:rPr>
                <w:rFonts w:ascii="Calibri" w:hAnsi="Calibri" w:eastAsia="Calibri"/>
                <w:b/>
                <w:color w:val="222A35"/>
                <w:sz w:val="17"/>
              </w:rPr>
              <w:t>Cost basis</w:t>
            </w:r>
          </w:p>
        </w:tc>
        <w:tc>
          <w:tcPr>
            <w:tcW w:w="68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A989FE7">
            <w:pPr>
              <w:spacing w:after="0"/>
            </w:pPr>
            <w:r>
              <w:rPr>
                <w:rFonts w:ascii="Calibri" w:hAnsi="Calibri" w:eastAsia="Calibri"/>
                <w:b w:val="0"/>
                <w:color w:val="222A35"/>
                <w:sz w:val="17"/>
              </w:rPr>
              <w:t>Actual USD value contributed for the purchased AGNT being refunded</w:t>
            </w:r>
          </w:p>
        </w:tc>
      </w:tr>
      <w:tr w14:paraId="1B222FCB">
        <w:tblPrEx>
          <w:tblCellMar>
            <w:top w:w="0" w:type="dxa"/>
            <w:left w:w="108" w:type="dxa"/>
            <w:bottom w:w="0" w:type="dxa"/>
            <w:right w:w="108" w:type="dxa"/>
          </w:tblCellMar>
        </w:tblPrEx>
        <w:trPr>
          <w:cantSplit/>
          <w:jc w:val="center"/>
        </w:trPr>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69FA632">
            <w:pPr>
              <w:spacing w:after="0"/>
            </w:pPr>
            <w:r>
              <w:rPr>
                <w:rFonts w:ascii="Calibri" w:hAnsi="Calibri" w:eastAsia="Calibri"/>
                <w:b/>
                <w:color w:val="222A35"/>
                <w:sz w:val="17"/>
              </w:rPr>
              <w:t>Breaker</w:t>
            </w:r>
          </w:p>
        </w:tc>
        <w:tc>
          <w:tcPr>
            <w:tcW w:w="6860" w:type="dxa"/>
            <w:tcBorders>
              <w:top w:val="single" w:color="D0D5DD" w:sz="4" w:space="0"/>
              <w:left w:val="single" w:color="D0D5DD" w:sz="4" w:space="0"/>
              <w:bottom w:val="single" w:color="D0D5DD" w:sz="4" w:space="0"/>
              <w:right w:val="single" w:color="D0D5DD" w:sz="4" w:space="0"/>
              <w:insideH w:val="single" w:sz="4" w:space="0"/>
              <w:insideV w:val="single" w:sz="4" w:space="0"/>
            </w:tcBorders>
            <w:shd w:val="clear" w:color="auto" w:fill="FAFBFC"/>
            <w:tcMar>
              <w:top w:w="80" w:type="dxa"/>
              <w:left w:w="120" w:type="dxa"/>
              <w:bottom w:w="80" w:type="dxa"/>
              <w:right w:w="120" w:type="dxa"/>
            </w:tcMar>
            <w:vAlign w:val="center"/>
          </w:tcPr>
          <w:p w14:paraId="5870D707">
            <w:pPr>
              <w:spacing w:after="0"/>
            </w:pPr>
            <w:r>
              <w:rPr>
                <w:rFonts w:ascii="Calibri" w:hAnsi="Calibri" w:eastAsia="Calibri"/>
                <w:b w:val="0"/>
                <w:color w:val="222A35"/>
                <w:sz w:val="17"/>
              </w:rPr>
              <w:t>Permissionless on-chain action that persistently pauses purchase-capable modes</w:t>
            </w:r>
          </w:p>
        </w:tc>
      </w:tr>
      <w:tr w14:paraId="22D7CE9C">
        <w:tblPrEx>
          <w:tblCellMar>
            <w:top w:w="0" w:type="dxa"/>
            <w:left w:w="108" w:type="dxa"/>
            <w:bottom w:w="0" w:type="dxa"/>
            <w:right w:w="108" w:type="dxa"/>
          </w:tblCellMar>
        </w:tblPrEx>
        <w:trPr>
          <w:cantSplit/>
          <w:jc w:val="center"/>
        </w:trPr>
        <w:tc>
          <w:tcPr>
            <w:tcW w:w="250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51704706">
            <w:pPr>
              <w:spacing w:after="0"/>
            </w:pPr>
            <w:r>
              <w:rPr>
                <w:rFonts w:ascii="Calibri" w:hAnsi="Calibri" w:eastAsia="Calibri"/>
                <w:b/>
                <w:color w:val="222A35"/>
                <w:sz w:val="17"/>
              </w:rPr>
              <w:t>Residual risk</w:t>
            </w:r>
          </w:p>
        </w:tc>
        <w:tc>
          <w:tcPr>
            <w:tcW w:w="6860" w:type="dxa"/>
            <w:tcBorders>
              <w:top w:val="single" w:color="D0D5DD" w:sz="4" w:space="0"/>
              <w:left w:val="single" w:color="D0D5DD" w:sz="4" w:space="0"/>
              <w:bottom w:val="single" w:color="D0D5DD" w:sz="4" w:space="0"/>
              <w:right w:val="single" w:color="D0D5DD" w:sz="4" w:space="0"/>
              <w:insideH w:val="single" w:sz="4" w:space="0"/>
              <w:insideV w:val="single" w:sz="4" w:space="0"/>
            </w:tcBorders>
            <w:tcMar>
              <w:top w:w="80" w:type="dxa"/>
              <w:left w:w="120" w:type="dxa"/>
              <w:bottom w:w="80" w:type="dxa"/>
              <w:right w:w="120" w:type="dxa"/>
            </w:tcMar>
            <w:vAlign w:val="center"/>
          </w:tcPr>
          <w:p w14:paraId="35964E97">
            <w:pPr>
              <w:spacing w:after="0"/>
            </w:pPr>
            <w:r>
              <w:rPr>
                <w:rFonts w:ascii="Calibri" w:hAnsi="Calibri" w:eastAsia="Calibri"/>
                <w:b w:val="0"/>
                <w:color w:val="222A35"/>
                <w:sz w:val="17"/>
              </w:rPr>
              <w:t>Risk remaining after a control is implemented</w:t>
            </w:r>
          </w:p>
        </w:tc>
      </w:tr>
    </w:tbl>
    <w:p w14:paraId="3BF0D354">
      <w:pPr>
        <w:spacing w:after="20"/>
      </w:pPr>
    </w:p>
    <w:sectPr>
      <w:headerReference r:id="rId11" w:type="default"/>
      <w:footerReference r:id="rId12" w:type="default"/>
      <w:pgSz w:w="12240" w:h="15840"/>
      <w:pgMar w:top="1440" w:right="1440" w:bottom="1440" w:left="1440" w:header="708" w:footer="708"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Calibri Light">
    <w:panose1 w:val="020F0302020204030204"/>
    <w:charset w:val="00"/>
    <w:family w:val="auto"/>
    <w:pitch w:val="default"/>
    <w:sig w:usb0="E4002EFF" w:usb1="C200247B"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9585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284F2">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39BDC">
    <w:pPr>
      <w:pStyle w:val="2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4"/>
      <w:tblW w:w="0" w:type="auto"/>
      <w:tblInd w:w="0" w:type="dxa"/>
      <w:tblLayout w:type="fixed"/>
      <w:tblCellMar>
        <w:top w:w="0" w:type="dxa"/>
        <w:left w:w="108" w:type="dxa"/>
        <w:bottom w:w="0" w:type="dxa"/>
        <w:right w:w="108" w:type="dxa"/>
      </w:tblCellMar>
    </w:tblPr>
    <w:tblGrid>
      <w:gridCol w:w="4680"/>
      <w:gridCol w:w="4680"/>
    </w:tblGrid>
    <w:tr w14:paraId="66783F25">
      <w:tblPrEx>
        <w:tblCellMar>
          <w:top w:w="0" w:type="dxa"/>
          <w:left w:w="108" w:type="dxa"/>
          <w:bottom w:w="0" w:type="dxa"/>
          <w:right w:w="108" w:type="dxa"/>
        </w:tblCellMar>
      </w:tblPrEx>
      <w:tc>
        <w:tcPr>
          <w:tcW w:w="4680" w:type="dxa"/>
          <w:tcBorders>
            <w:top w:val="single" w:color="D9DEE5" w:sz="6" w:space="0"/>
          </w:tcBorders>
          <w:tcMar>
            <w:top w:w="30" w:type="dxa"/>
            <w:left w:w="0" w:type="dxa"/>
            <w:bottom w:w="0" w:type="dxa"/>
            <w:right w:w="0" w:type="dxa"/>
          </w:tcMar>
        </w:tcPr>
        <w:p w14:paraId="271B3031">
          <w:r>
            <w:rPr>
              <w:rFonts w:ascii="Calibri" w:hAnsi="Calibri" w:eastAsia="Calibri"/>
              <w:color w:val="667085"/>
              <w:sz w:val="16"/>
            </w:rPr>
            <w:t>AEGENT INTERNAL DOCUMENT ID AEG-SAR-2026-0730-01  •  PUBLIC  •  v1.0</w:t>
          </w:r>
        </w:p>
      </w:tc>
      <w:tc>
        <w:tcPr>
          <w:tcW w:w="4680" w:type="dxa"/>
          <w:tcBorders>
            <w:top w:val="single" w:color="D9DEE5" w:sz="6" w:space="0"/>
          </w:tcBorders>
          <w:tcMar>
            <w:top w:w="30" w:type="dxa"/>
            <w:left w:w="0" w:type="dxa"/>
            <w:bottom w:w="0" w:type="dxa"/>
            <w:right w:w="0" w:type="dxa"/>
          </w:tcMar>
        </w:tcPr>
        <w:p w14:paraId="7CC6CBB0">
          <w:pPr>
            <w:jc w:val="right"/>
          </w:pPr>
          <w:r>
            <w:rPr>
              <w:rFonts w:ascii="Calibri" w:hAnsi="Calibri" w:eastAsia="Calibri"/>
              <w:color w:val="667085"/>
              <w:sz w:val="16"/>
            </w:rPr>
            <w:t xml:space="preserve">Page </w:t>
          </w:r>
          <w:r>
            <w:fldChar w:fldCharType="begin"/>
          </w:r>
          <w:r>
            <w:instrText xml:space="preserve">PAGE</w:instrText>
          </w:r>
          <w:r>
            <w:fldChar w:fldCharType="separate"/>
          </w:r>
          <w:r>
            <w:t>1</w:t>
          </w:r>
          <w:r>
            <w:fldChar w:fldCharType="end"/>
          </w:r>
          <w:r>
            <w:rPr>
              <w:rFonts w:ascii="Calibri" w:hAnsi="Calibri" w:eastAsia="Calibri"/>
              <w:color w:val="667085"/>
              <w:sz w:val="16"/>
            </w:rPr>
            <w:t xml:space="preserve"> of </w:t>
          </w:r>
          <w:r>
            <w:fldChar w:fldCharType="begin"/>
          </w:r>
          <w:r>
            <w:instrText xml:space="preserve">SECTIONPAGES</w:instrText>
          </w:r>
          <w:r>
            <w:fldChar w:fldCharType="separate"/>
          </w:r>
          <w:r>
            <w:t>1</w:t>
          </w:r>
          <w:r>
            <w:fldChar w:fldCharType="end"/>
          </w:r>
        </w:p>
      </w:tc>
    </w:tr>
  </w:tbl>
  <w:p w14:paraId="3A8E789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334C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9BE99">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17F93">
    <w:pPr>
      <w:pStyle w:val="2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4"/>
      <w:tblW w:w="0" w:type="auto"/>
      <w:tblInd w:w="0" w:type="dxa"/>
      <w:tblLayout w:type="fixed"/>
      <w:tblCellMar>
        <w:top w:w="0" w:type="dxa"/>
        <w:left w:w="108" w:type="dxa"/>
        <w:bottom w:w="0" w:type="dxa"/>
        <w:right w:w="108" w:type="dxa"/>
      </w:tblCellMar>
    </w:tblPr>
    <w:tblGrid>
      <w:gridCol w:w="4680"/>
      <w:gridCol w:w="4680"/>
    </w:tblGrid>
    <w:tr w14:paraId="1CDB365A">
      <w:tblPrEx>
        <w:tblCellMar>
          <w:top w:w="0" w:type="dxa"/>
          <w:left w:w="108" w:type="dxa"/>
          <w:bottom w:w="0" w:type="dxa"/>
          <w:right w:w="108" w:type="dxa"/>
        </w:tblCellMar>
      </w:tblPrEx>
      <w:tc>
        <w:tcPr>
          <w:tcW w:w="4680" w:type="dxa"/>
          <w:tcBorders>
            <w:bottom w:val="single" w:color="D9DEE5" w:sz="6" w:space="0"/>
          </w:tcBorders>
          <w:tcMar>
            <w:top w:w="0" w:type="dxa"/>
            <w:left w:w="0" w:type="dxa"/>
            <w:bottom w:w="30" w:type="dxa"/>
            <w:right w:w="0" w:type="dxa"/>
          </w:tcMar>
        </w:tcPr>
        <w:p w14:paraId="0EC796BD">
          <w:r>
            <w:rPr>
              <w:rFonts w:ascii="Calibri" w:hAnsi="Calibri" w:eastAsia="Calibri"/>
              <w:b/>
              <w:color w:val="17213C"/>
              <w:sz w:val="16"/>
            </w:rPr>
            <w:t>AEGENT  |  SMART-CONTRACT SECURITY</w:t>
          </w:r>
        </w:p>
      </w:tc>
      <w:tc>
        <w:tcPr>
          <w:tcW w:w="4680" w:type="dxa"/>
          <w:tcBorders>
            <w:bottom w:val="single" w:color="D9DEE5" w:sz="6" w:space="0"/>
          </w:tcBorders>
          <w:tcMar>
            <w:top w:w="0" w:type="dxa"/>
            <w:left w:w="0" w:type="dxa"/>
            <w:bottom w:w="30" w:type="dxa"/>
            <w:right w:w="0" w:type="dxa"/>
          </w:tcMar>
        </w:tcPr>
        <w:p w14:paraId="59FEC47D">
          <w:pPr>
            <w:jc w:val="right"/>
          </w:pPr>
          <w:r>
            <w:rPr>
              <w:rFonts w:ascii="Calibri" w:hAnsi="Calibri" w:eastAsia="Calibri"/>
              <w:color w:val="667085"/>
              <w:sz w:val="16"/>
            </w:rPr>
            <w:t>Public assessment report</w:t>
          </w:r>
        </w:p>
      </w:tc>
    </w:tr>
  </w:tbl>
  <w:p w14:paraId="042E1B5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09930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Calibri" w:cstheme="minorBidi"/>
      <w:color w:val="222A35"/>
      <w:sz w:val="22"/>
      <w:szCs w:val="22"/>
      <w:lang w:val="en-US" w:eastAsia="en-US" w:bidi="ar-SA"/>
    </w:rPr>
  </w:style>
  <w:style w:type="paragraph" w:styleId="3">
    <w:name w:val="heading 1"/>
    <w:basedOn w:val="1"/>
    <w:next w:val="1"/>
    <w:link w:val="140"/>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1"/>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2"/>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160" w:line="280" w:lineRule="auto"/>
      <w:ind w:left="720" w:hanging="360"/>
      <w:contextualSpacing/>
    </w:pPr>
    <w:rPr>
      <w:rFonts w:ascii="Calibri" w:hAnsi="Calibri"/>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160" w:line="280" w:lineRule="auto"/>
      <w:ind w:left="720" w:hanging="360"/>
      <w:contextualSpacing/>
    </w:pPr>
    <w:rPr>
      <w:rFonts w:ascii="Calibri" w:hAnsi="Calibri"/>
      <w:sz w:val="22"/>
    </w:r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pPr>
      <w:keepNext/>
      <w:spacing w:before="0" w:after="160"/>
    </w:pPr>
    <w:rPr>
      <w:rFonts w:asciiTheme="majorHAnsi" w:hAnsiTheme="majorHAnsi" w:eastAsiaTheme="majorEastAsia" w:cstheme="majorBidi"/>
      <w:i/>
      <w:iCs/>
      <w:color w:val="667085"/>
      <w:spacing w:val="15"/>
      <w:sz w:val="30"/>
      <w:szCs w:val="24"/>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keepNext/>
      <w:pBdr>
        <w:bottom w:val="single" w:color="4F81BD" w:themeColor="accent1" w:sz="8" w:space="4"/>
      </w:pBdr>
      <w:spacing w:before="0" w:after="240" w:line="240" w:lineRule="auto"/>
      <w:contextualSpacing/>
    </w:pPr>
    <w:rPr>
      <w:rFonts w:asciiTheme="majorHAnsi" w:hAnsiTheme="majorHAnsi" w:eastAsiaTheme="majorEastAsia" w:cstheme="majorBidi"/>
      <w:b/>
      <w:color w:val="17213C"/>
      <w:spacing w:val="5"/>
      <w:kern w:val="28"/>
      <w:sz w:val="60"/>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Code Block"/>
    <w:uiPriority w:val="0"/>
    <w:pPr>
      <w:spacing w:before="80" w:after="160" w:line="252" w:lineRule="auto"/>
      <w:ind w:left="259" w:right="259"/>
    </w:pPr>
    <w:rPr>
      <w:rFonts w:ascii="Courier New" w:hAnsi="Courier New" w:eastAsia="Courier New" w:cstheme="minorBidi"/>
      <w:color w:val="344054"/>
      <w:sz w:val="17"/>
      <w:szCs w:val="22"/>
      <w:lang w:val="en-US" w:eastAsia="en-US" w:bidi="ar-SA"/>
    </w:rPr>
  </w:style>
  <w:style w:type="paragraph" w:customStyle="1" w:styleId="167">
    <w:name w:val="Small Note"/>
    <w:uiPriority w:val="0"/>
    <w:pPr>
      <w:spacing w:after="80" w:line="252" w:lineRule="auto"/>
    </w:pPr>
    <w:rPr>
      <w:rFonts w:ascii="Calibri" w:hAnsi="Calibri" w:eastAsiaTheme="minorEastAsia" w:cstheme="minorBidi"/>
      <w:color w:val="667085"/>
      <w:sz w:val="17"/>
      <w:szCs w:val="22"/>
      <w:lang w:val="en-US" w:eastAsia="en-US" w:bidi="ar-SA"/>
    </w:rPr>
  </w:style>
  <w:style w:type="paragraph" w:customStyle="1" w:styleId="168">
    <w:name w:val="Front Matter"/>
    <w:uiPriority w:val="0"/>
    <w:pPr>
      <w:keepNext/>
      <w:spacing w:before="320" w:after="160" w:line="276" w:lineRule="auto"/>
    </w:pPr>
    <w:rPr>
      <w:rFonts w:ascii="Calibri" w:hAnsi="Calibri" w:eastAsia="Calibri" w:cstheme="minorBidi"/>
      <w:b/>
      <w:color w:val="2E74B5"/>
      <w:sz w:val="32"/>
      <w:szCs w:val="22"/>
      <w:lang w:val="en-US" w:eastAsia="en-US" w:bidi="ar-SA"/>
    </w:rPr>
  </w:style>
  <w:style w:type="paragraph" w:customStyle="1" w:styleId="169">
    <w:name w:val="Finding Label"/>
    <w:uiPriority w:val="0"/>
    <w:pPr>
      <w:keepNext/>
      <w:spacing w:before="160" w:after="80" w:line="276" w:lineRule="auto"/>
    </w:pPr>
    <w:rPr>
      <w:rFonts w:ascii="Calibri" w:hAnsi="Calibri" w:eastAsia="Calibri" w:cstheme="minorBidi"/>
      <w:b/>
      <w:color w:val="1F4D78"/>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Smart-contract security</cp:category>
  <dcterms:created xsi:type="dcterms:W3CDTF">2026-07-30T04:06:06Z</dcterms:created>
  <dc:creator>AEGENT Security Review Team</dc:creator>
  <dc:description>Authored and issued by AEGENT Security Review Team. Public first-party assessment.</dc:description>
  <cp:keywords>AEGENT, AGNT, smart contract, security assessment, BNB Chain, AEG-SAR-2026-0730-01</cp:keywords>
  <cp:lastModifiedBy>AEGENT Security Review Team</cp:lastModifiedBy>
  <dcterms:modified xsi:type="dcterms:W3CDTF">2026-07-30T04:06:06Z</dcterms:modified>
  <dc:subject>Point-in-time AEGENT smart-contract security assessment</dc:subject>
  <dc:title>Smart-Contract Security Assessment — AEGENT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CED8B49B5F76446CAB53E482B30D4468_12</vt:lpwstr>
  </property>
</Properties>
</file>