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320"/>
        <w:jc w:val="center"/>
      </w:pPr>
      <w:r>
        <w:drawing>
          <wp:inline xmlns:a="http://schemas.openxmlformats.org/drawingml/2006/main" xmlns:pic="http://schemas.openxmlformats.org/drawingml/2006/picture">
            <wp:extent cx="658368" cy="658368"/>
            <wp:docPr id="1" name="Picture 1" descr="AEGENT logo" title="AEGENT"/>
            <wp:cNvGraphicFramePr>
              <a:graphicFrameLocks noChangeAspect="1"/>
            </wp:cNvGraphicFramePr>
            <a:graphic>
              <a:graphicData uri="http://schemas.openxmlformats.org/drawingml/2006/picture">
                <pic:pic>
                  <pic:nvPicPr>
                    <pic:cNvPr id="0" name="AGNT_logo_256.png"/>
                    <pic:cNvPicPr/>
                  </pic:nvPicPr>
                  <pic:blipFill>
                    <a:blip r:embed="rId13"/>
                    <a:stretch>
                      <a:fillRect/>
                    </a:stretch>
                  </pic:blipFill>
                  <pic:spPr>
                    <a:xfrm>
                      <a:off x="0" y="0"/>
                      <a:ext cx="658368" cy="658368"/>
                    </a:xfrm>
                    <a:prstGeom prst="rect"/>
                  </pic:spPr>
                </pic:pic>
              </a:graphicData>
            </a:graphic>
          </wp:inline>
        </w:drawing>
      </w:r>
    </w:p>
    <w:p>
      <w:pPr>
        <w:spacing w:after="320"/>
        <w:jc w:val="center"/>
      </w:pPr>
      <w:r>
        <w:rPr>
          <w:rFonts w:ascii="Calibri" w:hAnsi="Calibri" w:eastAsia="Calibri" w:cs="Calibri"/>
          <w:b/>
          <w:color w:val="B8862E"/>
          <w:sz w:val="20"/>
        </w:rPr>
        <w:t>SMART-CONTRACT SECURITY ASSESSMENT</w:t>
      </w:r>
    </w:p>
    <w:p>
      <w:pPr>
        <w:spacing w:after="200"/>
        <w:jc w:val="center"/>
      </w:pPr>
      <w:r>
        <w:rPr>
          <w:rFonts w:ascii="Calibri" w:hAnsi="Calibri" w:eastAsia="Calibri" w:cs="Calibri"/>
          <w:b/>
          <w:color w:val="203748"/>
          <w:sz w:val="56"/>
        </w:rPr>
        <w:t>AEGENT V2 Smart-Contract Assurance Matrix</w:t>
      </w:r>
    </w:p>
    <w:p>
      <w:pPr>
        <w:spacing w:after="520"/>
        <w:jc w:val="center"/>
      </w:pPr>
      <w:r>
        <w:rPr>
          <w:rFonts w:ascii="Calibri" w:hAnsi="Calibri" w:eastAsia="Calibri" w:cs="Calibri"/>
          <w:color w:val="1F4D78"/>
          <w:sz w:val="28"/>
        </w:rPr>
        <w:t>Assurance Matrix / Evidence-Oriented Profile</w:t>
      </w:r>
    </w:p>
    <w:p>
      <w:pPr>
        <w:spacing w:after="60"/>
        <w:jc w:val="center"/>
      </w:pPr>
      <w:r>
        <w:rPr>
          <w:rFonts w:ascii="Calibri" w:hAnsi="Calibri" w:eastAsia="Calibri" w:cs="Calibri"/>
          <w:b/>
          <w:color w:val="5C6773"/>
          <w:sz w:val="20"/>
        </w:rPr>
        <w:t xml:space="preserve">Author and issuer: </w:t>
      </w:r>
      <w:r>
        <w:rPr>
          <w:rFonts w:ascii="Calibri" w:hAnsi="Calibri" w:eastAsia="Calibri" w:cs="Calibri"/>
          <w:sz w:val="20"/>
        </w:rPr>
        <w:t>AEGENT Security Review Team</w:t>
      </w:r>
    </w:p>
    <w:p>
      <w:pPr>
        <w:spacing w:after="60"/>
        <w:jc w:val="center"/>
      </w:pPr>
      <w:r>
        <w:rPr>
          <w:rFonts w:ascii="Calibri" w:hAnsi="Calibri" w:eastAsia="Calibri" w:cs="Calibri"/>
          <w:b/>
          <w:color w:val="5C6773"/>
          <w:sz w:val="20"/>
        </w:rPr>
        <w:t xml:space="preserve">Assessment date: </w:t>
      </w:r>
      <w:r>
        <w:rPr>
          <w:rFonts w:ascii="Calibri" w:hAnsi="Calibri" w:eastAsia="Calibri" w:cs="Calibri"/>
          <w:sz w:val="20"/>
        </w:rPr>
        <w:t>2026-07-29</w:t>
      </w:r>
    </w:p>
    <w:p>
      <w:pPr>
        <w:spacing w:after="60"/>
        <w:jc w:val="center"/>
      </w:pPr>
      <w:r>
        <w:rPr>
          <w:rFonts w:ascii="Calibri" w:hAnsi="Calibri" w:eastAsia="Calibri" w:cs="Calibri"/>
          <w:b/>
          <w:color w:val="5C6773"/>
          <w:sz w:val="20"/>
        </w:rPr>
        <w:t xml:space="preserve">Target environment: </w:t>
      </w:r>
      <w:r>
        <w:rPr>
          <w:rFonts w:ascii="Calibri" w:hAnsi="Calibri" w:eastAsia="Calibri" w:cs="Calibri"/>
          <w:sz w:val="20"/>
        </w:rPr>
        <w:t>BNB Chain mainnet deployment candidate</w:t>
      </w:r>
    </w:p>
    <w:p>
      <w:pPr>
        <w:spacing w:after="60"/>
        <w:jc w:val="center"/>
      </w:pPr>
      <w:r>
        <w:rPr>
          <w:rFonts w:ascii="Calibri" w:hAnsi="Calibri" w:eastAsia="Calibri" w:cs="Calibri"/>
          <w:b/>
          <w:color w:val="5C6773"/>
          <w:sz w:val="20"/>
        </w:rPr>
        <w:t xml:space="preserve">Assessment type: </w:t>
      </w:r>
      <w:r>
        <w:rPr>
          <w:rFonts w:ascii="Calibri" w:hAnsi="Calibri" w:eastAsia="Calibri" w:cs="Calibri"/>
          <w:sz w:val="20"/>
        </w:rPr>
        <w:t>Point-in-time source review</w:t>
      </w:r>
    </w:p>
    <w:p>
      <w:pPr>
        <w:spacing w:before="360" w:after="360"/>
        <w:jc w:val="center"/>
        <w:shd w:fill="FFF4D6"/>
      </w:pPr>
      <w:r>
        <w:rPr>
          <w:rFonts w:ascii="Calibri" w:hAnsi="Calibri" w:eastAsia="Calibri" w:cs="Calibri"/>
          <w:b/>
          <w:color w:val="B8862E"/>
          <w:sz w:val="20"/>
        </w:rPr>
        <w:t xml:space="preserve">FINAL DISPOSITION  </w:t>
      </w:r>
      <w:r>
        <w:rPr>
          <w:rFonts w:ascii="Calibri" w:hAnsi="Calibri" w:eastAsia="Calibri" w:cs="Calibri"/>
          <w:b/>
          <w:sz w:val="22"/>
        </w:rPr>
        <w:t>remediation required before mainnet</w:t>
      </w:r>
    </w:p>
    <w:p>
      <w:pPr>
        <w:spacing w:before="200" w:after="0"/>
        <w:ind w:left="504" w:right="504"/>
        <w:shd w:fill="F6F8FA"/>
        <w:pBdr>
          <w:left w:val="single" w:sz="18" w:space="8" w:color="2E74B5"/>
        </w:pBdr>
      </w:pPr>
      <w:r>
        <w:rPr>
          <w:rFonts w:ascii="Calibri" w:hAnsi="Calibri" w:eastAsia="Calibri" w:cs="Calibri"/>
          <w:sz w:val="18"/>
        </w:rPr>
        <w:t>This is an AEGENT-authored first-party security assessment. It was not authored, reviewed, endorsed, certified, signed, or issued by OpenZeppelin, CertiK, SlowMist, or any other independent auditor. It contains no third-party logo, signature, certificate, report number, or issuance claim. Its control-matrix presentation is a project-owned format for technical review and remediation tracking.</w:t>
      </w:r>
    </w:p>
    <w:p>
      <w:r>
        <w:br w:type="page"/>
      </w:r>
    </w:p>
    <w:p>
      <w:pPr>
        <w:pStyle w:val="Heading1"/>
        <w:spacing w:before="0"/>
      </w:pPr>
      <w:r>
        <w:t>Contents</w:t>
      </w:r>
    </w:p>
    <w:p>
      <w:pPr>
        <w:spacing w:after="60"/>
        <w:ind w:left="360"/>
      </w:pPr>
      <w:r>
        <w:rPr>
          <w:rFonts w:ascii="Calibri" w:hAnsi="Calibri" w:eastAsia="Calibri" w:cs="Calibri"/>
          <w:b/>
          <w:color w:val="1F4D78"/>
          <w:sz w:val="21"/>
        </w:rPr>
        <w:t>1. Assurance result</w:t>
      </w:r>
    </w:p>
    <w:p>
      <w:pPr>
        <w:spacing w:after="60"/>
        <w:ind w:left="360"/>
      </w:pPr>
      <w:r>
        <w:rPr>
          <w:rFonts w:ascii="Calibri" w:hAnsi="Calibri" w:eastAsia="Calibri" w:cs="Calibri"/>
          <w:b/>
          <w:color w:val="1F4D78"/>
          <w:sz w:val="21"/>
        </w:rPr>
        <w:t>2. Scope identity</w:t>
      </w:r>
    </w:p>
    <w:p>
      <w:pPr>
        <w:spacing w:after="60"/>
        <w:ind w:left="360"/>
      </w:pPr>
      <w:r>
        <w:rPr>
          <w:rFonts w:ascii="Calibri" w:hAnsi="Calibri" w:eastAsia="Calibri" w:cs="Calibri"/>
          <w:b/>
          <w:color w:val="1F4D78"/>
          <w:sz w:val="21"/>
        </w:rPr>
        <w:t>3. Architecture and asset map</w:t>
      </w:r>
    </w:p>
    <w:p>
      <w:pPr>
        <w:spacing w:after="60"/>
        <w:ind w:left="763"/>
      </w:pPr>
      <w:r>
        <w:rPr>
          <w:rFonts w:ascii="Calibri" w:hAnsi="Calibri" w:eastAsia="Calibri" w:cs="Calibri"/>
          <w:color w:val="5C6773"/>
          <w:sz w:val="19"/>
        </w:rPr>
        <w:t>Principal roles</w:t>
      </w:r>
    </w:p>
    <w:p>
      <w:pPr>
        <w:spacing w:after="60"/>
        <w:ind w:left="360"/>
      </w:pPr>
      <w:r>
        <w:rPr>
          <w:rFonts w:ascii="Calibri" w:hAnsi="Calibri" w:eastAsia="Calibri" w:cs="Calibri"/>
          <w:b/>
          <w:color w:val="1F4D78"/>
          <w:sz w:val="21"/>
        </w:rPr>
        <w:t>4. Control assurance matrix</w:t>
      </w:r>
    </w:p>
    <w:p>
      <w:pPr>
        <w:spacing w:after="60"/>
        <w:ind w:left="360"/>
      </w:pPr>
      <w:r>
        <w:rPr>
          <w:rFonts w:ascii="Calibri" w:hAnsi="Calibri" w:eastAsia="Calibri" w:cs="Calibri"/>
          <w:b/>
          <w:color w:val="1F4D78"/>
          <w:sz w:val="21"/>
        </w:rPr>
        <w:t>5. Accepted findings</w:t>
      </w:r>
    </w:p>
    <w:p>
      <w:pPr>
        <w:spacing w:after="60"/>
        <w:ind w:left="763"/>
      </w:pPr>
      <w:r>
        <w:rPr>
          <w:rFonts w:ascii="Calibri" w:hAnsi="Calibri" w:eastAsia="Calibri" w:cs="Calibri"/>
          <w:color w:val="5C6773"/>
          <w:sz w:val="19"/>
        </w:rPr>
        <w:t>MED-01 — Manual-review threshold can be bypassed by splitting redemptions</w:t>
      </w:r>
    </w:p>
    <w:p>
      <w:pPr>
        <w:spacing w:after="60"/>
        <w:ind w:left="763"/>
      </w:pPr>
      <w:r>
        <w:rPr>
          <w:rFonts w:ascii="Calibri" w:hAnsi="Calibri" w:eastAsia="Calibri" w:cs="Calibri"/>
          <w:color w:val="5C6773"/>
          <w:sz w:val="19"/>
        </w:rPr>
        <w:t>MED-02 — Purchases can increase refund liability without enforced reserve collateral</w:t>
      </w:r>
    </w:p>
    <w:p>
      <w:pPr>
        <w:spacing w:after="60"/>
        <w:ind w:left="763"/>
      </w:pPr>
      <w:r>
        <w:rPr>
          <w:rFonts w:ascii="Calibri" w:hAnsi="Calibri" w:eastAsia="Calibri" w:cs="Calibri"/>
          <w:color w:val="5C6773"/>
          <w:sz w:val="19"/>
        </w:rPr>
        <w:t>MED-03 — Freshness-only oracle validation lacks bounds and deviation circuit breakers</w:t>
      </w:r>
    </w:p>
    <w:p>
      <w:pPr>
        <w:spacing w:after="60"/>
        <w:ind w:left="763"/>
      </w:pPr>
      <w:r>
        <w:rPr>
          <w:rFonts w:ascii="Calibri" w:hAnsi="Calibri" w:eastAsia="Calibri" w:cs="Calibri"/>
          <w:color w:val="5C6773"/>
          <w:sz w:val="19"/>
        </w:rPr>
        <w:t>LOW-01 — Fixed UTC daily buckets permit near-two-times throughput at a boundary</w:t>
      </w:r>
    </w:p>
    <w:p>
      <w:pPr>
        <w:spacing w:after="60"/>
        <w:ind w:left="763"/>
      </w:pPr>
      <w:r>
        <w:rPr>
          <w:rFonts w:ascii="Calibri" w:hAnsi="Calibri" w:eastAsia="Calibri" w:cs="Calibri"/>
          <w:color w:val="5C6773"/>
          <w:sz w:val="19"/>
        </w:rPr>
        <w:t>INFO-01 — Privileged controls do not enforce a multisig or general timelock</w:t>
      </w:r>
    </w:p>
    <w:p>
      <w:pPr>
        <w:spacing w:after="60"/>
        <w:ind w:left="763"/>
      </w:pPr>
      <w:r>
        <w:rPr>
          <w:rFonts w:ascii="Calibri" w:hAnsi="Calibri" w:eastAsia="Calibri" w:cs="Calibri"/>
          <w:color w:val="5C6773"/>
          <w:sz w:val="19"/>
        </w:rPr>
        <w:t>INFO-02 — Immutable recipients and narrow recovery paths create asset-liveness risk</w:t>
      </w:r>
    </w:p>
    <w:p>
      <w:pPr>
        <w:spacing w:after="60"/>
        <w:ind w:left="763"/>
      </w:pPr>
      <w:r>
        <w:rPr>
          <w:rFonts w:ascii="Calibri" w:hAnsi="Calibri" w:eastAsia="Calibri" w:cs="Calibri"/>
          <w:color w:val="5C6773"/>
          <w:sz w:val="19"/>
        </w:rPr>
        <w:t>INFO-03 — Settlement events omit configuration evidence needed for complete reconstruction</w:t>
      </w:r>
    </w:p>
    <w:p>
      <w:pPr>
        <w:spacing w:after="60"/>
        <w:ind w:left="360"/>
      </w:pPr>
      <w:r>
        <w:rPr>
          <w:rFonts w:ascii="Calibri" w:hAnsi="Calibri" w:eastAsia="Calibri" w:cs="Calibri"/>
          <w:b/>
          <w:color w:val="1F4D78"/>
          <w:sz w:val="21"/>
        </w:rPr>
        <w:t>6. Verification matrix</w:t>
      </w:r>
    </w:p>
    <w:p>
      <w:pPr>
        <w:spacing w:after="60"/>
        <w:ind w:left="763"/>
      </w:pPr>
      <w:r>
        <w:rPr>
          <w:rFonts w:ascii="Calibri" w:hAnsi="Calibri" w:eastAsia="Calibri" w:cs="Calibri"/>
          <w:color w:val="5C6773"/>
          <w:sz w:val="19"/>
        </w:rPr>
        <w:t>Toolchain</w:t>
      </w:r>
    </w:p>
    <w:p>
      <w:pPr>
        <w:spacing w:after="60"/>
        <w:ind w:left="763"/>
      </w:pPr>
      <w:r>
        <w:rPr>
          <w:rFonts w:ascii="Calibri" w:hAnsi="Calibri" w:eastAsia="Calibri" w:cs="Calibri"/>
          <w:color w:val="5C6773"/>
          <w:sz w:val="19"/>
        </w:rPr>
        <w:t>Dynamic tests</w:t>
      </w:r>
    </w:p>
    <w:p>
      <w:pPr>
        <w:spacing w:after="60"/>
        <w:ind w:left="763"/>
      </w:pPr>
      <w:r>
        <w:rPr>
          <w:rFonts w:ascii="Calibri" w:hAnsi="Calibri" w:eastAsia="Calibri" w:cs="Calibri"/>
          <w:color w:val="5C6773"/>
          <w:sz w:val="19"/>
        </w:rPr>
        <w:t>Coverage</w:t>
      </w:r>
    </w:p>
    <w:p>
      <w:pPr>
        <w:spacing w:after="60"/>
        <w:ind w:left="763"/>
      </w:pPr>
      <w:r>
        <w:rPr>
          <w:rFonts w:ascii="Calibri" w:hAnsi="Calibri" w:eastAsia="Calibri" w:cs="Calibri"/>
          <w:color w:val="5C6773"/>
          <w:sz w:val="19"/>
        </w:rPr>
        <w:t>Static analysis</w:t>
      </w:r>
    </w:p>
    <w:p>
      <w:pPr>
        <w:spacing w:after="60"/>
        <w:ind w:left="360"/>
      </w:pPr>
      <w:r>
        <w:rPr>
          <w:rFonts w:ascii="Calibri" w:hAnsi="Calibri" w:eastAsia="Calibri" w:cs="Calibri"/>
          <w:b/>
          <w:color w:val="1F4D78"/>
          <w:sz w:val="21"/>
        </w:rPr>
        <w:t>7. Mainnet remediation gates</w:t>
      </w:r>
    </w:p>
    <w:p>
      <w:pPr>
        <w:spacing w:after="60"/>
        <w:ind w:left="360"/>
      </w:pPr>
      <w:r>
        <w:rPr>
          <w:rFonts w:ascii="Calibri" w:hAnsi="Calibri" w:eastAsia="Calibri" w:cs="Calibri"/>
          <w:b/>
          <w:color w:val="1F4D78"/>
          <w:sz w:val="21"/>
        </w:rPr>
        <w:t>8. Limitations</w:t>
      </w:r>
    </w:p>
    <w:p>
      <w:pPr>
        <w:spacing w:after="60"/>
        <w:ind w:left="360"/>
      </w:pPr>
      <w:r>
        <w:rPr>
          <w:rFonts w:ascii="Calibri" w:hAnsi="Calibri" w:eastAsia="Calibri" w:cs="Calibri"/>
          <w:b/>
          <w:color w:val="1F4D78"/>
          <w:sz w:val="21"/>
        </w:rPr>
        <w:t>9. Conclusion</w:t>
      </w:r>
    </w:p>
    <w:p>
      <w:r>
        <w:br w:type="page"/>
      </w:r>
    </w:p>
    <w:p>
      <w:pPr>
        <w:pStyle w:val="Heading1"/>
      </w:pPr>
      <w:r>
        <w:t>1. Assurance result</w:t>
      </w:r>
    </w:p>
    <w:p>
      <w:r>
        <w:rPr>
          <w:rFonts w:ascii="Calibri" w:hAnsi="Calibri" w:eastAsia="Calibri" w:cs="Calibri"/>
          <w:sz w:val="22"/>
        </w:rPr>
        <w:t>The assessed snapshot implements substantial controls around phase and mode binding, slippage and deadline protection, reentrancy resistance, token balance reconciliation, purchase-cost accounting, claim clearing, redemption replay protection, and liability-preserving withdrawals.</w:t>
      </w:r>
    </w:p>
    <w:p>
      <w:r>
        <w:rPr>
          <w:rFonts w:ascii="Calibri" w:hAnsi="Calibri" w:eastAsia="Calibri" w:cs="Calibri"/>
          <w:sz w:val="22"/>
        </w:rPr>
        <w:t>No Critical or High-severity issue was identified. The assessment nevertheless found three open Medium issues that prevent a positive mainnet recommendation:</w:t>
      </w:r>
    </w:p>
    <w:p>
      <w:pPr>
        <w:spacing w:after="160" w:line="280" w:lineRule="auto"/>
        <w:ind w:left="720" w:hanging="360"/>
      </w:pPr>
      <w:r>
        <w:rPr>
          <w:rFonts w:ascii="Calibri" w:hAnsi="Calibri" w:eastAsia="Calibri" w:cs="Calibri"/>
          <w:sz w:val="22"/>
        </w:rPr>
        <w:t xml:space="preserve">1. </w:t>
      </w:r>
      <w:r>
        <w:rPr>
          <w:rFonts w:ascii="Calibri" w:hAnsi="Calibri" w:eastAsia="Calibri" w:cs="Calibri"/>
          <w:sz w:val="22"/>
        </w:rPr>
        <w:t>manual-review policy is evaluated per transaction and can be bypassed by splitting;</w:t>
      </w:r>
    </w:p>
    <w:p>
      <w:pPr>
        <w:spacing w:after="160" w:line="280" w:lineRule="auto"/>
        <w:ind w:left="720" w:hanging="360"/>
      </w:pPr>
      <w:r>
        <w:rPr>
          <w:rFonts w:ascii="Calibri" w:hAnsi="Calibri" w:eastAsia="Calibri" w:cs="Calibri"/>
          <w:sz w:val="22"/>
        </w:rPr>
        <w:t xml:space="preserve">2. </w:t>
      </w:r>
      <w:r>
        <w:rPr>
          <w:rFonts w:ascii="Calibri" w:hAnsi="Calibri" w:eastAsia="Calibri" w:cs="Calibri"/>
          <w:sz w:val="22"/>
        </w:rPr>
        <w:t>purchases can create refund liabilities without an enforced reserve-collateral invariant;</w:t>
      </w:r>
    </w:p>
    <w:p>
      <w:pPr>
        <w:spacing w:after="160" w:line="280" w:lineRule="auto"/>
        <w:ind w:left="720" w:hanging="360"/>
      </w:pPr>
      <w:r>
        <w:rPr>
          <w:rFonts w:ascii="Calibri" w:hAnsi="Calibri" w:eastAsia="Calibri" w:cs="Calibri"/>
          <w:sz w:val="22"/>
        </w:rPr>
        <w:t xml:space="preserve">3. </w:t>
      </w:r>
      <w:r>
        <w:rPr>
          <w:rFonts w:ascii="Calibri" w:hAnsi="Calibri" w:eastAsia="Calibri" w:cs="Calibri"/>
          <w:sz w:val="22"/>
        </w:rPr>
        <w:t>oracle validation checks freshness but not economic bounds, heartbeat-specific age, or price deviation.</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Severity</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Open</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Closed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Critical</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High</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Medium</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3</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Low</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Informational</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3</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bl>
    <w:p>
      <w:pPr>
        <w:spacing w:before="0" w:after="40"/>
      </w:pPr>
    </w:p>
    <w:p>
      <w:r>
        <w:rPr>
          <w:rFonts w:ascii="Calibri" w:hAnsi="Calibri" w:eastAsia="Calibri" w:cs="Calibri"/>
          <w:sz w:val="22"/>
        </w:rPr>
        <w:t xml:space="preserve">All seven accepted findings are </w:t>
      </w:r>
      <w:r>
        <w:rPr>
          <w:rFonts w:ascii="Calibri" w:hAnsi="Calibri" w:eastAsia="Calibri" w:cs="Calibri"/>
          <w:b/>
          <w:sz w:val="22"/>
        </w:rPr>
        <w:t>Open; no remediation retest</w:t>
      </w:r>
      <w:r>
        <w:rPr>
          <w:rFonts w:ascii="Calibri" w:hAnsi="Calibri" w:eastAsia="Calibri" w:cs="Calibri"/>
          <w:sz w:val="22"/>
        </w:rPr>
        <w:t>. Tool alerts that were rejected during manual triage are not included in this accepted finding count.</w:t>
      </w:r>
    </w:p>
    <w:p>
      <w:pPr>
        <w:pStyle w:val="Heading1"/>
      </w:pPr>
      <w:r>
        <w:t>2. Scope identity</w:t>
      </w:r>
    </w:p>
    <w:p>
      <w:r>
        <w:rPr>
          <w:rFonts w:ascii="Calibri" w:hAnsi="Calibri" w:eastAsia="Calibri" w:cs="Calibri"/>
          <w:sz w:val="22"/>
        </w:rPr>
        <w:t xml:space="preserve">The controlling audit source is the frozen copy under </w:t>
      </w:r>
      <w:r>
        <w:rPr>
          <w:rFonts w:ascii="Consolas" w:hAnsi="Consolas" w:eastAsia="Consolas" w:cs="Consolas"/>
          <w:color w:val="1F4D78"/>
          <w:sz w:val="20"/>
        </w:rPr>
        <w:t>source-snapshot/</w:t>
      </w:r>
      <w:r>
        <w:rPr>
          <w:rFonts w:ascii="Calibri" w:hAnsi="Calibri" w:eastAsia="Calibri" w:cs="Calibri"/>
          <w:sz w:val="22"/>
        </w:rPr>
        <w:t xml:space="preserve">. Repository commit </w:t>
      </w:r>
      <w:r>
        <w:rPr>
          <w:rFonts w:ascii="Consolas" w:hAnsi="Consolas" w:eastAsia="Consolas" w:cs="Consolas"/>
          <w:color w:val="1F4D78"/>
          <w:sz w:val="20"/>
        </w:rPr>
        <w:t>cae20adbf0497c46906e36cb98bcd3d19232c98b</w:t>
      </w:r>
      <w:r>
        <w:rPr>
          <w:rFonts w:ascii="Calibri" w:hAnsi="Calibri" w:eastAsia="Calibri" w:cs="Calibri"/>
          <w:sz w:val="22"/>
        </w:rPr>
        <w:t xml:space="preserve"> is retained only as workspace context and is not represented as containing the uncommitted snapshot.</w:t>
      </w:r>
    </w:p>
    <w:tbl>
      <w:tblPr>
        <w:tblStyle w:val="TableGrid"/>
        <w:tblW w:type="dxa" w:w="9360"/>
        <w:jc w:val="center"/>
        <w:tblLayout w:type="fixed"/>
        <w:tblLook w:firstColumn="1" w:firstRow="1" w:lastColumn="0" w:lastRow="0" w:noHBand="0" w:noVBand="1" w:val="04A0"/>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Frozen source</w:t>
            </w:r>
          </w:p>
        </w:tc>
        <w:tc>
          <w:tcPr>
            <w:tcW w:type="dxa" w:w="586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SHA-256</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contracts/AegentMarketRegistry.sol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1e0fc93396402b19d085bbfc25d03be53540e847039dd768c6d47bf379f49aa9</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contracts/AegentSaleProceedsVault.sol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983af93be4bb1fcbe2809c9fb01baea34a7bae0ddf12caf05933c5450842cc34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contracts/AegentSwapV2.sol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2b53552a367b757cc31721d31cb2e889dc9391afc293a4cac0b2590332fb515f</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contracts/AegentRedemptionV2.sol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2424be9e3141b055d0a27a7b12ab6fc3918d758ddbedc9201ebc454dd467fcc6</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contracts/interfaces/IAegentMarketRegistry.sol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fb7b9a35bef353c3c0a5e882da595294b9dadb8d81cedada1207bbfe7bb02309</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contracts/interfaces/IAegentPurchaseReceiptSource.sol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52abd846c87734040bfb375177186bff6d8b56f9b23ddbeeb8a7a4f4c3d5badb</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contracts/interfaces/IAegentRedemptionEndpoint.sol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92620d9cc1fec26c42b4d4d293447d4faf9d83aab05a065d7484eff299d89eab</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contracts/interfaces/IAegentRegistryBound.sol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bf53c7606cbc5853a74710c9fa31dfd256a31283eedaf7ede01e213b0f12bc84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contracts/interfaces/IAegentSaleProceedsVault.sol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eb1005d38941efc7dfd9e8c961eb5a4df10f9a43f630330495dd82b73854c974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contracts/interfaces/IAggregatorV3.sol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2dc0d69856b9cf3579d866c1da3bb9baff2fe505d9702001fcddc47e319a2b7e</w:t>
            </w:r>
          </w:p>
        </w:tc>
      </w:tr>
    </w:tbl>
    <w:p>
      <w:pPr>
        <w:spacing w:before="0" w:after="40"/>
      </w:pPr>
    </w:p>
    <w:p>
      <w:r>
        <w:rPr>
          <w:rFonts w:ascii="Calibri" w:hAnsi="Calibri" w:eastAsia="Calibri" w:cs="Calibri"/>
          <w:sz w:val="22"/>
        </w:rPr>
        <w:t>Out of scope:</w:t>
      </w:r>
    </w:p>
    <w:p>
      <w:pPr>
        <w:pStyle w:val="ListBullet"/>
      </w:pPr>
      <w:r>
        <w:rPr>
          <w:rFonts w:ascii="Calibri" w:hAnsi="Calibri" w:eastAsia="Calibri" w:cs="Calibri"/>
          <w:sz w:val="22"/>
        </w:rPr>
        <w:t>mocks except as test evidence;</w:t>
      </w:r>
    </w:p>
    <w:p>
      <w:pPr>
        <w:pStyle w:val="ListBullet"/>
      </w:pPr>
      <w:r>
        <w:rPr>
          <w:rFonts w:ascii="Calibri" w:hAnsi="Calibri" w:eastAsia="Calibri" w:cs="Calibri"/>
          <w:sz w:val="22"/>
        </w:rPr>
        <w:t>deployment scripts except their local safety tests;</w:t>
      </w:r>
    </w:p>
    <w:p>
      <w:pPr>
        <w:pStyle w:val="ListBullet"/>
      </w:pPr>
      <w:r>
        <w:rPr>
          <w:rFonts w:ascii="Calibri" w:hAnsi="Calibri" w:eastAsia="Calibri" w:cs="Calibri"/>
          <w:sz w:val="22"/>
        </w:rPr>
        <w:t>frontends, APIs, database finality ledgers, wallet integrations, and operational monitoring;</w:t>
      </w:r>
    </w:p>
    <w:p>
      <w:pPr>
        <w:pStyle w:val="ListBullet"/>
      </w:pPr>
      <w:r>
        <w:rPr>
          <w:rFonts w:ascii="Calibri" w:hAnsi="Calibri" w:eastAsia="Calibri" w:cs="Calibri"/>
          <w:sz w:val="22"/>
        </w:rPr>
        <w:t>deployed bytecode, constructor arguments, proxy state, ownership addresses, multisig configuration, timelock configuration, reserve balances, oracle-address registry, and mainnet receipts;</w:t>
      </w:r>
    </w:p>
    <w:p>
      <w:pPr>
        <w:pStyle w:val="ListBullet"/>
      </w:pPr>
      <w:r>
        <w:rPr>
          <w:rFonts w:ascii="Calibri" w:hAnsi="Calibri" w:eastAsia="Calibri" w:cs="Calibri"/>
          <w:sz w:val="22"/>
        </w:rPr>
        <w:t>private keys, signing procedures, incident response, and production access control.</w:t>
      </w:r>
    </w:p>
    <w:p>
      <w:pPr>
        <w:pStyle w:val="Heading1"/>
      </w:pPr>
      <w:r>
        <w:t>3. Architecture and asset map</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Component</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Primary responsibility</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Assets or authority</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AegentMarketRegistry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Authoritative sale schedule, phase, market mode, limited windows, endpoints, and configuration version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Market-state authority</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AegentSaleProceedsVault</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 xml:space="preserve">Hold native BNB and supported stablecoin sale proceeds until </w:t>
            </w:r>
            <w:r>
              <w:rPr>
                <w:rFonts w:ascii="Consolas" w:hAnsi="Consolas" w:eastAsia="Consolas" w:cs="Consolas"/>
                <w:color w:val="1F4D78"/>
                <w:sz w:val="16"/>
              </w:rPr>
              <w:t>saleEnd</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BNB, USDT, USDC sale proceeds</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AegentSwapV2</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Quote and settle BNB/USDT/USDC purchases, transfer AGNT, record purchase receipts, and forward proceeds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AGNT inventory, purchase accounting, oracle-derived pricing</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AegentRedemptionV2</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Presale cost-basis refunds, post-launch redemption, purchased-AGNT claims, reserve accounting, limits, and execution nonces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USDT redemption reserve, escrowed AGNT, refund liabilities</w:t>
            </w:r>
          </w:p>
        </w:tc>
      </w:tr>
    </w:tbl>
    <w:p>
      <w:pPr>
        <w:spacing w:before="0" w:after="40"/>
      </w:pPr>
    </w:p>
    <w:p>
      <w:pPr>
        <w:pStyle w:val="Heading2"/>
      </w:pPr>
      <w:r>
        <w:t>Principal roles</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Role</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Capability</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Required assumption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Owner</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Configure market state, propose/apply rates, pause flows, and withdraw eligible balances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Owner is secure, honest, monitored, and preferably a multisig</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Buyer / redeemer</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Submit bounded purchase or redemption parameters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User supplies meaningful minimum output and correct network/address</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Oracle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Provide BNB and stablecoin prices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Feed is official, live, economically representative, and correctly configured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Vault beneficiary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Receive released sale proceeds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Address remains available and accepts native BNB</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AGNT / USDT / USDC token contracts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Execute ERC-20 transfers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Tokens conform to the behavior assumed by balance-delta checks</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Off-chain indexer / API</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Reconstruct events and present executable calldata</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Does not weaken contract-side checks and validates expected configuration</w:t>
            </w:r>
          </w:p>
        </w:tc>
      </w:tr>
    </w:tbl>
    <w:p>
      <w:pPr>
        <w:spacing w:before="0" w:after="40"/>
      </w:pPr>
    </w:p>
    <w:p>
      <w:pPr>
        <w:pStyle w:val="Heading1"/>
      </w:pPr>
      <w:r>
        <w:t>4. Control assurance matrix</w:t>
      </w:r>
    </w:p>
    <w:p>
      <w:r>
        <w:rPr>
          <w:rFonts w:ascii="Calibri" w:hAnsi="Calibri" w:eastAsia="Calibri" w:cs="Calibri"/>
          <w:sz w:val="22"/>
        </w:rPr>
        <w:t>Ratings:</w:t>
      </w:r>
    </w:p>
    <w:p>
      <w:pPr>
        <w:pStyle w:val="ListBullet"/>
      </w:pPr>
      <w:r>
        <w:rPr>
          <w:rFonts w:ascii="Calibri" w:hAnsi="Calibri" w:eastAsia="Calibri" w:cs="Calibri"/>
          <w:b/>
          <w:sz w:val="22"/>
        </w:rPr>
        <w:t>Satisfied:</w:t>
      </w:r>
      <w:r>
        <w:rPr>
          <w:rFonts w:ascii="Calibri" w:hAnsi="Calibri" w:eastAsia="Calibri" w:cs="Calibri"/>
          <w:sz w:val="22"/>
        </w:rPr>
        <w:t xml:space="preserve"> implemented in the reviewed snapshot with direct code and test support.</w:t>
      </w:r>
    </w:p>
    <w:p>
      <w:pPr>
        <w:pStyle w:val="ListBullet"/>
      </w:pPr>
      <w:r>
        <w:rPr>
          <w:rFonts w:ascii="Calibri" w:hAnsi="Calibri" w:eastAsia="Calibri" w:cs="Calibri"/>
          <w:b/>
          <w:sz w:val="22"/>
        </w:rPr>
        <w:t>Partially satisfied:</w:t>
      </w:r>
      <w:r>
        <w:rPr>
          <w:rFonts w:ascii="Calibri" w:hAnsi="Calibri" w:eastAsia="Calibri" w:cs="Calibri"/>
          <w:sz w:val="22"/>
        </w:rPr>
        <w:t xml:space="preserve"> useful control exists, but an accepted weakness remains.</w:t>
      </w:r>
    </w:p>
    <w:p>
      <w:pPr>
        <w:pStyle w:val="ListBullet"/>
      </w:pPr>
      <w:r>
        <w:rPr>
          <w:rFonts w:ascii="Calibri" w:hAnsi="Calibri" w:eastAsia="Calibri" w:cs="Calibri"/>
          <w:b/>
          <w:sz w:val="22"/>
        </w:rPr>
        <w:t>Not satisfied:</w:t>
      </w:r>
      <w:r>
        <w:rPr>
          <w:rFonts w:ascii="Calibri" w:hAnsi="Calibri" w:eastAsia="Calibri" w:cs="Calibri"/>
          <w:sz w:val="22"/>
        </w:rPr>
        <w:t xml:space="preserve"> the expected control is absent or does not enforce the stated objective.</w:t>
      </w:r>
    </w:p>
    <w:p>
      <w:pPr>
        <w:pStyle w:val="ListBullet"/>
      </w:pPr>
      <w:r>
        <w:rPr>
          <w:rFonts w:ascii="Calibri" w:hAnsi="Calibri" w:eastAsia="Calibri" w:cs="Calibri"/>
          <w:b/>
          <w:sz w:val="22"/>
        </w:rPr>
        <w:t>Operational evidence required:</w:t>
      </w:r>
      <w:r>
        <w:rPr>
          <w:rFonts w:ascii="Calibri" w:hAnsi="Calibri" w:eastAsia="Calibri" w:cs="Calibri"/>
          <w:sz w:val="22"/>
        </w:rPr>
        <w:t xml:space="preserve"> the source supports the control, but deployment configuration was not supplied.</w:t>
      </w:r>
    </w:p>
    <w:tbl>
      <w:tblPr>
        <w:tblStyle w:val="TableGrid"/>
        <w:tblW w:type="dxa" w:w="9360"/>
        <w:jc w:val="center"/>
        <w:tblLayout w:type="fixed"/>
        <w:tblLook w:firstColumn="1" w:firstRow="1" w:lastColumn="0" w:lastRow="0" w:noHBand="0" w:noVBand="1" w:val="04A0"/>
        <w:tblInd w:w="120" w:type="dxa"/>
      </w:tblPr>
      <w:tblGrid>
        <w:gridCol w:w="1500"/>
        <w:gridCol w:w="2100"/>
        <w:gridCol w:w="3060"/>
        <w:gridCol w:w="2700"/>
      </w:tblGrid>
      <w:tr>
        <w:trPr>
          <w:cantSplit/>
          <w:tblHeader w:val="true"/>
        </w:trPr>
        <w:tc>
          <w:tcPr>
            <w:tcW w:type="dxa" w:w="15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Control ID</w:t>
            </w:r>
          </w:p>
        </w:tc>
        <w:tc>
          <w:tcPr>
            <w:tcW w:type="dxa" w:w="21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Objective</w:t>
            </w:r>
          </w:p>
        </w:tc>
        <w:tc>
          <w:tcPr>
            <w:tcW w:type="dxa" w:w="306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Implementation evidence</w:t>
            </w:r>
          </w:p>
        </w:tc>
        <w:tc>
          <w:tcPr>
            <w:tcW w:type="dxa" w:w="27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Assessment</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GOV-01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Prevent accidental ownership loss</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Two-step ownership is used; renunciation is disabled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GOV-02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Reduce unilateral privileged-action risk</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Some rate changes have a one-day proposal delay</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Partially satisfied — INFO-01</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GOV-03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Enforce multisig and general timelock</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No on-chain requirement that owner be a multisig or that general changes be timelocked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Not satisfied — INFO-01</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CFG-01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Bind endpoints to one authoritative Registry</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Registry address and endpoint compatibility are checked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CFG-02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Prevent stale configuration replay</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Purchases and redemptions compare expected configuration version</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CFG-03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Bind execution to expected phase and mode</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Both flows compare expected phase and market mode</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PUR-01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Restrict purchases to the valid sale window</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Registry schedule, active phase, market mode, and optional limited window are checked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PUR-02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Limit price movement and transaction lifetime</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Minimum AGNT output and a maximum five-minute deadline are enforced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PUR-03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Prevent accounting against fee-on-transfer behavior</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Stablecoin and AGNT balance deltas are checked around transfers</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PUR-04</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Prevent purchase-created refund undercollateralization</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Purchase admission does not check projected redemption reserve coverage</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Not satisfied — MED-02</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ORC-01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Reject missing, negative, future, incomplete, or stale oracle data</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Answer, timestamp, round ordering, and global max age are checked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ORC-02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Reject economically implausible but technically fresh prices</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No absolute bound, per-feed heartbeat, deviation limit, secondary source, or circuit breaker</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Not satisfied — MED-03</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CUST-01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Prevent reentrant purchase/redemption settlement</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 xml:space="preserve">State-changing settlement paths use </w:t>
            </w:r>
            <w:r>
              <w:rPr>
                <w:rFonts w:ascii="Consolas" w:hAnsi="Consolas" w:eastAsia="Consolas" w:cs="Consolas"/>
                <w:color w:val="1F4D78"/>
                <w:sz w:val="16"/>
              </w:rPr>
              <w:t>nonReentrant</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CUST-02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Use hardened ERC-20 interactions</w:t>
            </w:r>
          </w:p>
        </w:tc>
        <w:tc>
          <w:tcPr>
            <w:tcW w:type="dxa" w:w="30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SafeERC20</w:t>
            </w:r>
            <w:r>
              <w:rPr>
                <w:rFonts w:ascii="Calibri" w:hAnsi="Calibri" w:eastAsia="Calibri" w:cs="Calibri"/>
                <w:sz w:val="17"/>
              </w:rPr>
              <w:t xml:space="preserve"> and balance reconciliation are used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CUST-03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Preserve outstanding liabilities during withdrawals</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Withdrawal availability accounts for presale liabilities and unclaimed AGNT</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CUST-04</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Recover accidentally forced or unrelated assets safely</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Recovery is intentionally narrow; immutable recipients can create liveness failure</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Partially satisfied — INFO-02</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RED-01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Prevent presale refunds above wallet entitlement</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Cost basis and remaining entitlement are wallet-specific and decremented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RED-02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Prevent post-launch redemption without AGNT</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Post-launch flow collects AGNT and reconciles balance deltas</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RED-03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Prevent calldata replay</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 xml:space="preserve">Per-wallet </w:t>
            </w:r>
            <w:r>
              <w:rPr>
                <w:rFonts w:ascii="Consolas" w:hAnsi="Consolas" w:eastAsia="Consolas" w:cs="Consolas"/>
                <w:color w:val="1F4D78"/>
                <w:sz w:val="16"/>
              </w:rPr>
              <w:t>nextRedemptionNonce</w:t>
            </w:r>
            <w:r>
              <w:rPr>
                <w:rFonts w:ascii="Calibri" w:hAnsi="Calibri" w:eastAsia="Calibri" w:cs="Calibri"/>
                <w:sz w:val="17"/>
              </w:rPr>
              <w:t xml:space="preserve"> is included and consumed atomically</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RED-04</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Preserve minimum output and bounded execution time</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Minimum USDT output and deadline checks are enforced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Satisfied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RISK-01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Enforce wallet/global daily limits</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Per-wallet and global totals are enforced per UTC day index</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Partially satisfied — LOW-01</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RISK-02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Force review above a risk threshold</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Current transaction gross amount is compared to the threshold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Partially satisfied — MED-01</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RISK-03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Prevent splitting around the review threshold</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No cumulative threshold or signed reviewed path exists</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Not satisfied — MED-01</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EVT-01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Make purchase settlement independently reconstructable</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Event records settlement amounts and identifiers</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Partially satisfied — INFO-03</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EVT-02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Make redemption settlement independently reconstructable</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Event includes mode and execution nonce</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Partially satisfied — INFO-03</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DEP-01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Prove reviewed source equals deployed bytecode and constructor parameters</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No deployed address or verification record was supplied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Operational evidence required</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DEP-02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Prove correct owner, multisig, oracle, token, vault, reserve, and endpoint configuration</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Deployment state was not supplied</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Operational evidence required</w:t>
            </w:r>
          </w:p>
        </w:tc>
      </w:tr>
    </w:tbl>
    <w:p>
      <w:pPr>
        <w:spacing w:before="0" w:after="40"/>
      </w:pPr>
    </w:p>
    <w:p>
      <w:pPr>
        <w:pStyle w:val="Heading1"/>
      </w:pPr>
      <w:r>
        <w:t>5. Accepted findings</w:t>
      </w:r>
    </w:p>
    <w:p>
      <w:pPr>
        <w:pStyle w:val="Heading2"/>
      </w:pPr>
      <w:r>
        <w:t>MED-01 — Manual-review threshold can be bypassed by splitting redemptions</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Code:</w:t>
      </w:r>
      <w:r>
        <w:rPr>
          <w:rFonts w:ascii="Calibri" w:hAnsi="Calibri" w:eastAsia="Calibri" w:cs="Calibri"/>
          <w:sz w:val="22"/>
        </w:rPr>
        <w:t xml:space="preserve"> </w:t>
      </w:r>
      <w:hyperlink r:id="rId14">
        <w:r>
          <w:rPr>
            <w:color w:val="2E74B5"/>
            <w:u w:val="single"/>
          </w:rPr>
          <w:t>`AegentRedemptionV2.sol:L190-L227`</w:t>
        </w:r>
      </w:hyperlink>
      <w:r>
        <w:rPr>
          <w:rFonts w:ascii="Calibri" w:hAnsi="Calibri" w:eastAsia="Calibri" w:cs="Calibri"/>
          <w:sz w:val="22"/>
        </w:rPr>
        <w:t xml:space="preserve">, </w:t>
      </w:r>
      <w:hyperlink r:id="rId15">
        <w:r>
          <w:rPr>
            <w:color w:val="2E74B5"/>
            <w:u w:val="single"/>
          </w:rPr>
          <w:t>`AegentRedemptionV2.sol:L694-L731`</w:t>
        </w:r>
      </w:hyperlink>
    </w:p>
    <w:p>
      <w:r>
        <w:rPr>
          <w:rFonts w:ascii="Calibri" w:hAnsi="Calibri" w:eastAsia="Calibri" w:cs="Calibri"/>
          <w:b/>
          <w:sz w:val="22"/>
        </w:rPr>
        <w:t>Test:</w:t>
      </w:r>
      <w:r>
        <w:rPr>
          <w:rFonts w:ascii="Calibri" w:hAnsi="Calibri" w:eastAsia="Calibri" w:cs="Calibri"/>
          <w:sz w:val="22"/>
        </w:rPr>
        <w:t xml:space="preserve"> </w:t>
      </w:r>
      <w:hyperlink r:id="rId16">
        <w:r>
          <w:rPr>
            <w:color w:val="2E74B5"/>
            <w:u w:val="single"/>
          </w:rPr>
          <w:t>`AegentRedemptionV2.test.cjs:L454-L494`</w:t>
        </w:r>
      </w:hyperlink>
    </w:p>
    <w:p>
      <w:r>
        <w:rPr>
          <w:rFonts w:ascii="Calibri" w:hAnsi="Calibri" w:eastAsia="Calibri" w:cs="Calibri"/>
          <w:sz w:val="22"/>
        </w:rPr>
        <w:t xml:space="preserve">The constructor permits </w:t>
      </w:r>
      <w:r>
        <w:rPr>
          <w:rFonts w:ascii="Consolas" w:hAnsi="Consolas" w:eastAsia="Consolas" w:cs="Consolas"/>
          <w:color w:val="1F4D78"/>
          <w:sz w:val="20"/>
        </w:rPr>
        <w:t>manualReviewThresholdUsdt &lt;= dailyWalletUsdtLimit</w:t>
      </w:r>
      <w:r>
        <w:rPr>
          <w:rFonts w:ascii="Calibri" w:hAnsi="Calibri" w:eastAsia="Calibri" w:cs="Calibri"/>
          <w:sz w:val="22"/>
        </w:rPr>
        <w:t xml:space="preserve">. </w:t>
      </w:r>
      <w:r>
        <w:rPr>
          <w:rFonts w:ascii="Consolas" w:hAnsi="Consolas" w:eastAsia="Consolas" w:cs="Consolas"/>
          <w:color w:val="1F4D78"/>
          <w:sz w:val="20"/>
        </w:rPr>
        <w:t>_validateRedemption</w:t>
      </w:r>
      <w:r>
        <w:rPr>
          <w:rFonts w:ascii="Calibri" w:hAnsi="Calibri" w:eastAsia="Calibri" w:cs="Calibri"/>
          <w:sz w:val="22"/>
        </w:rPr>
        <w:t xml:space="preserve"> compares only the current transaction's </w:t>
      </w:r>
      <w:r>
        <w:rPr>
          <w:rFonts w:ascii="Consolas" w:hAnsi="Consolas" w:eastAsia="Consolas" w:cs="Consolas"/>
          <w:color w:val="1F4D78"/>
          <w:sz w:val="20"/>
        </w:rPr>
        <w:t>grossUsdt</w:t>
      </w:r>
      <w:r>
        <w:rPr>
          <w:rFonts w:ascii="Calibri" w:hAnsi="Calibri" w:eastAsia="Calibri" w:cs="Calibri"/>
          <w:sz w:val="22"/>
        </w:rPr>
        <w:t xml:space="preserve"> with the manual-review threshold, while the wallet total is checked separately against the daily limit.</w:t>
      </w:r>
    </w:p>
    <w:p>
      <w:r>
        <w:rPr>
          <w:rFonts w:ascii="Calibri" w:hAnsi="Calibri" w:eastAsia="Calibri" w:cs="Calibri"/>
          <w:sz w:val="22"/>
        </w:rPr>
        <w:t>The regression test proves that one 201-USDT-equivalent redemption is rejected, but two 200-USDT-equivalent redemptions succeed; only a third transaction encounters the 400-USDT daily-wallet cap.</w:t>
      </w:r>
    </w:p>
    <w:p>
      <w:r>
        <w:rPr>
          <w:rFonts w:ascii="Calibri" w:hAnsi="Calibri" w:eastAsia="Calibri" w:cs="Calibri"/>
          <w:b/>
          <w:sz w:val="22"/>
        </w:rPr>
        <w:t>Impact:</w:t>
      </w:r>
      <w:r>
        <w:rPr>
          <w:rFonts w:ascii="Calibri" w:hAnsi="Calibri" w:eastAsia="Calibri" w:cs="Calibri"/>
          <w:sz w:val="22"/>
        </w:rPr>
        <w:t xml:space="preserve"> A redeemer can process the full wallet/global daily allowance without entering the intended review path, provided each transaction remains at or below the threshold. Entitlement, reserve, AGNT-transfer, and daily-cap checks still apply.</w:t>
      </w:r>
    </w:p>
    <w:p>
      <w:r>
        <w:rPr>
          <w:rFonts w:ascii="Calibri" w:hAnsi="Calibri" w:eastAsia="Calibri" w:cs="Calibri"/>
          <w:b/>
          <w:sz w:val="22"/>
        </w:rPr>
        <w:t>Required remediation:</w:t>
      </w:r>
      <w:r>
        <w:rPr>
          <w:rFonts w:ascii="Calibri" w:hAnsi="Calibri" w:eastAsia="Calibri" w:cs="Calibri"/>
          <w:sz w:val="22"/>
        </w:rPr>
        <w:t xml:space="preserve"> Evaluate the review requirement against cumulative wallet activity in a rolling or daily interval, or add a reviewer-authorized execution path bound to wallet, maximum amount, nonce, and expiry. Add split-transaction negative tests.</w:t>
      </w:r>
    </w:p>
    <w:p>
      <w:pPr>
        <w:pStyle w:val="Heading2"/>
      </w:pPr>
      <w:r>
        <w:t>MED-02 — Purchases can increase refund liability without enforced reserve collateral</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Code:</w:t>
      </w:r>
      <w:r>
        <w:rPr>
          <w:rFonts w:ascii="Calibri" w:hAnsi="Calibri" w:eastAsia="Calibri" w:cs="Calibri"/>
          <w:sz w:val="22"/>
        </w:rPr>
        <w:t xml:space="preserve"> </w:t>
      </w:r>
      <w:hyperlink r:id="rId17">
        <w:r>
          <w:rPr>
            <w:color w:val="2E74B5"/>
            <w:u w:val="single"/>
          </w:rPr>
          <w:t>`AegentMarketRegistry.sol:L186-L227`</w:t>
        </w:r>
      </w:hyperlink>
      <w:r>
        <w:rPr>
          <w:rFonts w:ascii="Calibri" w:hAnsi="Calibri" w:eastAsia="Calibri" w:cs="Calibri"/>
          <w:sz w:val="22"/>
        </w:rPr>
        <w:t xml:space="preserve">, </w:t>
      </w:r>
      <w:hyperlink r:id="rId18">
        <w:r>
          <w:rPr>
            <w:color w:val="2E74B5"/>
            <w:u w:val="single"/>
          </w:rPr>
          <w:t>`AegentSwapV2.sol:L249-L289`</w:t>
        </w:r>
      </w:hyperlink>
      <w:r>
        <w:rPr>
          <w:rFonts w:ascii="Calibri" w:hAnsi="Calibri" w:eastAsia="Calibri" w:cs="Calibri"/>
          <w:sz w:val="22"/>
        </w:rPr>
        <w:t xml:space="preserve">, </w:t>
      </w:r>
      <w:hyperlink r:id="rId19">
        <w:r>
          <w:rPr>
            <w:color w:val="2E74B5"/>
            <w:u w:val="single"/>
          </w:rPr>
          <w:t>`AegentSwapV2.sol:L358-L380`</w:t>
        </w:r>
      </w:hyperlink>
      <w:r>
        <w:rPr>
          <w:rFonts w:ascii="Calibri" w:hAnsi="Calibri" w:eastAsia="Calibri" w:cs="Calibri"/>
          <w:sz w:val="22"/>
        </w:rPr>
        <w:t xml:space="preserve">, </w:t>
      </w:r>
      <w:hyperlink r:id="rId20">
        <w:r>
          <w:rPr>
            <w:color w:val="2E74B5"/>
            <w:u w:val="single"/>
          </w:rPr>
          <w:t>`AegentRedemptionV2.sol:L522-L553`</w:t>
        </w:r>
      </w:hyperlink>
      <w:r>
        <w:rPr>
          <w:rFonts w:ascii="Calibri" w:hAnsi="Calibri" w:eastAsia="Calibri" w:cs="Calibri"/>
          <w:sz w:val="22"/>
        </w:rPr>
        <w:t xml:space="preserve">, </w:t>
      </w:r>
      <w:hyperlink r:id="rId21">
        <w:r>
          <w:rPr>
            <w:color w:val="2E74B5"/>
            <w:u w:val="single"/>
          </w:rPr>
          <w:t>`AegentSaleProceedsVault.sol:L69-L100`</w:t>
        </w:r>
      </w:hyperlink>
    </w:p>
    <w:p>
      <w:r>
        <w:rPr>
          <w:rFonts w:ascii="Calibri" w:hAnsi="Calibri" w:eastAsia="Calibri" w:cs="Calibri"/>
          <w:b/>
          <w:sz w:val="22"/>
        </w:rPr>
        <w:t>Tests:</w:t>
      </w:r>
      <w:r>
        <w:rPr>
          <w:rFonts w:ascii="Calibri" w:hAnsi="Calibri" w:eastAsia="Calibri" w:cs="Calibri"/>
          <w:sz w:val="22"/>
        </w:rPr>
        <w:t xml:space="preserve"> </w:t>
      </w:r>
      <w:hyperlink r:id="rId22">
        <w:r>
          <w:rPr>
            <w:color w:val="2E74B5"/>
            <w:u w:val="single"/>
          </w:rPr>
          <w:t>`AegentRedemptionV2.test.cjs:L240-L274`</w:t>
        </w:r>
      </w:hyperlink>
      <w:r>
        <w:rPr>
          <w:rFonts w:ascii="Calibri" w:hAnsi="Calibri" w:eastAsia="Calibri" w:cs="Calibri"/>
          <w:sz w:val="22"/>
        </w:rPr>
        <w:t xml:space="preserve">, </w:t>
      </w:r>
      <w:hyperlink r:id="rId23">
        <w:r>
          <w:rPr>
            <w:color w:val="2E74B5"/>
            <w:u w:val="single"/>
          </w:rPr>
          <w:t>`AegentV2Integration.test.cjs:L98-L107`</w:t>
        </w:r>
      </w:hyperlink>
    </w:p>
    <w:p>
      <w:r>
        <w:rPr>
          <w:rFonts w:ascii="Calibri" w:hAnsi="Calibri" w:eastAsia="Calibri" w:cs="Calibri"/>
          <w:sz w:val="22"/>
        </w:rPr>
        <w:t>Purchase eligibility verifies schedule, phase, mode, limited-window state, and endpoint compatibility, but does not test projected reserve coverage before accepting consideration and increasing purchase receipts. Redemption correctly fails closed when the reserve is inadequate; this protects against overpayment but leaves an accepted purchase temporarily unrefundable. Sale proceeds remain locked in a separate vault and are not automatically available as USDT redemption reserves.</w:t>
      </w:r>
    </w:p>
    <w:p>
      <w:r>
        <w:rPr>
          <w:rFonts w:ascii="Calibri" w:hAnsi="Calibri" w:eastAsia="Calibri" w:cs="Calibri"/>
          <w:sz w:val="22"/>
        </w:rPr>
        <w:t>The underfunding test proves refund rejection when reserve coverage is insufficient. The integration test manually pre-funds the reserve before purchases, demonstrating that solvency currently depends on an operational step rather than a purchase-time invariant.</w:t>
      </w:r>
    </w:p>
    <w:p>
      <w:r>
        <w:rPr>
          <w:rFonts w:ascii="Calibri" w:hAnsi="Calibri" w:eastAsia="Calibri" w:cs="Calibri"/>
          <w:b/>
          <w:sz w:val="22"/>
        </w:rPr>
        <w:t>Impact:</w:t>
      </w:r>
      <w:r>
        <w:rPr>
          <w:rFonts w:ascii="Calibri" w:hAnsi="Calibri" w:eastAsia="Calibri" w:cs="Calibri"/>
          <w:sz w:val="22"/>
        </w:rPr>
        <w:t xml:space="preserve"> Valid purchases can create refund liabilities that cannot be serviced until an external reserve top-up. This is a financial-availability and assurance failure even though AGNT purchase claims remain recorded.</w:t>
      </w:r>
    </w:p>
    <w:p>
      <w:r>
        <w:rPr>
          <w:rFonts w:ascii="Calibri" w:hAnsi="Calibri" w:eastAsia="Calibri" w:cs="Calibri"/>
          <w:b/>
          <w:sz w:val="22"/>
        </w:rPr>
        <w:t>Required remediation:</w:t>
      </w:r>
      <w:r>
        <w:rPr>
          <w:rFonts w:ascii="Calibri" w:hAnsi="Calibri" w:eastAsia="Calibri" w:cs="Calibri"/>
          <w:sz w:val="22"/>
        </w:rPr>
        <w:t xml:space="preserve"> Enforce projected </w:t>
      </w:r>
      <w:r>
        <w:rPr>
          <w:rFonts w:ascii="Consolas" w:hAnsi="Consolas" w:eastAsia="Consolas" w:cs="Consolas"/>
          <w:color w:val="1F4D78"/>
          <w:sz w:val="20"/>
        </w:rPr>
        <w:t>reserveAfter &gt;= requiredLiabilityAfter</w:t>
      </w:r>
      <w:r>
        <w:rPr>
          <w:rFonts w:ascii="Calibri" w:hAnsi="Calibri" w:eastAsia="Calibri" w:cs="Calibri"/>
          <w:sz w:val="22"/>
        </w:rPr>
        <w:t xml:space="preserve"> during every purchase, or fully collateralize maximum refund liability before sales open. Test BNB, USDT, and USDC purchases under insufficient-reserve conditions and require atomic rejection.</w:t>
      </w:r>
    </w:p>
    <w:p>
      <w:pPr>
        <w:pStyle w:val="Heading2"/>
      </w:pPr>
      <w:r>
        <w:t>MED-03 — Freshness-only oracle validation lacks bounds and deviation circuit breakers</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Code:</w:t>
      </w:r>
      <w:r>
        <w:rPr>
          <w:rFonts w:ascii="Calibri" w:hAnsi="Calibri" w:eastAsia="Calibri" w:cs="Calibri"/>
          <w:sz w:val="22"/>
        </w:rPr>
        <w:t xml:space="preserve"> </w:t>
      </w:r>
      <w:hyperlink r:id="rId24">
        <w:r>
          <w:rPr>
            <w:color w:val="2E74B5"/>
            <w:u w:val="single"/>
          </w:rPr>
          <w:t>`AegentSwapV2.sol:L165-L167`</w:t>
        </w:r>
      </w:hyperlink>
      <w:r>
        <w:rPr>
          <w:rFonts w:ascii="Calibri" w:hAnsi="Calibri" w:eastAsia="Calibri" w:cs="Calibri"/>
          <w:sz w:val="22"/>
        </w:rPr>
        <w:t xml:space="preserve">, </w:t>
      </w:r>
      <w:hyperlink r:id="rId25">
        <w:r>
          <w:rPr>
            <w:color w:val="2E74B5"/>
            <w:u w:val="single"/>
          </w:rPr>
          <w:t>`AegentSwapV2.sol:L552-L618`</w:t>
        </w:r>
      </w:hyperlink>
    </w:p>
    <w:p>
      <w:r>
        <w:rPr>
          <w:rFonts w:ascii="Calibri" w:hAnsi="Calibri" w:eastAsia="Calibri" w:cs="Calibri"/>
          <w:b/>
          <w:sz w:val="22"/>
        </w:rPr>
        <w:t>Test:</w:t>
      </w:r>
      <w:r>
        <w:rPr>
          <w:rFonts w:ascii="Calibri" w:hAnsi="Calibri" w:eastAsia="Calibri" w:cs="Calibri"/>
          <w:sz w:val="22"/>
        </w:rPr>
        <w:t xml:space="preserve"> </w:t>
      </w:r>
      <w:hyperlink r:id="rId26">
        <w:r>
          <w:rPr>
            <w:color w:val="2E74B5"/>
            <w:u w:val="single"/>
          </w:rPr>
          <w:t>`AegentSwapV2.test.cjs:L424-L468`</w:t>
        </w:r>
      </w:hyperlink>
    </w:p>
    <w:p>
      <w:r>
        <w:rPr>
          <w:rFonts w:ascii="Calibri" w:hAnsi="Calibri" w:eastAsia="Calibri" w:cs="Calibri"/>
          <w:sz w:val="22"/>
        </w:rPr>
        <w:t>The oracle adapter rejects nonpositive answers, missing or future timestamps, incomplete rounds, and observations older than one global maximum age. The allowed maximum can be as high as six hours. The implementation has no per-feed heartbeat, absolute price floor/ceiling, consecutive-round deviation check, secondary-source check, stablecoin depeg circuit breaker, or automatic pause.</w:t>
      </w:r>
    </w:p>
    <w:p>
      <w:r>
        <w:rPr>
          <w:rFonts w:ascii="Calibri" w:hAnsi="Calibri" w:eastAsia="Calibri" w:cs="Calibri"/>
          <w:sz w:val="22"/>
        </w:rPr>
        <w:t>Stablecoin prices are capped at one dollar on the upside, but a fast depeg within the allowed age may not be reflected in time. A technically fresh but anomalously high BNB answer can release excess AGNT up to inventory and sale caps.</w:t>
      </w:r>
    </w:p>
    <w:p>
      <w:r>
        <w:rPr>
          <w:rFonts w:ascii="Calibri" w:hAnsi="Calibri" w:eastAsia="Calibri" w:cs="Calibri"/>
          <w:b/>
          <w:sz w:val="22"/>
        </w:rPr>
        <w:t>Impact:</w:t>
      </w:r>
      <w:r>
        <w:rPr>
          <w:rFonts w:ascii="Calibri" w:hAnsi="Calibri" w:eastAsia="Calibri" w:cs="Calibri"/>
          <w:sz w:val="22"/>
        </w:rPr>
        <w:t xml:space="preserve"> Feed malfunction or fast market movement can create economically invalid quotes. User-supplied minimum output reduces some downside but does not replace protocol-side oracle anomaly controls.</w:t>
      </w:r>
    </w:p>
    <w:p>
      <w:r>
        <w:rPr>
          <w:rFonts w:ascii="Calibri" w:hAnsi="Calibri" w:eastAsia="Calibri" w:cs="Calibri"/>
          <w:b/>
          <w:sz w:val="22"/>
        </w:rPr>
        <w:t>Required remediation:</w:t>
      </w:r>
      <w:r>
        <w:rPr>
          <w:rFonts w:ascii="Calibri" w:hAnsi="Calibri" w:eastAsia="Calibri" w:cs="Calibri"/>
          <w:sz w:val="22"/>
        </w:rPr>
        <w:t xml:space="preserve"> Configure verified feed addresses and heartbeat per asset; enforce conservative bounds and deviation thresholds; use a stablecoin floor and pause behavior; optionally corroborate a secondary source. Add tests for extreme fresh answers, heartbeat mismatch, and sudden deviation.</w:t>
      </w:r>
    </w:p>
    <w:p>
      <w:pPr>
        <w:pStyle w:val="Heading2"/>
      </w:pPr>
      <w:r>
        <w:t>LOW-01 — Fixed UTC daily buckets permit near-two-times throughput at a boundary</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Code:</w:t>
      </w:r>
      <w:r>
        <w:rPr>
          <w:rFonts w:ascii="Calibri" w:hAnsi="Calibri" w:eastAsia="Calibri" w:cs="Calibri"/>
          <w:sz w:val="22"/>
        </w:rPr>
        <w:t xml:space="preserve"> </w:t>
      </w:r>
      <w:hyperlink r:id="rId27">
        <w:r>
          <w:rPr>
            <w:color w:val="2E74B5"/>
            <w:u w:val="single"/>
          </w:rPr>
          <w:t>`AegentRedemptionV2.sol:L713-L731`</w:t>
        </w:r>
      </w:hyperlink>
    </w:p>
    <w:p>
      <w:r>
        <w:rPr>
          <w:rFonts w:ascii="Calibri" w:hAnsi="Calibri" w:eastAsia="Calibri" w:cs="Calibri"/>
          <w:sz w:val="22"/>
        </w:rPr>
        <w:t xml:space="preserve">Daily wallet and global counters use </w:t>
      </w:r>
      <w:r>
        <w:rPr>
          <w:rFonts w:ascii="Consolas" w:hAnsi="Consolas" w:eastAsia="Consolas" w:cs="Consolas"/>
          <w:color w:val="1F4D78"/>
          <w:sz w:val="20"/>
        </w:rPr>
        <w:t>block.timestamp / 1 days</w:t>
      </w:r>
      <w:r>
        <w:rPr>
          <w:rFonts w:ascii="Calibri" w:hAnsi="Calibri" w:eastAsia="Calibri" w:cs="Calibri"/>
          <w:sz w:val="22"/>
        </w:rPr>
        <w:t>. A participant can spend the full allowance immediately before midnight UTC and the next full allowance immediately after.</w:t>
      </w:r>
    </w:p>
    <w:p>
      <w:r>
        <w:rPr>
          <w:rFonts w:ascii="Calibri" w:hAnsi="Calibri" w:eastAsia="Calibri" w:cs="Calibri"/>
          <w:b/>
          <w:sz w:val="22"/>
        </w:rPr>
        <w:t>Impact:</w:t>
      </w:r>
      <w:r>
        <w:rPr>
          <w:rFonts w:ascii="Calibri" w:hAnsi="Calibri" w:eastAsia="Calibri" w:cs="Calibri"/>
          <w:sz w:val="22"/>
        </w:rPr>
        <w:t xml:space="preserve"> Almost twice the nominal daily throughput can occur in a short real-time interval. Entitlement and reserve checks bound the impact but do not preserve a rolling-day risk limit.</w:t>
      </w:r>
    </w:p>
    <w:p>
      <w:r>
        <w:rPr>
          <w:rFonts w:ascii="Calibri" w:hAnsi="Calibri" w:eastAsia="Calibri" w:cs="Calibri"/>
          <w:b/>
          <w:sz w:val="22"/>
        </w:rPr>
        <w:t>Required remediation:</w:t>
      </w:r>
      <w:r>
        <w:rPr>
          <w:rFonts w:ascii="Calibri" w:hAnsi="Calibri" w:eastAsia="Calibri" w:cs="Calibri"/>
          <w:sz w:val="22"/>
        </w:rPr>
        <w:t xml:space="preserve"> Use a rolling 24-hour window or token-bucket limiter. If UTC epochs are intentional, size controls for the two-epoch burst and document that semantics.</w:t>
      </w:r>
    </w:p>
    <w:p>
      <w:pPr>
        <w:pStyle w:val="Heading2"/>
      </w:pPr>
      <w:r>
        <w:t>INFO-01 — Privileged controls do not enforce a multisig or general timelock</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Code:</w:t>
      </w:r>
      <w:r>
        <w:rPr>
          <w:rFonts w:ascii="Calibri" w:hAnsi="Calibri" w:eastAsia="Calibri" w:cs="Calibri"/>
          <w:sz w:val="22"/>
        </w:rPr>
        <w:t xml:space="preserve"> </w:t>
      </w:r>
      <w:hyperlink r:id="rId28">
        <w:r>
          <w:rPr>
            <w:color w:val="2E74B5"/>
            <w:u w:val="single"/>
          </w:rPr>
          <w:t>`AegentMarketRegistry.sol:L96-L162`</w:t>
        </w:r>
      </w:hyperlink>
      <w:r>
        <w:rPr>
          <w:rFonts w:ascii="Calibri" w:hAnsi="Calibri" w:eastAsia="Calibri" w:cs="Calibri"/>
          <w:sz w:val="22"/>
        </w:rPr>
        <w:t xml:space="preserve">, </w:t>
      </w:r>
      <w:hyperlink r:id="rId29">
        <w:r>
          <w:rPr>
            <w:color w:val="2E74B5"/>
            <w:u w:val="single"/>
          </w:rPr>
          <w:t>`AegentSwapV2.sol:L339-L355`</w:t>
        </w:r>
      </w:hyperlink>
      <w:r>
        <w:rPr>
          <w:rFonts w:ascii="Calibri" w:hAnsi="Calibri" w:eastAsia="Calibri" w:cs="Calibri"/>
          <w:sz w:val="22"/>
        </w:rPr>
        <w:t xml:space="preserve">, </w:t>
      </w:r>
      <w:hyperlink r:id="rId30">
        <w:r>
          <w:rPr>
            <w:color w:val="2E74B5"/>
            <w:u w:val="single"/>
          </w:rPr>
          <w:t>`AegentRedemptionV2.sol:L426-L516`</w:t>
        </w:r>
      </w:hyperlink>
    </w:p>
    <w:p>
      <w:r>
        <w:rPr>
          <w:rFonts w:ascii="Calibri" w:hAnsi="Calibri" w:eastAsia="Calibri" w:cs="Calibri"/>
          <w:sz w:val="22"/>
        </w:rPr>
        <w:t>Two-step ownership and a delayed post-launch rate reduce some risk. The code does not require a multisig or apply a general timelock to market-mode, window, inventory, and eligible reserve actions.</w:t>
      </w:r>
    </w:p>
    <w:p>
      <w:r>
        <w:rPr>
          <w:rFonts w:ascii="Calibri" w:hAnsi="Calibri" w:eastAsia="Calibri" w:cs="Calibri"/>
          <w:b/>
          <w:sz w:val="22"/>
        </w:rPr>
        <w:t>Required remediation:</w:t>
      </w:r>
      <w:r>
        <w:rPr>
          <w:rFonts w:ascii="Calibri" w:hAnsi="Calibri" w:eastAsia="Calibri" w:cs="Calibri"/>
          <w:sz w:val="22"/>
        </w:rPr>
        <w:t xml:space="preserve"> Assign owner roles to a documented multisig, separate emergency and treasury authority, timelock material nonemergency changes, and monitor all role/address changes before activation.</w:t>
      </w:r>
    </w:p>
    <w:p>
      <w:pPr>
        <w:pStyle w:val="Heading2"/>
      </w:pPr>
      <w:r>
        <w:t>INFO-02 — Immutable recipients and narrow recovery paths create asset-liveness risk</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Code:</w:t>
      </w:r>
      <w:r>
        <w:rPr>
          <w:rFonts w:ascii="Calibri" w:hAnsi="Calibri" w:eastAsia="Calibri" w:cs="Calibri"/>
          <w:sz w:val="22"/>
        </w:rPr>
        <w:t xml:space="preserve"> </w:t>
      </w:r>
      <w:hyperlink r:id="rId31">
        <w:r>
          <w:rPr>
            <w:color w:val="2E74B5"/>
            <w:u w:val="single"/>
          </w:rPr>
          <w:t>`AegentSaleProceedsVault.sol:L30-L93`</w:t>
        </w:r>
      </w:hyperlink>
      <w:r>
        <w:rPr>
          <w:rFonts w:ascii="Calibri" w:hAnsi="Calibri" w:eastAsia="Calibri" w:cs="Calibri"/>
          <w:sz w:val="22"/>
        </w:rPr>
        <w:t xml:space="preserve">, </w:t>
      </w:r>
      <w:hyperlink r:id="rId32">
        <w:r>
          <w:rPr>
            <w:color w:val="2E74B5"/>
            <w:u w:val="single"/>
          </w:rPr>
          <w:t>`AegentSwapV2.sol:L671-L672`</w:t>
        </w:r>
      </w:hyperlink>
      <w:r>
        <w:rPr>
          <w:rFonts w:ascii="Calibri" w:hAnsi="Calibri" w:eastAsia="Calibri" w:cs="Calibri"/>
          <w:sz w:val="22"/>
        </w:rPr>
        <w:t xml:space="preserve">, </w:t>
      </w:r>
      <w:hyperlink r:id="rId33">
        <w:r>
          <w:rPr>
            <w:color w:val="2E74B5"/>
            <w:u w:val="single"/>
          </w:rPr>
          <w:t>`AegentRedemptionV2.sol:L895-L897`</w:t>
        </w:r>
      </w:hyperlink>
    </w:p>
    <w:p>
      <w:r>
        <w:rPr>
          <w:rFonts w:ascii="Calibri" w:hAnsi="Calibri" w:eastAsia="Calibri" w:cs="Calibri"/>
          <w:sz w:val="22"/>
        </w:rPr>
        <w:t>The immutable vault beneficiary must accept native BNB. A beneficiary contract that rejects BNB can block release. Vault token release is limited to USDT and USDC, while forced native currency and unrelated tokens have no general recovery path.</w:t>
      </w:r>
    </w:p>
    <w:p>
      <w:r>
        <w:rPr>
          <w:rFonts w:ascii="Calibri" w:hAnsi="Calibri" w:eastAsia="Calibri" w:cs="Calibri"/>
          <w:b/>
          <w:sz w:val="22"/>
        </w:rPr>
        <w:t>Required remediation:</w:t>
      </w:r>
      <w:r>
        <w:rPr>
          <w:rFonts w:ascii="Calibri" w:hAnsi="Calibri" w:eastAsia="Calibri" w:cs="Calibri"/>
          <w:sz w:val="22"/>
        </w:rPr>
        <w:t xml:space="preserve"> Test payable behavior and operational continuity of the beneficiary. Either explicitly accept irrecoverability or implement a constrained, timelocked recovery mechanism that cannot touch protected liabilities.</w:t>
      </w:r>
    </w:p>
    <w:p>
      <w:pPr>
        <w:pStyle w:val="Heading2"/>
      </w:pPr>
      <w:r>
        <w:t>INFO-03 — Settlement events omit configuration evidence needed for complete reconstruction</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Code:</w:t>
      </w:r>
      <w:r>
        <w:rPr>
          <w:rFonts w:ascii="Calibri" w:hAnsi="Calibri" w:eastAsia="Calibri" w:cs="Calibri"/>
          <w:sz w:val="22"/>
        </w:rPr>
        <w:t xml:space="preserve"> </w:t>
      </w:r>
      <w:hyperlink r:id="rId34">
        <w:r>
          <w:rPr>
            <w:color w:val="2E74B5"/>
            <w:u w:val="single"/>
          </w:rPr>
          <w:t>`AegentSwapV2.sol:L81-L90`</w:t>
        </w:r>
      </w:hyperlink>
      <w:r>
        <w:rPr>
          <w:rFonts w:ascii="Calibri" w:hAnsi="Calibri" w:eastAsia="Calibri" w:cs="Calibri"/>
          <w:sz w:val="22"/>
        </w:rPr>
        <w:t xml:space="preserve">, </w:t>
      </w:r>
      <w:hyperlink r:id="rId35">
        <w:r>
          <w:rPr>
            <w:color w:val="2E74B5"/>
            <w:u w:val="single"/>
          </w:rPr>
          <w:t>`AegentRedemptionV2.sol:L122-L133`</w:t>
        </w:r>
      </w:hyperlink>
    </w:p>
    <w:p>
      <w:r>
        <w:rPr>
          <w:rFonts w:ascii="Consolas" w:hAnsi="Consolas" w:eastAsia="Consolas" w:cs="Consolas"/>
          <w:color w:val="1F4D78"/>
          <w:sz w:val="20"/>
        </w:rPr>
        <w:t>PurchaseSettled</w:t>
      </w:r>
      <w:r>
        <w:rPr>
          <w:rFonts w:ascii="Calibri" w:hAnsi="Calibri" w:eastAsia="Calibri" w:cs="Calibri"/>
          <w:sz w:val="22"/>
        </w:rPr>
        <w:t xml:space="preserve"> omits active mode and </w:t>
      </w:r>
      <w:r>
        <w:rPr>
          <w:rFonts w:ascii="Consolas" w:hAnsi="Consolas" w:eastAsia="Consolas" w:cs="Consolas"/>
          <w:color w:val="1F4D78"/>
          <w:sz w:val="20"/>
        </w:rPr>
        <w:t>configVersion</w:t>
      </w:r>
      <w:r>
        <w:rPr>
          <w:rFonts w:ascii="Calibri" w:hAnsi="Calibri" w:eastAsia="Calibri" w:cs="Calibri"/>
          <w:sz w:val="22"/>
        </w:rPr>
        <w:t xml:space="preserve">. </w:t>
      </w:r>
      <w:r>
        <w:rPr>
          <w:rFonts w:ascii="Consolas" w:hAnsi="Consolas" w:eastAsia="Consolas" w:cs="Consolas"/>
          <w:color w:val="1F4D78"/>
          <w:sz w:val="20"/>
        </w:rPr>
        <w:t>RedemptionSettled</w:t>
      </w:r>
      <w:r>
        <w:rPr>
          <w:rFonts w:ascii="Calibri" w:hAnsi="Calibri" w:eastAsia="Calibri" w:cs="Calibri"/>
          <w:sz w:val="22"/>
        </w:rPr>
        <w:t xml:space="preserve"> includes mode and execution nonce but omits </w:t>
      </w:r>
      <w:r>
        <w:rPr>
          <w:rFonts w:ascii="Consolas" w:hAnsi="Consolas" w:eastAsia="Consolas" w:cs="Consolas"/>
          <w:color w:val="1F4D78"/>
          <w:sz w:val="20"/>
        </w:rPr>
        <w:t>configVersion</w:t>
      </w:r>
      <w:r>
        <w:rPr>
          <w:rFonts w:ascii="Calibri" w:hAnsi="Calibri" w:eastAsia="Calibri" w:cs="Calibri"/>
          <w:sz w:val="22"/>
        </w:rPr>
        <w:t xml:space="preserve">, </w:t>
      </w:r>
      <w:r>
        <w:rPr>
          <w:rFonts w:ascii="Consolas" w:hAnsi="Consolas" w:eastAsia="Consolas" w:cs="Consolas"/>
          <w:color w:val="1F4D78"/>
          <w:sz w:val="20"/>
        </w:rPr>
        <w:t>rateVersion</w:t>
      </w:r>
      <w:r>
        <w:rPr>
          <w:rFonts w:ascii="Calibri" w:hAnsi="Calibri" w:eastAsia="Calibri" w:cs="Calibri"/>
          <w:sz w:val="22"/>
        </w:rPr>
        <w:t>, and the cost-basis indicator.</w:t>
      </w:r>
    </w:p>
    <w:p>
      <w:r>
        <w:rPr>
          <w:rFonts w:ascii="Calibri" w:hAnsi="Calibri" w:eastAsia="Calibri" w:cs="Calibri"/>
          <w:b/>
          <w:sz w:val="22"/>
        </w:rPr>
        <w:t>Impact:</w:t>
      </w:r>
      <w:r>
        <w:rPr>
          <w:rFonts w:ascii="Calibri" w:hAnsi="Calibri" w:eastAsia="Calibri" w:cs="Calibri"/>
          <w:sz w:val="22"/>
        </w:rPr>
        <w:t xml:space="preserve"> An indexer cannot reconstruct every governing settlement parameter solely from event logs. Block-state calls can supplement evidence but are less durable and more operationally complex.</w:t>
      </w:r>
    </w:p>
    <w:p>
      <w:r>
        <w:rPr>
          <w:rFonts w:ascii="Calibri" w:hAnsi="Calibri" w:eastAsia="Calibri" w:cs="Calibri"/>
          <w:b/>
          <w:sz w:val="22"/>
        </w:rPr>
        <w:t>Required remediation:</w:t>
      </w:r>
      <w:r>
        <w:rPr>
          <w:rFonts w:ascii="Calibri" w:hAnsi="Calibri" w:eastAsia="Calibri" w:cs="Calibri"/>
          <w:sz w:val="22"/>
        </w:rPr>
        <w:t xml:space="preserve"> Emit the omitted fields or a versioned configuration digest, and add event-schema regression tests.</w:t>
      </w:r>
    </w:p>
    <w:p>
      <w:pPr>
        <w:pStyle w:val="Heading1"/>
      </w:pPr>
      <w:r>
        <w:t>6. Verification matrix</w:t>
      </w:r>
    </w:p>
    <w:p>
      <w:pPr>
        <w:pStyle w:val="Heading2"/>
      </w:pPr>
      <w:r>
        <w:t>Toolchain</w:t>
      </w:r>
    </w:p>
    <w:tbl>
      <w:tblPr>
        <w:tblStyle w:val="TableGrid"/>
        <w:tblW w:type="dxa" w:w="9360"/>
        <w:jc w:val="center"/>
        <w:tblLayout w:type="fixed"/>
        <w:tblLook w:firstColumn="1" w:firstRow="1" w:lastColumn="0" w:lastRow="0" w:noHBand="0" w:noVBand="1" w:val="04A0"/>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Item</w:t>
            </w:r>
          </w:p>
        </w:tc>
        <w:tc>
          <w:tcPr>
            <w:tcW w:type="dxa" w:w="586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Version or setting</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Node.js</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v24.18.0</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npm</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11.16.0</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Hardhat</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2.29.0</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ethers</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6.17.0</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Solidity compiler</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0.8.24+commit.e11b9ed9</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Optimizer</w:t>
            </w:r>
          </w:p>
        </w:tc>
        <w:tc>
          <w:tcPr>
            <w:tcW w:type="dxa" w:w="5860"/>
            <w:vAlign w:val="center"/>
            <w:tcMar>
              <w:top w:w="80" w:type="dxa"/>
              <w:bottom w:w="80" w:type="dxa"/>
              <w:start w:w="120" w:type="dxa"/>
              <w:end w:w="120" w:type="dxa"/>
            </w:tcMar>
          </w:tcPr>
          <w:p>
            <w:pPr>
              <w:spacing w:before="0" w:after="40" w:line="240" w:lineRule="auto"/>
            </w:pPr>
            <w:r>
              <w:rPr>
                <w:rFonts w:ascii="Calibri" w:hAnsi="Calibri" w:eastAsia="Calibri" w:cs="Calibri"/>
                <w:sz w:val="18"/>
              </w:rPr>
              <w:t>enabled, 500 runs</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EVM target</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paris</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OpenZeppelin Contracts</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5.1.0</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solidity-coverage</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0.8.17</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Slither</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0.11.5</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crytic-compile</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0.3.11</w:t>
            </w:r>
          </w:p>
        </w:tc>
      </w:tr>
    </w:tbl>
    <w:p>
      <w:pPr>
        <w:spacing w:before="0" w:after="40"/>
      </w:pPr>
    </w:p>
    <w:p>
      <w:pPr>
        <w:pStyle w:val="Heading2"/>
      </w:pPr>
      <w:r>
        <w:t>Dynamic tests</w:t>
      </w:r>
    </w:p>
    <w:p>
      <w:pPr>
        <w:pStyle w:val="ListBullet"/>
      </w:pPr>
      <w:r>
        <w:rPr>
          <w:rFonts w:ascii="Calibri" w:hAnsi="Calibri" w:eastAsia="Calibri" w:cs="Calibri"/>
          <w:sz w:val="22"/>
        </w:rPr>
        <w:t xml:space="preserve">Command: </w:t>
      </w:r>
      <w:r>
        <w:rPr>
          <w:rFonts w:ascii="Consolas" w:hAnsi="Consolas" w:eastAsia="Consolas" w:cs="Consolas"/>
          <w:color w:val="1F4D78"/>
          <w:sz w:val="20"/>
        </w:rPr>
        <w:t>npm.cmd test</w:t>
      </w:r>
    </w:p>
    <w:p>
      <w:pPr>
        <w:pStyle w:val="ListBullet"/>
      </w:pPr>
      <w:r>
        <w:rPr>
          <w:rFonts w:ascii="Calibri" w:hAnsi="Calibri" w:eastAsia="Calibri" w:cs="Calibri"/>
          <w:sz w:val="22"/>
        </w:rPr>
        <w:t xml:space="preserve">Result: </w:t>
      </w:r>
      <w:r>
        <w:rPr>
          <w:rFonts w:ascii="Calibri" w:hAnsi="Calibri" w:eastAsia="Calibri" w:cs="Calibri"/>
          <w:b/>
          <w:sz w:val="22"/>
        </w:rPr>
        <w:t>42 passing, 0 failing</w:t>
      </w:r>
    </w:p>
    <w:p>
      <w:pPr>
        <w:pStyle w:val="ListBullet"/>
      </w:pPr>
      <w:r>
        <w:rPr>
          <w:rFonts w:ascii="Calibri" w:hAnsi="Calibri" w:eastAsia="Calibri" w:cs="Calibri"/>
          <w:sz w:val="22"/>
        </w:rPr>
        <w:t>Included coverage of market scheduling/modes, limited windows, native/stable purchases, stale/depegged feeds, cost-basis refunds, claims, reserves, limits, rate delay, execution nonce/replay, integration, and deployment-script safety.</w:t>
      </w:r>
    </w:p>
    <w:p>
      <w:pPr>
        <w:pStyle w:val="ListBullet"/>
      </w:pPr>
      <w:r>
        <w:rPr>
          <w:rFonts w:ascii="Calibri" w:hAnsi="Calibri" w:eastAsia="Calibri" w:cs="Calibri"/>
          <w:sz w:val="22"/>
        </w:rPr>
        <w:t>Passing tests do not establish correctness for untested states or deployment configuration.</w:t>
      </w:r>
    </w:p>
    <w:p>
      <w:pPr>
        <w:pStyle w:val="Heading2"/>
      </w:pPr>
      <w:r>
        <w:t>Coverage</w:t>
      </w:r>
    </w:p>
    <w:tbl>
      <w:tblPr>
        <w:tblStyle w:val="TableGrid"/>
        <w:tblW w:type="dxa" w:w="9360"/>
        <w:jc w:val="center"/>
        <w:tblLayout w:type="fixed"/>
        <w:tblLook w:firstColumn="1" w:firstRow="1" w:lastColumn="0" w:lastRow="0" w:noHBand="0" w:noVBand="1" w:val="04A0"/>
        <w:tblInd w:w="120" w:type="dxa"/>
      </w:tblPr>
      <w:tblGrid>
        <w:gridCol w:w="1350"/>
        <w:gridCol w:w="1800"/>
        <w:gridCol w:w="2070"/>
        <w:gridCol w:w="2070"/>
        <w:gridCol w:w="2070"/>
      </w:tblGrid>
      <w:tr>
        <w:trPr>
          <w:cantSplit/>
          <w:tblHeader w:val="true"/>
        </w:trPr>
        <w:tc>
          <w:tcPr>
            <w:tcW w:type="dxa" w:w="135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Scope</w:t>
            </w:r>
          </w:p>
        </w:tc>
        <w:tc>
          <w:tcPr>
            <w:tcW w:type="dxa" w:w="18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Statements</w:t>
            </w:r>
          </w:p>
        </w:tc>
        <w:tc>
          <w:tcPr>
            <w:tcW w:type="dxa" w:w="207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Branches</w:t>
            </w:r>
          </w:p>
        </w:tc>
        <w:tc>
          <w:tcPr>
            <w:tcW w:type="dxa" w:w="207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Functions</w:t>
            </w:r>
          </w:p>
        </w:tc>
        <w:tc>
          <w:tcPr>
            <w:tcW w:type="dxa" w:w="207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Lines</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All instrumented files</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89.32% (301/337)</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56.81% (242/426)</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77.50% (62/80)</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78.67% (472/600)</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Four core contracts</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89.67% (295/329)</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56.40% (238/422)</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85.07% (57/67)</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79.72% (460/577)</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Market Registry</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92.45% (49/53)</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65.00% (52/80)</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100% (12/12)</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90.22% (83/92)</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Redemption V2</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96.20% (152/158)</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51.09% (94/184)</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92.31% (24/26)</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80.59% (220/273)</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Sale Proceeds Vault</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70.00% (14/20)</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50.00% (16/32)</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60.00% (3/5)</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65.63% (21/32)</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Swap V2</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81.63% (80/98)</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60.32% (76/126)</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75.00% (18/24)</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75.56% (136/180)</w:t>
            </w:r>
          </w:p>
        </w:tc>
      </w:tr>
    </w:tbl>
    <w:p>
      <w:pPr>
        <w:spacing w:before="0" w:after="40"/>
      </w:pPr>
    </w:p>
    <w:p>
      <w:r>
        <w:rPr>
          <w:rFonts w:ascii="Calibri" w:hAnsi="Calibri" w:eastAsia="Calibri" w:cs="Calibri"/>
          <w:sz w:val="22"/>
        </w:rPr>
        <w:t>Coverage instrumentation expands branch counts and does not prove the absence of defects. Withdrawal failures, extreme oracle values, recovery behavior, and time-boundary bursts need additional targeted tests.</w:t>
      </w:r>
    </w:p>
    <w:p>
      <w:pPr>
        <w:pStyle w:val="Heading2"/>
      </w:pPr>
      <w:r>
        <w:t>Static analysis</w:t>
      </w:r>
    </w:p>
    <w:p>
      <w:r>
        <w:rPr>
          <w:rFonts w:ascii="Calibri" w:hAnsi="Calibri" w:eastAsia="Calibri" w:cs="Calibri"/>
          <w:sz w:val="22"/>
        </w:rPr>
        <w:t xml:space="preserve">Slither completed successfully and produced </w:t>
      </w:r>
      <w:r>
        <w:rPr>
          <w:rFonts w:ascii="Calibri" w:hAnsi="Calibri" w:eastAsia="Calibri" w:cs="Calibri"/>
          <w:b/>
          <w:sz w:val="22"/>
        </w:rPr>
        <w:t>55 raw detector entries</w:t>
      </w:r>
      <w:r>
        <w:rPr>
          <w:rFonts w:ascii="Calibri" w:hAnsi="Calibri" w:eastAsia="Calibri" w:cs="Calibri"/>
          <w:sz w:val="22"/>
        </w:rPr>
        <w:t>:</w:t>
      </w:r>
    </w:p>
    <w:tbl>
      <w:tblPr>
        <w:tblStyle w:val="TableGrid"/>
        <w:tblW w:type="dxa" w:w="9360"/>
        <w:jc w:val="center"/>
        <w:tblLayout w:type="fixed"/>
        <w:tblLook w:firstColumn="1" w:firstRow="1" w:lastColumn="0" w:lastRow="0" w:noHBand="0" w:noVBand="1" w:val="04A0"/>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Tool classification</w:t>
            </w:r>
          </w:p>
        </w:tc>
        <w:tc>
          <w:tcPr>
            <w:tcW w:type="dxa" w:w="586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Count</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Medium</w:t>
            </w:r>
          </w:p>
        </w:tc>
        <w:tc>
          <w:tcPr>
            <w:tcW w:type="dxa" w:w="5860"/>
            <w:vAlign w:val="center"/>
            <w:tcMar>
              <w:top w:w="80" w:type="dxa"/>
              <w:bottom w:w="80" w:type="dxa"/>
              <w:start w:w="120" w:type="dxa"/>
              <w:end w:w="120" w:type="dxa"/>
            </w:tcMar>
          </w:tcPr>
          <w:p>
            <w:pPr>
              <w:spacing w:before="0" w:after="40" w:line="240" w:lineRule="auto"/>
            </w:pPr>
            <w:r>
              <w:rPr>
                <w:rFonts w:ascii="Calibri" w:hAnsi="Calibri" w:eastAsia="Calibri" w:cs="Calibri"/>
                <w:sz w:val="18"/>
              </w:rPr>
              <w:t>24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Low</w:t>
            </w:r>
          </w:p>
        </w:tc>
        <w:tc>
          <w:tcPr>
            <w:tcW w:type="dxa" w:w="5860"/>
            <w:vAlign w:val="center"/>
            <w:tcMar>
              <w:top w:w="80" w:type="dxa"/>
              <w:bottom w:w="80" w:type="dxa"/>
              <w:start w:w="120" w:type="dxa"/>
              <w:end w:w="120" w:type="dxa"/>
            </w:tcMar>
          </w:tcPr>
          <w:p>
            <w:pPr>
              <w:spacing w:before="0" w:after="40" w:line="240" w:lineRule="auto"/>
            </w:pPr>
            <w:r>
              <w:rPr>
                <w:rFonts w:ascii="Calibri" w:hAnsi="Calibri" w:eastAsia="Calibri" w:cs="Calibri"/>
                <w:sz w:val="18"/>
              </w:rPr>
              <w:t>27</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Informational</w:t>
            </w:r>
          </w:p>
        </w:tc>
        <w:tc>
          <w:tcPr>
            <w:tcW w:type="dxa" w:w="5860"/>
            <w:vAlign w:val="center"/>
            <w:tcMar>
              <w:top w:w="80" w:type="dxa"/>
              <w:bottom w:w="80" w:type="dxa"/>
              <w:start w:w="120" w:type="dxa"/>
              <w:end w:w="120" w:type="dxa"/>
            </w:tcMar>
          </w:tcPr>
          <w:p>
            <w:pPr>
              <w:spacing w:before="0" w:after="40" w:line="240" w:lineRule="auto"/>
            </w:pPr>
            <w:r>
              <w:rPr>
                <w:rFonts w:ascii="Calibri" w:hAnsi="Calibri" w:eastAsia="Calibri" w:cs="Calibri"/>
                <w:sz w:val="18"/>
              </w:rPr>
              <w:t>4</w:t>
            </w:r>
          </w:p>
        </w:tc>
      </w:tr>
    </w:tbl>
    <w:p>
      <w:pPr>
        <w:spacing w:before="0" w:after="40"/>
      </w:pP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Detector</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Count</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Manual disposition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incorrect-equality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15</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Intended zero, enum, sentinel, and exact-entitlement checks</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locked-ether</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Forced-native/recovery liveness captured in INFO-02</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uninitialized-local</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7</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Solidity zero initialization with guarded assignments</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unused-return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 xml:space="preserve">Ignored </w:t>
            </w:r>
            <w:r>
              <w:rPr>
                <w:rFonts w:ascii="Consolas" w:hAnsi="Consolas" w:eastAsia="Consolas" w:cs="Consolas"/>
                <w:color w:val="1F4D78"/>
                <w:sz w:val="16"/>
              </w:rPr>
              <w:t>startedAt</w:t>
            </w:r>
            <w:r>
              <w:rPr>
                <w:rFonts w:ascii="Calibri" w:hAnsi="Calibri" w:eastAsia="Calibri" w:cs="Calibri"/>
                <w:sz w:val="18"/>
              </w:rPr>
              <w:t xml:space="preserve">; </w:t>
            </w:r>
            <w:r>
              <w:rPr>
                <w:rFonts w:ascii="Consolas" w:hAnsi="Consolas" w:eastAsia="Consolas" w:cs="Consolas"/>
                <w:color w:val="1F4D78"/>
                <w:sz w:val="16"/>
              </w:rPr>
              <w:t>updatedAt</w:t>
            </w:r>
            <w:r>
              <w:rPr>
                <w:rFonts w:ascii="Calibri" w:hAnsi="Calibri" w:eastAsia="Calibri" w:cs="Calibri"/>
                <w:sz w:val="18"/>
              </w:rPr>
              <w:t xml:space="preserve"> and round ordering are checked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missing-zero-check</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Mock-only result, outside production source scope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reentrancy-events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Fixed beneficiary/full-balance release; liveness remains, no repeatable withdrawal</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timestamp</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25</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Intended schedules/deadlines; actionable boundary retained as LOW-01</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pragma</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Version convention, no separate security finding</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cyclomatic-complexity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Maintainability/testability warning for redemption validation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low-level-calls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2</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Restricted vault/beneficiary native-value flows</w:t>
            </w:r>
          </w:p>
        </w:tc>
      </w:tr>
    </w:tbl>
    <w:p>
      <w:pPr>
        <w:spacing w:before="0" w:after="40"/>
      </w:pPr>
    </w:p>
    <w:p>
      <w:r>
        <w:rPr>
          <w:rFonts w:ascii="Calibri" w:hAnsi="Calibri" w:eastAsia="Calibri" w:cs="Calibri"/>
          <w:sz w:val="22"/>
        </w:rPr>
        <w:t>Raw static-analysis entries are heuristic. The accepted result remains 0 Critical, 0 High, 3 Medium, 1 Low, and 3 Informational.</w:t>
      </w:r>
    </w:p>
    <w:p>
      <w:pPr>
        <w:pStyle w:val="Heading1"/>
      </w:pPr>
      <w:r>
        <w:t>7. Mainnet remediation gates</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Gate</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Required evidence</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Current state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G-01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MED-01 cumulative/signed review control and negative tests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Open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G-02</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MED-02 purchase-time collateral invariant for all payment assets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Open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G-03</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MED-03 feed registry, heartbeat, bounds, deviation, pause tests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Open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G-04</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LOW-01 rolling-window implementation or formally accepted burst model</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Open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G-05</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Multisig/timelock role plan and on-chain verification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Not assessed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G-06</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Beneficiary payable test and explicit asset-recovery policy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Open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G-07</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Versioned settlement evidence and indexer schema</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Open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G-08</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Final source freeze, repeat tests/coverage/Slither, line-by-line retest</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Not performed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G-09</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Deployed bytecode/source/constructor/address/role/oracle equality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Not supplied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G-10</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Reserve funding, endpoint binding, pause state, and minimal-wallet acceptance receipts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Not supplied</w:t>
            </w:r>
          </w:p>
        </w:tc>
      </w:tr>
    </w:tbl>
    <w:p>
      <w:pPr>
        <w:spacing w:before="0" w:after="40"/>
      </w:pPr>
    </w:p>
    <w:p>
      <w:pPr>
        <w:pStyle w:val="Heading1"/>
      </w:pPr>
      <w:r>
        <w:t>8. Limitations</w:t>
      </w:r>
    </w:p>
    <w:p>
      <w:pPr>
        <w:pStyle w:val="ListBullet"/>
      </w:pPr>
      <w:r>
        <w:rPr>
          <w:rFonts w:ascii="Calibri" w:hAnsi="Calibri" w:eastAsia="Calibri" w:cs="Calibri"/>
          <w:sz w:val="22"/>
        </w:rPr>
        <w:t>This is a first-party review and not an independent certification.</w:t>
      </w:r>
    </w:p>
    <w:p>
      <w:pPr>
        <w:pStyle w:val="ListBullet"/>
      </w:pPr>
      <w:r>
        <w:rPr>
          <w:rFonts w:ascii="Calibri" w:hAnsi="Calibri" w:eastAsia="Calibri" w:cs="Calibri"/>
          <w:sz w:val="22"/>
        </w:rPr>
        <w:t>The assessment applies only to the listed SHA-256 snapshot. Any byte change requires comparison and, where material, retest.</w:t>
      </w:r>
    </w:p>
    <w:p>
      <w:pPr>
        <w:pStyle w:val="ListBullet"/>
      </w:pPr>
      <w:r>
        <w:rPr>
          <w:rFonts w:ascii="Calibri" w:hAnsi="Calibri" w:eastAsia="Calibri" w:cs="Calibri"/>
          <w:sz w:val="22"/>
        </w:rPr>
        <w:t>No deployed bytecode, constructor arguments, live roles, reserve balances, oracle registry, or transaction receipt was assessed.</w:t>
      </w:r>
    </w:p>
    <w:p>
      <w:pPr>
        <w:pStyle w:val="ListBullet"/>
      </w:pPr>
      <w:r>
        <w:rPr>
          <w:rFonts w:ascii="Calibri" w:hAnsi="Calibri" w:eastAsia="Calibri" w:cs="Calibri"/>
          <w:sz w:val="22"/>
        </w:rPr>
        <w:t>No fuzzing campaign, stateful invariant engine, symbolic execution, formal verification, economic simulation, or key-compromise exercise was performed.</w:t>
      </w:r>
    </w:p>
    <w:p>
      <w:pPr>
        <w:pStyle w:val="ListBullet"/>
      </w:pPr>
      <w:r>
        <w:rPr>
          <w:rFonts w:ascii="Calibri" w:hAnsi="Calibri" w:eastAsia="Calibri" w:cs="Calibri"/>
          <w:sz w:val="22"/>
        </w:rPr>
        <w:t>External token and oracle behavior was assumed from the supplied interfaces.</w:t>
      </w:r>
    </w:p>
    <w:p>
      <w:pPr>
        <w:pStyle w:val="ListBullet"/>
      </w:pPr>
      <w:r>
        <w:rPr>
          <w:rFonts w:ascii="Calibri" w:hAnsi="Calibri" w:eastAsia="Calibri" w:cs="Calibri"/>
          <w:sz w:val="22"/>
        </w:rPr>
        <w:t>Static-analysis classifications are heuristic and were manually triaged.</w:t>
      </w:r>
    </w:p>
    <w:p>
      <w:pPr>
        <w:pStyle w:val="ListBullet"/>
      </w:pPr>
      <w:r>
        <w:rPr>
          <w:rFonts w:ascii="Calibri" w:hAnsi="Calibri" w:eastAsia="Calibri" w:cs="Calibri"/>
          <w:sz w:val="22"/>
        </w:rPr>
        <w:t>The isolated coverage dependency tree is test-only and not part of production.</w:t>
      </w:r>
    </w:p>
    <w:p>
      <w:pPr>
        <w:pStyle w:val="Heading1"/>
      </w:pPr>
      <w:r>
        <w:t>9. Conclusion</w:t>
      </w:r>
    </w:p>
    <w:p>
      <w:r>
        <w:rPr>
          <w:rFonts w:ascii="Calibri" w:hAnsi="Calibri" w:eastAsia="Calibri" w:cs="Calibri"/>
          <w:sz w:val="22"/>
        </w:rPr>
        <w:t>The reviewed snapshot has meaningful transaction-integrity and accounting controls, and the assessment did not identify a Critical or High-severity issue. The three Medium findings leave unresolved financial-availability, risk-policy, and pricing-integrity exposure.</w:t>
      </w:r>
    </w:p>
    <w:p>
      <w:r>
        <w:rPr>
          <w:rFonts w:ascii="Calibri" w:hAnsi="Calibri" w:eastAsia="Calibri" w:cs="Calibri"/>
          <w:b/>
          <w:sz w:val="22"/>
        </w:rPr>
        <w:t>Final disposition: remediation required before mainnet.</w:t>
      </w:r>
    </w:p>
    <w:sectPr w:rsidR="00FC693F" w:rsidRPr="0006063C" w:rsidSect="00034616">
      <w:headerReference w:type="first" r:id="rId9"/>
      <w:headerReference w:type="default" r:id="rId10"/>
      <w:footerReference w:type="first" r:id="rId11"/>
      <w:footerReference w:type="default" r:id="rId12"/>
      <w:pgSz w:w="12240" w:h="15840"/>
      <w:pgMar w:top="1123" w:right="1440" w:bottom="1037"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color w:val="5C6773"/>
        <w:sz w:val="16"/>
      </w:rPr>
      <w:t xml:space="preserve">AEGENT Security Review Team  •  2026-07-29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color w:val="5C6773"/>
        <w:sz w:val="16"/>
      </w:rPr>
      <w:t xml:space="preserve">AEGENT Security Review Team  •  2026-07-29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cs="Calibri"/>
        <w:b/>
        <w:color w:val="5C6773"/>
        <w:sz w:val="17"/>
      </w:rPr>
      <w:t>AEGENT SECURITY  •  PUBLIC TECHNICAL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Calibri" w:cs="Calibri"/>
        <w:b/>
        <w:color w:val="1F4D78"/>
        <w:sz w:val="17"/>
      </w:rPr>
      <w:t>AEGENT SECURITY</w:t>
    </w:r>
    <w:r>
      <w:rPr>
        <w:rFonts w:ascii="Calibri" w:hAnsi="Calibri" w:eastAsia="Calibri" w:cs="Calibri"/>
        <w:color w:val="5C6773"/>
        <w:sz w:val="17"/>
      </w:rPr>
      <w:t xml:space="preserve">    AEGENT V2 Smart-Contract Assurance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yxmail888-boop/aegent-security-reports/blob/main/source-snapshot/contracts/AegentRedemptionV2.sol#L190-L227" TargetMode="External"/><Relationship Id="rId15" Type="http://schemas.openxmlformats.org/officeDocument/2006/relationships/hyperlink" Target="https://github.com/yxmail888-boop/aegent-security-reports/blob/main/source-snapshot/contracts/AegentRedemptionV2.sol#L694-L731" TargetMode="External"/><Relationship Id="rId16" Type="http://schemas.openxmlformats.org/officeDocument/2006/relationships/hyperlink" Target="https://github.com/yxmail888-boop/aegent-security-reports/blob/main/test-snapshot/AegentRedemptionV2.test.cjs#L454-L494" TargetMode="External"/><Relationship Id="rId17" Type="http://schemas.openxmlformats.org/officeDocument/2006/relationships/hyperlink" Target="https://github.com/yxmail888-boop/aegent-security-reports/blob/main/source-snapshot/contracts/AegentMarketRegistry.sol#L186-L227" TargetMode="External"/><Relationship Id="rId18" Type="http://schemas.openxmlformats.org/officeDocument/2006/relationships/hyperlink" Target="https://github.com/yxmail888-boop/aegent-security-reports/blob/main/source-snapshot/contracts/AegentSwapV2.sol#L249-L289" TargetMode="External"/><Relationship Id="rId19" Type="http://schemas.openxmlformats.org/officeDocument/2006/relationships/hyperlink" Target="https://github.com/yxmail888-boop/aegent-security-reports/blob/main/source-snapshot/contracts/AegentSwapV2.sol#L358-L380" TargetMode="External"/><Relationship Id="rId20" Type="http://schemas.openxmlformats.org/officeDocument/2006/relationships/hyperlink" Target="https://github.com/yxmail888-boop/aegent-security-reports/blob/main/source-snapshot/contracts/AegentRedemptionV2.sol#L522-L553" TargetMode="External"/><Relationship Id="rId21" Type="http://schemas.openxmlformats.org/officeDocument/2006/relationships/hyperlink" Target="https://github.com/yxmail888-boop/aegent-security-reports/blob/main/source-snapshot/contracts/AegentSaleProceedsVault.sol#L69-L100" TargetMode="External"/><Relationship Id="rId22" Type="http://schemas.openxmlformats.org/officeDocument/2006/relationships/hyperlink" Target="https://github.com/yxmail888-boop/aegent-security-reports/blob/main/test-snapshot/AegentRedemptionV2.test.cjs#L240-L274" TargetMode="External"/><Relationship Id="rId23" Type="http://schemas.openxmlformats.org/officeDocument/2006/relationships/hyperlink" Target="https://github.com/yxmail888-boop/aegent-security-reports/blob/main/test-snapshot/AegentV2Integration.test.cjs#L98-L107" TargetMode="External"/><Relationship Id="rId24" Type="http://schemas.openxmlformats.org/officeDocument/2006/relationships/hyperlink" Target="https://github.com/yxmail888-boop/aegent-security-reports/blob/main/source-snapshot/contracts/AegentSwapV2.sol#L165-L167" TargetMode="External"/><Relationship Id="rId25" Type="http://schemas.openxmlformats.org/officeDocument/2006/relationships/hyperlink" Target="https://github.com/yxmail888-boop/aegent-security-reports/blob/main/source-snapshot/contracts/AegentSwapV2.sol#L552-L618" TargetMode="External"/><Relationship Id="rId26" Type="http://schemas.openxmlformats.org/officeDocument/2006/relationships/hyperlink" Target="https://github.com/yxmail888-boop/aegent-security-reports/blob/main/test-snapshot/AegentSwapV2.test.cjs#L424-L468" TargetMode="External"/><Relationship Id="rId27" Type="http://schemas.openxmlformats.org/officeDocument/2006/relationships/hyperlink" Target="https://github.com/yxmail888-boop/aegent-security-reports/blob/main/source-snapshot/contracts/AegentRedemptionV2.sol#L713-L731" TargetMode="External"/><Relationship Id="rId28" Type="http://schemas.openxmlformats.org/officeDocument/2006/relationships/hyperlink" Target="https://github.com/yxmail888-boop/aegent-security-reports/blob/main/source-snapshot/contracts/AegentMarketRegistry.sol#L96-L162" TargetMode="External"/><Relationship Id="rId29" Type="http://schemas.openxmlformats.org/officeDocument/2006/relationships/hyperlink" Target="https://github.com/yxmail888-boop/aegent-security-reports/blob/main/source-snapshot/contracts/AegentSwapV2.sol#L339-L355" TargetMode="External"/><Relationship Id="rId30" Type="http://schemas.openxmlformats.org/officeDocument/2006/relationships/hyperlink" Target="https://github.com/yxmail888-boop/aegent-security-reports/blob/main/source-snapshot/contracts/AegentRedemptionV2.sol#L426-L516" TargetMode="External"/><Relationship Id="rId31" Type="http://schemas.openxmlformats.org/officeDocument/2006/relationships/hyperlink" Target="https://github.com/yxmail888-boop/aegent-security-reports/blob/main/source-snapshot/contracts/AegentSaleProceedsVault.sol#L30-L93" TargetMode="External"/><Relationship Id="rId32" Type="http://schemas.openxmlformats.org/officeDocument/2006/relationships/hyperlink" Target="https://github.com/yxmail888-boop/aegent-security-reports/blob/main/source-snapshot/contracts/AegentSwapV2.sol#L671-L672" TargetMode="External"/><Relationship Id="rId33" Type="http://schemas.openxmlformats.org/officeDocument/2006/relationships/hyperlink" Target="https://github.com/yxmail888-boop/aegent-security-reports/blob/main/source-snapshot/contracts/AegentRedemptionV2.sol#L895-L897" TargetMode="External"/><Relationship Id="rId34" Type="http://schemas.openxmlformats.org/officeDocument/2006/relationships/hyperlink" Target="https://github.com/yxmail888-boop/aegent-security-reports/blob/main/source-snapshot/contracts/AegentSwapV2.sol#L81-L90" TargetMode="External"/><Relationship Id="rId35" Type="http://schemas.openxmlformats.org/officeDocument/2006/relationships/hyperlink" Target="https://github.com/yxmail888-boop/aegent-security-reports/blob/main/source-snapshot/contracts/AegentRedemptionV2.sol#L122-L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AEGENT V2 Smart-Contract Assurance Matrix</dc:title>
  <dc:subject>Assurance Matrix / Evidence-Oriented Profile</dc:subject>
  <dc:creator>AEGENT Security Review Team</dc:creator>
  <cp:keywords>AEGENT, smart contract, security assessment, BNB Chain</cp:keywords>
  <dc:description>Public point-in-time technical assessment</dc:description>
  <cp:lastModifiedBy>AEGENT Security Review Team</cp:lastModifiedBy>
  <cp:revision>1</cp:revision>
  <dcterms:created xsi:type="dcterms:W3CDTF">2026-07-29T17:09:41Z</dcterms:created>
  <dcterms:modified xsi:type="dcterms:W3CDTF">2026-07-29T17:09:41Z</dcterms:modified>
  <cp:category>Security Assessment</cp:category>
</cp:coreProperties>
</file>