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spacing w:after="320"/>
        <w:jc w:val="center"/>
      </w:pPr>
      <w:r>
        <w:drawing>
          <wp:inline xmlns:a="http://schemas.openxmlformats.org/drawingml/2006/main" xmlns:pic="http://schemas.openxmlformats.org/drawingml/2006/picture">
            <wp:extent cx="658368" cy="658368"/>
            <wp:docPr id="1" name="Picture 1" descr="AEGENT logo" title="AEGENT"/>
            <wp:cNvGraphicFramePr>
              <a:graphicFrameLocks noChangeAspect="1"/>
            </wp:cNvGraphicFramePr>
            <a:graphic>
              <a:graphicData uri="http://schemas.openxmlformats.org/drawingml/2006/picture">
                <pic:pic>
                  <pic:nvPicPr>
                    <pic:cNvPr id="0" name="AGNT_logo_256.png"/>
                    <pic:cNvPicPr/>
                  </pic:nvPicPr>
                  <pic:blipFill>
                    <a:blip r:embed="rId13"/>
                    <a:stretch>
                      <a:fillRect/>
                    </a:stretch>
                  </pic:blipFill>
                  <pic:spPr>
                    <a:xfrm>
                      <a:off x="0" y="0"/>
                      <a:ext cx="658368" cy="658368"/>
                    </a:xfrm>
                    <a:prstGeom prst="rect"/>
                  </pic:spPr>
                </pic:pic>
              </a:graphicData>
            </a:graphic>
          </wp:inline>
        </w:drawing>
      </w:r>
    </w:p>
    <w:p>
      <w:pPr>
        <w:spacing w:after="320"/>
        <w:jc w:val="center"/>
      </w:pPr>
      <w:r>
        <w:rPr>
          <w:rFonts w:ascii="Calibri" w:hAnsi="Calibri" w:eastAsia="Calibri" w:cs="Calibri"/>
          <w:b/>
          <w:color w:val="B8862E"/>
          <w:sz w:val="20"/>
        </w:rPr>
        <w:t>SMART-CONTRACT SECURITY ASSESSMENT</w:t>
      </w:r>
    </w:p>
    <w:p>
      <w:pPr>
        <w:spacing w:after="200"/>
        <w:jc w:val="center"/>
      </w:pPr>
      <w:r>
        <w:rPr>
          <w:rFonts w:ascii="Calibri" w:hAnsi="Calibri" w:eastAsia="Calibri" w:cs="Calibri"/>
          <w:b/>
          <w:color w:val="203748"/>
          <w:sz w:val="56"/>
        </w:rPr>
        <w:t>AEGENT V2 Smart-Contract Threat Model and Security Assessment</w:t>
      </w:r>
    </w:p>
    <w:p>
      <w:pPr>
        <w:spacing w:after="520"/>
        <w:jc w:val="center"/>
      </w:pPr>
      <w:r>
        <w:rPr>
          <w:rFonts w:ascii="Calibri" w:hAnsi="Calibri" w:eastAsia="Calibri" w:cs="Calibri"/>
          <w:color w:val="1F4D78"/>
          <w:sz w:val="28"/>
        </w:rPr>
        <w:t>Threat Model / Adversary-Oriented Profile</w:t>
      </w:r>
    </w:p>
    <w:p>
      <w:pPr>
        <w:spacing w:after="60"/>
        <w:jc w:val="center"/>
      </w:pPr>
      <w:r>
        <w:rPr>
          <w:rFonts w:ascii="Calibri" w:hAnsi="Calibri" w:eastAsia="Calibri" w:cs="Calibri"/>
          <w:b/>
          <w:color w:val="5C6773"/>
          <w:sz w:val="20"/>
        </w:rPr>
        <w:t xml:space="preserve">Author and issuer: </w:t>
      </w:r>
      <w:r>
        <w:rPr>
          <w:rFonts w:ascii="Calibri" w:hAnsi="Calibri" w:eastAsia="Calibri" w:cs="Calibri"/>
          <w:sz w:val="20"/>
        </w:rPr>
        <w:t>AEGENT Security Review Team</w:t>
      </w:r>
    </w:p>
    <w:p>
      <w:pPr>
        <w:spacing w:after="60"/>
        <w:jc w:val="center"/>
      </w:pPr>
      <w:r>
        <w:rPr>
          <w:rFonts w:ascii="Calibri" w:hAnsi="Calibri" w:eastAsia="Calibri" w:cs="Calibri"/>
          <w:b/>
          <w:color w:val="5C6773"/>
          <w:sz w:val="20"/>
        </w:rPr>
        <w:t xml:space="preserve">Assessment date: </w:t>
      </w:r>
      <w:r>
        <w:rPr>
          <w:rFonts w:ascii="Calibri" w:hAnsi="Calibri" w:eastAsia="Calibri" w:cs="Calibri"/>
          <w:sz w:val="20"/>
        </w:rPr>
        <w:t>2026-07-29</w:t>
      </w:r>
    </w:p>
    <w:p>
      <w:pPr>
        <w:spacing w:after="60"/>
        <w:jc w:val="center"/>
      </w:pPr>
      <w:r>
        <w:rPr>
          <w:rFonts w:ascii="Calibri" w:hAnsi="Calibri" w:eastAsia="Calibri" w:cs="Calibri"/>
          <w:b/>
          <w:color w:val="5C6773"/>
          <w:sz w:val="20"/>
        </w:rPr>
        <w:t xml:space="preserve">Target environment: </w:t>
      </w:r>
      <w:r>
        <w:rPr>
          <w:rFonts w:ascii="Calibri" w:hAnsi="Calibri" w:eastAsia="Calibri" w:cs="Calibri"/>
          <w:sz w:val="20"/>
        </w:rPr>
        <w:t>BNB Chain mainnet deployment candidate</w:t>
      </w:r>
    </w:p>
    <w:p>
      <w:pPr>
        <w:spacing w:after="60"/>
        <w:jc w:val="center"/>
      </w:pPr>
      <w:r>
        <w:rPr>
          <w:rFonts w:ascii="Calibri" w:hAnsi="Calibri" w:eastAsia="Calibri" w:cs="Calibri"/>
          <w:b/>
          <w:color w:val="5C6773"/>
          <w:sz w:val="20"/>
        </w:rPr>
        <w:t xml:space="preserve">Assessment type: </w:t>
      </w:r>
      <w:r>
        <w:rPr>
          <w:rFonts w:ascii="Calibri" w:hAnsi="Calibri" w:eastAsia="Calibri" w:cs="Calibri"/>
          <w:sz w:val="20"/>
        </w:rPr>
        <w:t>Point-in-time source review</w:t>
      </w:r>
    </w:p>
    <w:p>
      <w:pPr>
        <w:spacing w:before="360" w:after="360"/>
        <w:jc w:val="center"/>
        <w:shd w:fill="FFF4D6"/>
      </w:pPr>
      <w:r>
        <w:rPr>
          <w:rFonts w:ascii="Calibri" w:hAnsi="Calibri" w:eastAsia="Calibri" w:cs="Calibri"/>
          <w:b/>
          <w:color w:val="B8862E"/>
          <w:sz w:val="20"/>
        </w:rPr>
        <w:t xml:space="preserve">FINAL DISPOSITION  </w:t>
      </w:r>
      <w:r>
        <w:rPr>
          <w:rFonts w:ascii="Calibri" w:hAnsi="Calibri" w:eastAsia="Calibri" w:cs="Calibri"/>
          <w:b/>
          <w:sz w:val="22"/>
        </w:rPr>
        <w:t>remediation required before mainnet</w:t>
      </w:r>
    </w:p>
    <w:p>
      <w:pPr>
        <w:spacing w:before="200" w:after="0"/>
        <w:ind w:left="504" w:right="504"/>
        <w:shd w:fill="F6F8FA"/>
        <w:pBdr>
          <w:left w:val="single" w:sz="18" w:space="8" w:color="2E74B5"/>
        </w:pBdr>
      </w:pPr>
      <w:r>
        <w:rPr>
          <w:rFonts w:ascii="Calibri" w:hAnsi="Calibri" w:eastAsia="Calibri" w:cs="Calibri"/>
          <w:sz w:val="18"/>
        </w:rPr>
        <w:t>This report is authored and issued by the AEGENT Security Review Team. It is not authored, reviewed, endorsed, signed, certified, or issued by SlowMist, CertiK, OpenZeppelin, or another independent auditor. No third-party logo, signature, report identifier, certificate, or issuance claim appears in this document. The threat-model structure is project-owned.</w:t>
      </w:r>
    </w:p>
    <w:p>
      <w:r>
        <w:br w:type="page"/>
      </w:r>
    </w:p>
    <w:p>
      <w:pPr>
        <w:pStyle w:val="Heading1"/>
        <w:spacing w:before="0"/>
      </w:pPr>
      <w:r>
        <w:t>Contents</w:t>
      </w:r>
    </w:p>
    <w:p>
      <w:pPr>
        <w:spacing w:after="60"/>
        <w:ind w:left="360"/>
      </w:pPr>
      <w:r>
        <w:rPr>
          <w:rFonts w:ascii="Calibri" w:hAnsi="Calibri" w:eastAsia="Calibri" w:cs="Calibri"/>
          <w:b/>
          <w:color w:val="1F4D78"/>
          <w:sz w:val="21"/>
        </w:rPr>
        <w:t>1. Executive assessment</w:t>
      </w:r>
    </w:p>
    <w:p>
      <w:pPr>
        <w:spacing w:after="60"/>
        <w:ind w:left="360"/>
      </w:pPr>
      <w:r>
        <w:rPr>
          <w:rFonts w:ascii="Calibri" w:hAnsi="Calibri" w:eastAsia="Calibri" w:cs="Calibri"/>
          <w:b/>
          <w:color w:val="1F4D78"/>
          <w:sz w:val="21"/>
        </w:rPr>
        <w:t>2. Snapshot identity and scope boundary</w:t>
      </w:r>
    </w:p>
    <w:p>
      <w:pPr>
        <w:spacing w:after="60"/>
        <w:ind w:left="360"/>
      </w:pPr>
      <w:r>
        <w:rPr>
          <w:rFonts w:ascii="Calibri" w:hAnsi="Calibri" w:eastAsia="Calibri" w:cs="Calibri"/>
          <w:b/>
          <w:color w:val="1F4D78"/>
          <w:sz w:val="21"/>
        </w:rPr>
        <w:t>3. Security objectives</w:t>
      </w:r>
    </w:p>
    <w:p>
      <w:pPr>
        <w:spacing w:after="60"/>
        <w:ind w:left="360"/>
      </w:pPr>
      <w:r>
        <w:rPr>
          <w:rFonts w:ascii="Calibri" w:hAnsi="Calibri" w:eastAsia="Calibri" w:cs="Calibri"/>
          <w:b/>
          <w:color w:val="1F4D78"/>
          <w:sz w:val="21"/>
        </w:rPr>
        <w:t>4. Assets and adverse outcomes</w:t>
      </w:r>
    </w:p>
    <w:p>
      <w:pPr>
        <w:spacing w:after="60"/>
        <w:ind w:left="360"/>
      </w:pPr>
      <w:r>
        <w:rPr>
          <w:rFonts w:ascii="Calibri" w:hAnsi="Calibri" w:eastAsia="Calibri" w:cs="Calibri"/>
          <w:b/>
          <w:color w:val="1F4D78"/>
          <w:sz w:val="21"/>
        </w:rPr>
        <w:t>5. Actors and capabilities</w:t>
      </w:r>
    </w:p>
    <w:p>
      <w:pPr>
        <w:spacing w:after="60"/>
        <w:ind w:left="360"/>
      </w:pPr>
      <w:r>
        <w:rPr>
          <w:rFonts w:ascii="Calibri" w:hAnsi="Calibri" w:eastAsia="Calibri" w:cs="Calibri"/>
          <w:b/>
          <w:color w:val="1F4D78"/>
          <w:sz w:val="21"/>
        </w:rPr>
        <w:t>6. Trust boundaries</w:t>
      </w:r>
    </w:p>
    <w:p>
      <w:pPr>
        <w:spacing w:after="60"/>
        <w:ind w:left="763"/>
      </w:pPr>
      <w:r>
        <w:rPr>
          <w:rFonts w:ascii="Calibri" w:hAnsi="Calibri" w:eastAsia="Calibri" w:cs="Calibri"/>
          <w:color w:val="5C6773"/>
          <w:sz w:val="19"/>
        </w:rPr>
        <w:t>TB-01 — User wallet to purchase/redemption endpoints</w:t>
      </w:r>
    </w:p>
    <w:p>
      <w:pPr>
        <w:spacing w:after="60"/>
        <w:ind w:left="763"/>
      </w:pPr>
      <w:r>
        <w:rPr>
          <w:rFonts w:ascii="Calibri" w:hAnsi="Calibri" w:eastAsia="Calibri" w:cs="Calibri"/>
          <w:color w:val="5C6773"/>
          <w:sz w:val="19"/>
        </w:rPr>
        <w:t>TB-02 — Registry to execution endpoints</w:t>
      </w:r>
    </w:p>
    <w:p>
      <w:pPr>
        <w:spacing w:after="60"/>
        <w:ind w:left="763"/>
      </w:pPr>
      <w:r>
        <w:rPr>
          <w:rFonts w:ascii="Calibri" w:hAnsi="Calibri" w:eastAsia="Calibri" w:cs="Calibri"/>
          <w:color w:val="5C6773"/>
          <w:sz w:val="19"/>
        </w:rPr>
        <w:t>TB-03 — Oracle feeds to Swap</w:t>
      </w:r>
    </w:p>
    <w:p>
      <w:pPr>
        <w:spacing w:after="60"/>
        <w:ind w:left="763"/>
      </w:pPr>
      <w:r>
        <w:rPr>
          <w:rFonts w:ascii="Calibri" w:hAnsi="Calibri" w:eastAsia="Calibri" w:cs="Calibri"/>
          <w:color w:val="5C6773"/>
          <w:sz w:val="19"/>
        </w:rPr>
        <w:t>TB-04 — Token contracts to AEGENT accounting</w:t>
      </w:r>
    </w:p>
    <w:p>
      <w:pPr>
        <w:spacing w:after="60"/>
        <w:ind w:left="763"/>
      </w:pPr>
      <w:r>
        <w:rPr>
          <w:rFonts w:ascii="Calibri" w:hAnsi="Calibri" w:eastAsia="Calibri" w:cs="Calibri"/>
          <w:color w:val="5C6773"/>
          <w:sz w:val="19"/>
        </w:rPr>
        <w:t>TB-05 — Swap to Vault and Redemption</w:t>
      </w:r>
    </w:p>
    <w:p>
      <w:pPr>
        <w:spacing w:after="60"/>
        <w:ind w:left="763"/>
      </w:pPr>
      <w:r>
        <w:rPr>
          <w:rFonts w:ascii="Calibri" w:hAnsi="Calibri" w:eastAsia="Calibri" w:cs="Calibri"/>
          <w:color w:val="5C6773"/>
          <w:sz w:val="19"/>
        </w:rPr>
        <w:t>TB-06 — Owner to privileged state</w:t>
      </w:r>
    </w:p>
    <w:p>
      <w:pPr>
        <w:spacing w:after="60"/>
        <w:ind w:left="763"/>
      </w:pPr>
      <w:r>
        <w:rPr>
          <w:rFonts w:ascii="Calibri" w:hAnsi="Calibri" w:eastAsia="Calibri" w:cs="Calibri"/>
          <w:color w:val="5C6773"/>
          <w:sz w:val="19"/>
        </w:rPr>
        <w:t>TB-07 — Vault to immutable beneficiary</w:t>
      </w:r>
    </w:p>
    <w:p>
      <w:pPr>
        <w:spacing w:after="60"/>
        <w:ind w:left="763"/>
      </w:pPr>
      <w:r>
        <w:rPr>
          <w:rFonts w:ascii="Calibri" w:hAnsi="Calibri" w:eastAsia="Calibri" w:cs="Calibri"/>
          <w:color w:val="5C6773"/>
          <w:sz w:val="19"/>
        </w:rPr>
        <w:t>TB-08 — Events to off-chain accounting</w:t>
      </w:r>
    </w:p>
    <w:p>
      <w:pPr>
        <w:spacing w:after="60"/>
        <w:ind w:left="360"/>
      </w:pPr>
      <w:r>
        <w:rPr>
          <w:rFonts w:ascii="Calibri" w:hAnsi="Calibri" w:eastAsia="Calibri" w:cs="Calibri"/>
          <w:b/>
          <w:color w:val="1F4D78"/>
          <w:sz w:val="21"/>
        </w:rPr>
        <w:t>7. Critical data flows</w:t>
      </w:r>
    </w:p>
    <w:p>
      <w:pPr>
        <w:spacing w:after="60"/>
        <w:ind w:left="763"/>
      </w:pPr>
      <w:r>
        <w:rPr>
          <w:rFonts w:ascii="Calibri" w:hAnsi="Calibri" w:eastAsia="Calibri" w:cs="Calibri"/>
          <w:color w:val="5C6773"/>
          <w:sz w:val="19"/>
        </w:rPr>
        <w:t>7.1 Native BNB purchase</w:t>
      </w:r>
    </w:p>
    <w:p>
      <w:pPr>
        <w:spacing w:after="60"/>
        <w:ind w:left="763"/>
      </w:pPr>
      <w:r>
        <w:rPr>
          <w:rFonts w:ascii="Calibri" w:hAnsi="Calibri" w:eastAsia="Calibri" w:cs="Calibri"/>
          <w:color w:val="5C6773"/>
          <w:sz w:val="19"/>
        </w:rPr>
        <w:t>7.2 USDT/USDC purchase</w:t>
      </w:r>
    </w:p>
    <w:p>
      <w:pPr>
        <w:spacing w:after="60"/>
        <w:ind w:left="763"/>
      </w:pPr>
      <w:r>
        <w:rPr>
          <w:rFonts w:ascii="Calibri" w:hAnsi="Calibri" w:eastAsia="Calibri" w:cs="Calibri"/>
          <w:color w:val="5C6773"/>
          <w:sz w:val="19"/>
        </w:rPr>
        <w:t>7.3 Presale cost-basis refund</w:t>
      </w:r>
    </w:p>
    <w:p>
      <w:pPr>
        <w:spacing w:after="60"/>
        <w:ind w:left="763"/>
      </w:pPr>
      <w:r>
        <w:rPr>
          <w:rFonts w:ascii="Calibri" w:hAnsi="Calibri" w:eastAsia="Calibri" w:cs="Calibri"/>
          <w:color w:val="5C6773"/>
          <w:sz w:val="19"/>
        </w:rPr>
        <w:t>7.4 Post-launch redemption</w:t>
      </w:r>
    </w:p>
    <w:p>
      <w:pPr>
        <w:spacing w:after="60"/>
        <w:ind w:left="763"/>
      </w:pPr>
      <w:r>
        <w:rPr>
          <w:rFonts w:ascii="Calibri" w:hAnsi="Calibri" w:eastAsia="Calibri" w:cs="Calibri"/>
          <w:color w:val="5C6773"/>
          <w:sz w:val="19"/>
        </w:rPr>
        <w:t>7.5 Purchased-AGNT claim and withdrawals</w:t>
      </w:r>
    </w:p>
    <w:p>
      <w:pPr>
        <w:spacing w:after="60"/>
        <w:ind w:left="360"/>
      </w:pPr>
      <w:r>
        <w:rPr>
          <w:rFonts w:ascii="Calibri" w:hAnsi="Calibri" w:eastAsia="Calibri" w:cs="Calibri"/>
          <w:b/>
          <w:color w:val="1F4D78"/>
          <w:sz w:val="21"/>
        </w:rPr>
        <w:t>8. Adversarial scenario register</w:t>
      </w:r>
    </w:p>
    <w:p>
      <w:pPr>
        <w:spacing w:after="60"/>
        <w:ind w:left="360"/>
      </w:pPr>
      <w:r>
        <w:rPr>
          <w:rFonts w:ascii="Calibri" w:hAnsi="Calibri" w:eastAsia="Calibri" w:cs="Calibri"/>
          <w:b/>
          <w:color w:val="1F4D78"/>
          <w:sz w:val="21"/>
        </w:rPr>
        <w:t>9. STRIDE-oriented review</w:t>
      </w:r>
    </w:p>
    <w:p>
      <w:pPr>
        <w:spacing w:after="60"/>
        <w:ind w:left="360"/>
      </w:pPr>
      <w:r>
        <w:rPr>
          <w:rFonts w:ascii="Calibri" w:hAnsi="Calibri" w:eastAsia="Calibri" w:cs="Calibri"/>
          <w:b/>
          <w:color w:val="1F4D78"/>
          <w:sz w:val="21"/>
        </w:rPr>
        <w:t>10. Accepted findings</w:t>
      </w:r>
    </w:p>
    <w:p>
      <w:pPr>
        <w:spacing w:after="60"/>
        <w:ind w:left="763"/>
      </w:pPr>
      <w:r>
        <w:rPr>
          <w:rFonts w:ascii="Calibri" w:hAnsi="Calibri" w:eastAsia="Calibri" w:cs="Calibri"/>
          <w:color w:val="5C6773"/>
          <w:sz w:val="19"/>
        </w:rPr>
        <w:t>MED-01 — Manual-review threshold can be bypassed by splitting redemptions</w:t>
      </w:r>
    </w:p>
    <w:p>
      <w:pPr>
        <w:spacing w:after="60"/>
        <w:ind w:left="763"/>
      </w:pPr>
      <w:r>
        <w:rPr>
          <w:rFonts w:ascii="Calibri" w:hAnsi="Calibri" w:eastAsia="Calibri" w:cs="Calibri"/>
          <w:color w:val="5C6773"/>
          <w:sz w:val="19"/>
        </w:rPr>
        <w:t>MED-02 — Purchases can increase refund liability without enforced reserve collateral</w:t>
      </w:r>
    </w:p>
    <w:p>
      <w:pPr>
        <w:spacing w:after="60"/>
        <w:ind w:left="763"/>
      </w:pPr>
      <w:r>
        <w:rPr>
          <w:rFonts w:ascii="Calibri" w:hAnsi="Calibri" w:eastAsia="Calibri" w:cs="Calibri"/>
          <w:color w:val="5C6773"/>
          <w:sz w:val="19"/>
        </w:rPr>
        <w:t>MED-03 — Freshness-only oracle validation lacks bounds and deviation circuit breakers</w:t>
      </w:r>
    </w:p>
    <w:p>
      <w:pPr>
        <w:spacing w:after="60"/>
        <w:ind w:left="763"/>
      </w:pPr>
      <w:r>
        <w:rPr>
          <w:rFonts w:ascii="Calibri" w:hAnsi="Calibri" w:eastAsia="Calibri" w:cs="Calibri"/>
          <w:color w:val="5C6773"/>
          <w:sz w:val="19"/>
        </w:rPr>
        <w:t>LOW-01 — Fixed UTC daily buckets permit near-two-times throughput at a boundary</w:t>
      </w:r>
    </w:p>
    <w:p>
      <w:pPr>
        <w:spacing w:after="60"/>
        <w:ind w:left="763"/>
      </w:pPr>
      <w:r>
        <w:rPr>
          <w:rFonts w:ascii="Calibri" w:hAnsi="Calibri" w:eastAsia="Calibri" w:cs="Calibri"/>
          <w:color w:val="5C6773"/>
          <w:sz w:val="19"/>
        </w:rPr>
        <w:t>INFO-01 — Privileged controls do not enforce a multisig or general timelock</w:t>
      </w:r>
    </w:p>
    <w:p>
      <w:pPr>
        <w:spacing w:after="60"/>
        <w:ind w:left="763"/>
      </w:pPr>
      <w:r>
        <w:rPr>
          <w:rFonts w:ascii="Calibri" w:hAnsi="Calibri" w:eastAsia="Calibri" w:cs="Calibri"/>
          <w:color w:val="5C6773"/>
          <w:sz w:val="19"/>
        </w:rPr>
        <w:t>INFO-02 — Immutable recipients and narrow recovery paths create asset-liveness risk</w:t>
      </w:r>
    </w:p>
    <w:p>
      <w:pPr>
        <w:spacing w:after="60"/>
        <w:ind w:left="763"/>
      </w:pPr>
      <w:r>
        <w:rPr>
          <w:rFonts w:ascii="Calibri" w:hAnsi="Calibri" w:eastAsia="Calibri" w:cs="Calibri"/>
          <w:color w:val="5C6773"/>
          <w:sz w:val="19"/>
        </w:rPr>
        <w:t>INFO-03 — Settlement events omit configuration evidence needed for complete reconstruction</w:t>
      </w:r>
    </w:p>
    <w:p>
      <w:pPr>
        <w:spacing w:after="60"/>
        <w:ind w:left="360"/>
      </w:pPr>
      <w:r>
        <w:rPr>
          <w:rFonts w:ascii="Calibri" w:hAnsi="Calibri" w:eastAsia="Calibri" w:cs="Calibri"/>
          <w:b/>
          <w:color w:val="1F4D78"/>
          <w:sz w:val="21"/>
        </w:rPr>
        <w:t>11. Positive-control analysis</w:t>
      </w:r>
    </w:p>
    <w:p>
      <w:pPr>
        <w:spacing w:after="60"/>
        <w:ind w:left="360"/>
      </w:pPr>
      <w:r>
        <w:rPr>
          <w:rFonts w:ascii="Calibri" w:hAnsi="Calibri" w:eastAsia="Calibri" w:cs="Calibri"/>
          <w:b/>
          <w:color w:val="1F4D78"/>
          <w:sz w:val="21"/>
        </w:rPr>
        <w:t>12. Verification evidence</w:t>
      </w:r>
    </w:p>
    <w:p>
      <w:pPr>
        <w:spacing w:after="60"/>
        <w:ind w:left="763"/>
      </w:pPr>
      <w:r>
        <w:rPr>
          <w:rFonts w:ascii="Calibri" w:hAnsi="Calibri" w:eastAsia="Calibri" w:cs="Calibri"/>
          <w:color w:val="5C6773"/>
          <w:sz w:val="19"/>
        </w:rPr>
        <w:t>Dynamic tests</w:t>
      </w:r>
    </w:p>
    <w:p>
      <w:pPr>
        <w:spacing w:after="60"/>
        <w:ind w:left="763"/>
      </w:pPr>
      <w:r>
        <w:rPr>
          <w:rFonts w:ascii="Calibri" w:hAnsi="Calibri" w:eastAsia="Calibri" w:cs="Calibri"/>
          <w:color w:val="5C6773"/>
          <w:sz w:val="19"/>
        </w:rPr>
        <w:t>Coverage</w:t>
      </w:r>
    </w:p>
    <w:p>
      <w:pPr>
        <w:spacing w:after="60"/>
        <w:ind w:left="763"/>
      </w:pPr>
      <w:r>
        <w:rPr>
          <w:rFonts w:ascii="Calibri" w:hAnsi="Calibri" w:eastAsia="Calibri" w:cs="Calibri"/>
          <w:color w:val="5C6773"/>
          <w:sz w:val="19"/>
        </w:rPr>
        <w:t>Static analysis</w:t>
      </w:r>
    </w:p>
    <w:p>
      <w:pPr>
        <w:spacing w:after="60"/>
        <w:ind w:left="763"/>
      </w:pPr>
      <w:r>
        <w:rPr>
          <w:rFonts w:ascii="Calibri" w:hAnsi="Calibri" w:eastAsia="Calibri" w:cs="Calibri"/>
          <w:color w:val="5C6773"/>
          <w:sz w:val="19"/>
        </w:rPr>
        <w:t>Toolchain</w:t>
      </w:r>
    </w:p>
    <w:p>
      <w:pPr>
        <w:spacing w:after="60"/>
        <w:ind w:left="360"/>
      </w:pPr>
      <w:r>
        <w:rPr>
          <w:rFonts w:ascii="Calibri" w:hAnsi="Calibri" w:eastAsia="Calibri" w:cs="Calibri"/>
          <w:b/>
          <w:color w:val="1F4D78"/>
          <w:sz w:val="21"/>
        </w:rPr>
        <w:t>13. Remediation and retest strategy</w:t>
      </w:r>
    </w:p>
    <w:p>
      <w:pPr>
        <w:spacing w:after="60"/>
        <w:ind w:left="360"/>
      </w:pPr>
      <w:r>
        <w:rPr>
          <w:rFonts w:ascii="Calibri" w:hAnsi="Calibri" w:eastAsia="Calibri" w:cs="Calibri"/>
          <w:b/>
          <w:color w:val="1F4D78"/>
          <w:sz w:val="21"/>
        </w:rPr>
        <w:t>14. Limitations</w:t>
      </w:r>
    </w:p>
    <w:p>
      <w:pPr>
        <w:spacing w:after="60"/>
        <w:ind w:left="360"/>
      </w:pPr>
      <w:r>
        <w:rPr>
          <w:rFonts w:ascii="Calibri" w:hAnsi="Calibri" w:eastAsia="Calibri" w:cs="Calibri"/>
          <w:b/>
          <w:color w:val="1F4D78"/>
          <w:sz w:val="21"/>
        </w:rPr>
        <w:t>15. Conclusion</w:t>
      </w:r>
    </w:p>
    <w:p>
      <w:r>
        <w:br w:type="page"/>
      </w:r>
    </w:p>
    <w:p>
      <w:pPr>
        <w:pStyle w:val="Heading1"/>
      </w:pPr>
      <w:r>
        <w:t>1. Executive assessment</w:t>
      </w:r>
    </w:p>
    <w:p>
      <w:r>
        <w:rPr>
          <w:rFonts w:ascii="Calibri" w:hAnsi="Calibri" w:eastAsia="Calibri" w:cs="Calibri"/>
          <w:sz w:val="22"/>
        </w:rPr>
        <w:t>The AEGENT V2 contracts form a Registry-controlled purchase and redemption system:</w:t>
      </w:r>
    </w:p>
    <w:p>
      <w:pPr>
        <w:pStyle w:val="ListBullet"/>
      </w:pPr>
      <w:r>
        <w:rPr>
          <w:rFonts w:ascii="Calibri" w:hAnsi="Calibri" w:eastAsia="Calibri" w:cs="Calibri"/>
          <w:sz w:val="22"/>
        </w:rPr>
        <w:t>buyers exchange BNB, USDT, or USDC for AGNT under a scheduled phase and market mode;</w:t>
      </w:r>
    </w:p>
    <w:p>
      <w:pPr>
        <w:pStyle w:val="ListBullet"/>
      </w:pPr>
      <w:r>
        <w:rPr>
          <w:rFonts w:ascii="Calibri" w:hAnsi="Calibri" w:eastAsia="Calibri" w:cs="Calibri"/>
          <w:sz w:val="22"/>
        </w:rPr>
        <w:t>purchase proceeds move to a time-locked vault;</w:t>
      </w:r>
    </w:p>
    <w:p>
      <w:pPr>
        <w:pStyle w:val="ListBullet"/>
      </w:pPr>
      <w:r>
        <w:rPr>
          <w:rFonts w:ascii="Calibri" w:hAnsi="Calibri" w:eastAsia="Calibri" w:cs="Calibri"/>
          <w:sz w:val="22"/>
        </w:rPr>
        <w:t>wallet purchase receipts create cost-basis refund and AGNT-claim accounting;</w:t>
      </w:r>
    </w:p>
    <w:p>
      <w:pPr>
        <w:pStyle w:val="ListBullet"/>
      </w:pPr>
      <w:r>
        <w:rPr>
          <w:rFonts w:ascii="Calibri" w:hAnsi="Calibri" w:eastAsia="Calibri" w:cs="Calibri"/>
          <w:sz w:val="22"/>
        </w:rPr>
        <w:t>redemptions operate either as presale cost-basis refunds or post-launch AGNT-for-USDT settlement;</w:t>
      </w:r>
    </w:p>
    <w:p>
      <w:pPr>
        <w:pStyle w:val="ListBullet"/>
      </w:pPr>
      <w:r>
        <w:rPr>
          <w:rFonts w:ascii="Calibri" w:hAnsi="Calibri" w:eastAsia="Calibri" w:cs="Calibri"/>
          <w:sz w:val="22"/>
        </w:rPr>
        <w:t>owner controls govern modes, windows, delayed post-launch rates, reserves, and eligible withdrawals.</w:t>
      </w:r>
    </w:p>
    <w:p>
      <w:r>
        <w:rPr>
          <w:rFonts w:ascii="Calibri" w:hAnsi="Calibri" w:eastAsia="Calibri" w:cs="Calibri"/>
          <w:sz w:val="22"/>
        </w:rPr>
        <w:t>The assessment modeled malicious buyers, malicious redeemers, stale or anomalous oracle values, privileged-key compromise, hostile or nonstandard tokens, rejecting beneficiaries, replayed calldata, stale market configuration, underfunded reserves, and incomplete settlement evidence.</w:t>
      </w:r>
    </w:p>
    <w:p>
      <w:r>
        <w:rPr>
          <w:rFonts w:ascii="Calibri" w:hAnsi="Calibri" w:eastAsia="Calibri" w:cs="Calibri"/>
          <w:sz w:val="22"/>
        </w:rPr>
        <w:t>No Critical or High-severity issue was identified in the reviewed bytes. Seven findings remain open:</w:t>
      </w:r>
    </w:p>
    <w:tbl>
      <w:tblPr>
        <w:tblStyle w:val="TableGrid"/>
        <w:tblW w:type="dxa" w:w="9360"/>
        <w:jc w:val="center"/>
        <w:tblLayout w:type="fixed"/>
        <w:tblLook w:firstColumn="1" w:firstRow="1" w:lastColumn="0" w:lastRow="0" w:noHBand="0" w:noVBand="1" w:val="04A0"/>
        <w:tblInd w:w="120" w:type="dxa"/>
      </w:tblPr>
      <w:tblGrid>
        <w:gridCol w:w="3500"/>
        <w:gridCol w:w="5860"/>
      </w:tblGrid>
      <w:tr>
        <w:trPr>
          <w:cantSplit/>
          <w:tblHeader w:val="true"/>
        </w:trPr>
        <w:tc>
          <w:tcPr>
            <w:tcW w:type="dxa" w:w="35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Severity</w:t>
            </w:r>
          </w:p>
        </w:tc>
        <w:tc>
          <w:tcPr>
            <w:tcW w:type="dxa" w:w="586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Open findings</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alibri" w:hAnsi="Calibri" w:eastAsia="Calibri" w:cs="Calibri"/>
                <w:sz w:val="18"/>
              </w:rPr>
              <w:t>Critical</w:t>
            </w:r>
          </w:p>
        </w:tc>
        <w:tc>
          <w:tcPr>
            <w:tcW w:type="dxa" w:w="5860"/>
            <w:vAlign w:val="center"/>
            <w:tcMar>
              <w:top w:w="80" w:type="dxa"/>
              <w:bottom w:w="80" w:type="dxa"/>
              <w:start w:w="120" w:type="dxa"/>
              <w:end w:w="120" w:type="dxa"/>
            </w:tcMar>
          </w:tcPr>
          <w:p>
            <w:pPr>
              <w:spacing w:before="0" w:after="40" w:line="240" w:lineRule="auto"/>
            </w:pPr>
            <w:r>
              <w:rPr>
                <w:rFonts w:ascii="Calibri" w:hAnsi="Calibri" w:eastAsia="Calibri" w:cs="Calibri"/>
                <w:sz w:val="18"/>
              </w:rPr>
              <w:t>0</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alibri" w:hAnsi="Calibri" w:eastAsia="Calibri" w:cs="Calibri"/>
                <w:sz w:val="18"/>
              </w:rPr>
              <w:t>High</w:t>
            </w:r>
          </w:p>
        </w:tc>
        <w:tc>
          <w:tcPr>
            <w:tcW w:type="dxa" w:w="5860"/>
            <w:vAlign w:val="center"/>
            <w:tcMar>
              <w:top w:w="80" w:type="dxa"/>
              <w:bottom w:w="80" w:type="dxa"/>
              <w:start w:w="120" w:type="dxa"/>
              <w:end w:w="120" w:type="dxa"/>
            </w:tcMar>
          </w:tcPr>
          <w:p>
            <w:pPr>
              <w:spacing w:before="0" w:after="40" w:line="240" w:lineRule="auto"/>
            </w:pPr>
            <w:r>
              <w:rPr>
                <w:rFonts w:ascii="Calibri" w:hAnsi="Calibri" w:eastAsia="Calibri" w:cs="Calibri"/>
                <w:sz w:val="18"/>
              </w:rPr>
              <w:t>0</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alibri" w:hAnsi="Calibri" w:eastAsia="Calibri" w:cs="Calibri"/>
                <w:sz w:val="18"/>
              </w:rPr>
              <w:t>Medium</w:t>
            </w:r>
          </w:p>
        </w:tc>
        <w:tc>
          <w:tcPr>
            <w:tcW w:type="dxa" w:w="5860"/>
            <w:vAlign w:val="center"/>
            <w:tcMar>
              <w:top w:w="80" w:type="dxa"/>
              <w:bottom w:w="80" w:type="dxa"/>
              <w:start w:w="120" w:type="dxa"/>
              <w:end w:w="120" w:type="dxa"/>
            </w:tcMar>
          </w:tcPr>
          <w:p>
            <w:pPr>
              <w:spacing w:before="0" w:after="40" w:line="240" w:lineRule="auto"/>
            </w:pPr>
            <w:r>
              <w:rPr>
                <w:rFonts w:ascii="Calibri" w:hAnsi="Calibri" w:eastAsia="Calibri" w:cs="Calibri"/>
                <w:sz w:val="18"/>
              </w:rPr>
              <w:t>3</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alibri" w:hAnsi="Calibri" w:eastAsia="Calibri" w:cs="Calibri"/>
                <w:sz w:val="18"/>
              </w:rPr>
              <w:t>Low</w:t>
            </w:r>
          </w:p>
        </w:tc>
        <w:tc>
          <w:tcPr>
            <w:tcW w:type="dxa" w:w="5860"/>
            <w:vAlign w:val="center"/>
            <w:tcMar>
              <w:top w:w="80" w:type="dxa"/>
              <w:bottom w:w="80" w:type="dxa"/>
              <w:start w:w="120" w:type="dxa"/>
              <w:end w:w="120" w:type="dxa"/>
            </w:tcMar>
          </w:tcPr>
          <w:p>
            <w:pPr>
              <w:spacing w:before="0" w:after="40" w:line="240" w:lineRule="auto"/>
            </w:pPr>
            <w:r>
              <w:rPr>
                <w:rFonts w:ascii="Calibri" w:hAnsi="Calibri" w:eastAsia="Calibri" w:cs="Calibri"/>
                <w:sz w:val="18"/>
              </w:rPr>
              <w:t>1</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alibri" w:hAnsi="Calibri" w:eastAsia="Calibri" w:cs="Calibri"/>
                <w:sz w:val="18"/>
              </w:rPr>
              <w:t>Informational</w:t>
            </w:r>
          </w:p>
        </w:tc>
        <w:tc>
          <w:tcPr>
            <w:tcW w:type="dxa" w:w="5860"/>
            <w:vAlign w:val="center"/>
            <w:tcMar>
              <w:top w:w="80" w:type="dxa"/>
              <w:bottom w:w="80" w:type="dxa"/>
              <w:start w:w="120" w:type="dxa"/>
              <w:end w:w="120" w:type="dxa"/>
            </w:tcMar>
          </w:tcPr>
          <w:p>
            <w:pPr>
              <w:spacing w:before="0" w:after="40" w:line="240" w:lineRule="auto"/>
            </w:pPr>
            <w:r>
              <w:rPr>
                <w:rFonts w:ascii="Calibri" w:hAnsi="Calibri" w:eastAsia="Calibri" w:cs="Calibri"/>
                <w:sz w:val="18"/>
              </w:rPr>
              <w:t>3</w:t>
            </w:r>
          </w:p>
        </w:tc>
      </w:tr>
    </w:tbl>
    <w:p>
      <w:pPr>
        <w:spacing w:before="0" w:after="40"/>
      </w:pPr>
    </w:p>
    <w:p>
      <w:r>
        <w:rPr>
          <w:rFonts w:ascii="Calibri" w:hAnsi="Calibri" w:eastAsia="Calibri" w:cs="Calibri"/>
          <w:sz w:val="22"/>
        </w:rPr>
        <w:t>The Medium findings allow review-threshold splitting, purchase-created refund undercollateralization, and economically anomalous but technically fresh oracle pricing. These prevent a mainnet deployment recommendation.</w:t>
      </w:r>
    </w:p>
    <w:p>
      <w:pPr>
        <w:pStyle w:val="Heading1"/>
      </w:pPr>
      <w:r>
        <w:t>2. Snapshot identity and scope boundary</w:t>
      </w:r>
    </w:p>
    <w:p>
      <w:r>
        <w:rPr>
          <w:rFonts w:ascii="Calibri" w:hAnsi="Calibri" w:eastAsia="Calibri" w:cs="Calibri"/>
          <w:sz w:val="22"/>
        </w:rPr>
        <w:t xml:space="preserve">The frozen source under </w:t>
      </w:r>
      <w:r>
        <w:rPr>
          <w:rFonts w:ascii="Consolas" w:hAnsi="Consolas" w:eastAsia="Consolas" w:cs="Consolas"/>
          <w:color w:val="1F4D78"/>
          <w:sz w:val="20"/>
        </w:rPr>
        <w:t>source-snapshot/</w:t>
      </w:r>
      <w:r>
        <w:rPr>
          <w:rFonts w:ascii="Calibri" w:hAnsi="Calibri" w:eastAsia="Calibri" w:cs="Calibri"/>
          <w:sz w:val="22"/>
        </w:rPr>
        <w:t xml:space="preserve"> is the sole controlling scope. Project commit </w:t>
      </w:r>
      <w:r>
        <w:rPr>
          <w:rFonts w:ascii="Consolas" w:hAnsi="Consolas" w:eastAsia="Consolas" w:cs="Consolas"/>
          <w:color w:val="1F4D78"/>
          <w:sz w:val="20"/>
        </w:rPr>
        <w:t>cae20adbf0497c46906e36cb98bcd3d19232c98b</w:t>
      </w:r>
      <w:r>
        <w:rPr>
          <w:rFonts w:ascii="Calibri" w:hAnsi="Calibri" w:eastAsia="Calibri" w:cs="Calibri"/>
          <w:sz w:val="22"/>
        </w:rPr>
        <w:t xml:space="preserve"> is workspace context only; it is not claimed to contain this uncommitted snapshot.</w:t>
      </w:r>
    </w:p>
    <w:tbl>
      <w:tblPr>
        <w:tblStyle w:val="TableGrid"/>
        <w:tblW w:type="dxa" w:w="9360"/>
        <w:jc w:val="center"/>
        <w:tblLayout w:type="fixed"/>
        <w:tblLook w:firstColumn="1" w:firstRow="1" w:lastColumn="0" w:lastRow="0" w:noHBand="0" w:noVBand="1" w:val="04A0"/>
        <w:tblInd w:w="120" w:type="dxa"/>
      </w:tblPr>
      <w:tblGrid>
        <w:gridCol w:w="3500"/>
        <w:gridCol w:w="5860"/>
      </w:tblGrid>
      <w:tr>
        <w:trPr>
          <w:cantSplit/>
          <w:tblHeader w:val="true"/>
        </w:trPr>
        <w:tc>
          <w:tcPr>
            <w:tcW w:type="dxa" w:w="35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Frozen source</w:t>
            </w:r>
          </w:p>
        </w:tc>
        <w:tc>
          <w:tcPr>
            <w:tcW w:type="dxa" w:w="586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SHA-256</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contracts/AegentMarketRegistry.sol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1e0fc93396402b19d085bbfc25d03be53540e847039dd768c6d47bf379f49aa9</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contracts/AegentSaleProceedsVault.sol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983af93be4bb1fcbe2809c9fb01baea34a7bae0ddf12caf05933c5450842cc34</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contracts/AegentSwapV2.sol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2b53552a367b757cc31721d31cb2e889dc9391afc293a4cac0b2590332fb515f</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contracts/AegentRedemptionV2.sol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2424be9e3141b055d0a27a7b12ab6fc3918d758ddbedc9201ebc454dd467fcc6</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contracts/interfaces/IAegentMarketRegistry.sol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fb7b9a35bef353c3c0a5e882da595294b9dadb8d81cedada1207bbfe7bb02309</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contracts/interfaces/IAegentPurchaseReceiptSource.sol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52abd846c87734040bfb375177186bff6d8b56f9b23ddbeeb8a7a4f4c3d5badb</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contracts/interfaces/IAegentRedemptionEndpoint.sol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92620d9cc1fec26c42b4d4d293447d4faf9d83aab05a065d7484eff299d89eab</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contracts/interfaces/IAegentRegistryBound.sol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bf53c7606cbc5853a74710c9fa31dfd256a31283eedaf7ede01e213b0f12bc84</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contracts/interfaces/IAegentSaleProceedsVault.sol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eb1005d38941efc7dfd9e8c961eb5a4df10f9a43f630330495dd82b73854c974</w:t>
            </w:r>
          </w:p>
        </w:tc>
      </w:tr>
      <w:tr>
        <w:trPr>
          <w:cantSplit/>
        </w:trPr>
        <w:tc>
          <w:tcPr>
            <w:tcW w:type="dxa" w:w="35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contracts/interfaces/IAggregatorV3.sol</w:t>
            </w:r>
          </w:p>
        </w:tc>
        <w:tc>
          <w:tcPr>
            <w:tcW w:type="dxa" w:w="58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2dc0d69856b9cf3579d866c1da3bb9baff2fe505d9702001fcddc47e319a2b7e</w:t>
            </w:r>
          </w:p>
        </w:tc>
      </w:tr>
    </w:tbl>
    <w:p>
      <w:pPr>
        <w:spacing w:before="0" w:after="40"/>
      </w:pPr>
    </w:p>
    <w:p>
      <w:r>
        <w:rPr>
          <w:rFonts w:ascii="Calibri" w:hAnsi="Calibri" w:eastAsia="Calibri" w:cs="Calibri"/>
          <w:sz w:val="22"/>
        </w:rPr>
        <w:t>Supporting tests and deployment-script tests were executed but are not production source scope. Mocks, frontend/API code, finality databases, wallet code, runtime configuration, deployed bytecode, constructor values, live ownership, reserve balances, and key custody were not assessed.</w:t>
      </w:r>
    </w:p>
    <w:p>
      <w:pPr>
        <w:pStyle w:val="Heading1"/>
      </w:pPr>
      <w:r>
        <w:t>3. Security objectives</w:t>
      </w:r>
    </w:p>
    <w:p>
      <w:r>
        <w:rPr>
          <w:rFonts w:ascii="Calibri" w:hAnsi="Calibri" w:eastAsia="Calibri" w:cs="Calibri"/>
          <w:sz w:val="22"/>
        </w:rPr>
        <w:t>The system should preserve the following properties:</w:t>
      </w:r>
    </w:p>
    <w:p>
      <w:pPr>
        <w:spacing w:after="160" w:line="280" w:lineRule="auto"/>
        <w:ind w:left="720" w:hanging="360"/>
      </w:pPr>
      <w:r>
        <w:rPr>
          <w:rFonts w:ascii="Calibri" w:hAnsi="Calibri" w:eastAsia="Calibri" w:cs="Calibri"/>
          <w:sz w:val="22"/>
        </w:rPr>
        <w:t xml:space="preserve">1. </w:t>
      </w:r>
      <w:r>
        <w:rPr>
          <w:rFonts w:ascii="Calibri" w:hAnsi="Calibri" w:eastAsia="Calibri" w:cs="Calibri"/>
          <w:b/>
          <w:sz w:val="22"/>
        </w:rPr>
        <w:t>Purchase integrity:</w:t>
      </w:r>
      <w:r>
        <w:rPr>
          <w:rFonts w:ascii="Calibri" w:hAnsi="Calibri" w:eastAsia="Calibri" w:cs="Calibri"/>
          <w:sz w:val="22"/>
        </w:rPr>
        <w:t xml:space="preserve"> only the active Registry phase/mode/window and current configuration can settle a purchase.</w:t>
      </w:r>
    </w:p>
    <w:p>
      <w:pPr>
        <w:spacing w:after="160" w:line="280" w:lineRule="auto"/>
        <w:ind w:left="720" w:hanging="360"/>
      </w:pPr>
      <w:r>
        <w:rPr>
          <w:rFonts w:ascii="Calibri" w:hAnsi="Calibri" w:eastAsia="Calibri" w:cs="Calibri"/>
          <w:sz w:val="22"/>
        </w:rPr>
        <w:t xml:space="preserve">2. </w:t>
      </w:r>
      <w:r>
        <w:rPr>
          <w:rFonts w:ascii="Calibri" w:hAnsi="Calibri" w:eastAsia="Calibri" w:cs="Calibri"/>
          <w:b/>
          <w:sz w:val="22"/>
        </w:rPr>
        <w:t>Pricing integrity:</w:t>
      </w:r>
      <w:r>
        <w:rPr>
          <w:rFonts w:ascii="Calibri" w:hAnsi="Calibri" w:eastAsia="Calibri" w:cs="Calibri"/>
          <w:sz w:val="22"/>
        </w:rPr>
        <w:t xml:space="preserve"> AGNT output must use valid oracle data and the current authorized phase rate.</w:t>
      </w:r>
    </w:p>
    <w:p>
      <w:pPr>
        <w:spacing w:after="160" w:line="280" w:lineRule="auto"/>
        <w:ind w:left="720" w:hanging="360"/>
      </w:pPr>
      <w:r>
        <w:rPr>
          <w:rFonts w:ascii="Calibri" w:hAnsi="Calibri" w:eastAsia="Calibri" w:cs="Calibri"/>
          <w:sz w:val="22"/>
        </w:rPr>
        <w:t xml:space="preserve">3. </w:t>
      </w:r>
      <w:r>
        <w:rPr>
          <w:rFonts w:ascii="Calibri" w:hAnsi="Calibri" w:eastAsia="Calibri" w:cs="Calibri"/>
          <w:b/>
          <w:sz w:val="22"/>
        </w:rPr>
        <w:t>Slippage and expiry:</w:t>
      </w:r>
      <w:r>
        <w:rPr>
          <w:rFonts w:ascii="Calibri" w:hAnsi="Calibri" w:eastAsia="Calibri" w:cs="Calibri"/>
          <w:sz w:val="22"/>
        </w:rPr>
        <w:t xml:space="preserve"> a transaction must not settle below user minimum output or after its bounded deadline.</w:t>
      </w:r>
    </w:p>
    <w:p>
      <w:pPr>
        <w:spacing w:after="160" w:line="280" w:lineRule="auto"/>
        <w:ind w:left="720" w:hanging="360"/>
      </w:pPr>
      <w:r>
        <w:rPr>
          <w:rFonts w:ascii="Calibri" w:hAnsi="Calibri" w:eastAsia="Calibri" w:cs="Calibri"/>
          <w:sz w:val="22"/>
        </w:rPr>
        <w:t xml:space="preserve">4. </w:t>
      </w:r>
      <w:r>
        <w:rPr>
          <w:rFonts w:ascii="Calibri" w:hAnsi="Calibri" w:eastAsia="Calibri" w:cs="Calibri"/>
          <w:b/>
          <w:sz w:val="22"/>
        </w:rPr>
        <w:t>Asset custody:</w:t>
      </w:r>
      <w:r>
        <w:rPr>
          <w:rFonts w:ascii="Calibri" w:hAnsi="Calibri" w:eastAsia="Calibri" w:cs="Calibri"/>
          <w:sz w:val="22"/>
        </w:rPr>
        <w:t xml:space="preserve"> external calls must not enable reentrant theft or unaccounted token movement.</w:t>
      </w:r>
    </w:p>
    <w:p>
      <w:pPr>
        <w:spacing w:after="160" w:line="280" w:lineRule="auto"/>
        <w:ind w:left="720" w:hanging="360"/>
      </w:pPr>
      <w:r>
        <w:rPr>
          <w:rFonts w:ascii="Calibri" w:hAnsi="Calibri" w:eastAsia="Calibri" w:cs="Calibri"/>
          <w:sz w:val="22"/>
        </w:rPr>
        <w:t xml:space="preserve">5. </w:t>
      </w:r>
      <w:r>
        <w:rPr>
          <w:rFonts w:ascii="Calibri" w:hAnsi="Calibri" w:eastAsia="Calibri" w:cs="Calibri"/>
          <w:b/>
          <w:sz w:val="22"/>
        </w:rPr>
        <w:t>Receipt integrity:</w:t>
      </w:r>
      <w:r>
        <w:rPr>
          <w:rFonts w:ascii="Calibri" w:hAnsi="Calibri" w:eastAsia="Calibri" w:cs="Calibri"/>
          <w:sz w:val="22"/>
        </w:rPr>
        <w:t xml:space="preserve"> purchase cost and AGNT entitlement must be bound to the correct wallet and updated atomically.</w:t>
      </w:r>
    </w:p>
    <w:p>
      <w:pPr>
        <w:spacing w:after="160" w:line="280" w:lineRule="auto"/>
        <w:ind w:left="720" w:hanging="360"/>
      </w:pPr>
      <w:r>
        <w:rPr>
          <w:rFonts w:ascii="Calibri" w:hAnsi="Calibri" w:eastAsia="Calibri" w:cs="Calibri"/>
          <w:sz w:val="22"/>
        </w:rPr>
        <w:t xml:space="preserve">6. </w:t>
      </w:r>
      <w:r>
        <w:rPr>
          <w:rFonts w:ascii="Calibri" w:hAnsi="Calibri" w:eastAsia="Calibri" w:cs="Calibri"/>
          <w:b/>
          <w:sz w:val="22"/>
        </w:rPr>
        <w:t>Refund solvency:</w:t>
      </w:r>
      <w:r>
        <w:rPr>
          <w:rFonts w:ascii="Calibri" w:hAnsi="Calibri" w:eastAsia="Calibri" w:cs="Calibri"/>
          <w:sz w:val="22"/>
        </w:rPr>
        <w:t xml:space="preserve"> accepted refund liabilities should remain fully collateralized.</w:t>
      </w:r>
    </w:p>
    <w:p>
      <w:pPr>
        <w:spacing w:after="160" w:line="280" w:lineRule="auto"/>
        <w:ind w:left="720" w:hanging="360"/>
      </w:pPr>
      <w:r>
        <w:rPr>
          <w:rFonts w:ascii="Calibri" w:hAnsi="Calibri" w:eastAsia="Calibri" w:cs="Calibri"/>
          <w:sz w:val="22"/>
        </w:rPr>
        <w:t xml:space="preserve">7. </w:t>
      </w:r>
      <w:r>
        <w:rPr>
          <w:rFonts w:ascii="Calibri" w:hAnsi="Calibri" w:eastAsia="Calibri" w:cs="Calibri"/>
          <w:b/>
          <w:sz w:val="22"/>
        </w:rPr>
        <w:t>Redemption integrity:</w:t>
      </w:r>
      <w:r>
        <w:rPr>
          <w:rFonts w:ascii="Calibri" w:hAnsi="Calibri" w:eastAsia="Calibri" w:cs="Calibri"/>
          <w:sz w:val="22"/>
        </w:rPr>
        <w:t xml:space="preserve"> presale refunds must not exceed cost basis; post-launch redemptions must collect AGNT.</w:t>
      </w:r>
    </w:p>
    <w:p>
      <w:pPr>
        <w:spacing w:after="160" w:line="280" w:lineRule="auto"/>
        <w:ind w:left="720" w:hanging="360"/>
      </w:pPr>
      <w:r>
        <w:rPr>
          <w:rFonts w:ascii="Calibri" w:hAnsi="Calibri" w:eastAsia="Calibri" w:cs="Calibri"/>
          <w:sz w:val="22"/>
        </w:rPr>
        <w:t xml:space="preserve">8. </w:t>
      </w:r>
      <w:r>
        <w:rPr>
          <w:rFonts w:ascii="Calibri" w:hAnsi="Calibri" w:eastAsia="Calibri" w:cs="Calibri"/>
          <w:b/>
          <w:sz w:val="22"/>
        </w:rPr>
        <w:t>Replay resistance:</w:t>
      </w:r>
      <w:r>
        <w:rPr>
          <w:rFonts w:ascii="Calibri" w:hAnsi="Calibri" w:eastAsia="Calibri" w:cs="Calibri"/>
          <w:sz w:val="22"/>
        </w:rPr>
        <w:t xml:space="preserve"> a valid signed transaction payload must not settle twice.</w:t>
      </w:r>
    </w:p>
    <w:p>
      <w:pPr>
        <w:spacing w:after="160" w:line="280" w:lineRule="auto"/>
        <w:ind w:left="720" w:hanging="360"/>
      </w:pPr>
      <w:r>
        <w:rPr>
          <w:rFonts w:ascii="Calibri" w:hAnsi="Calibri" w:eastAsia="Calibri" w:cs="Calibri"/>
          <w:sz w:val="22"/>
        </w:rPr>
        <w:t xml:space="preserve">9. </w:t>
      </w:r>
      <w:r>
        <w:rPr>
          <w:rFonts w:ascii="Calibri" w:hAnsi="Calibri" w:eastAsia="Calibri" w:cs="Calibri"/>
          <w:b/>
          <w:sz w:val="22"/>
        </w:rPr>
        <w:t>Limit integrity:</w:t>
      </w:r>
      <w:r>
        <w:rPr>
          <w:rFonts w:ascii="Calibri" w:hAnsi="Calibri" w:eastAsia="Calibri" w:cs="Calibri"/>
          <w:sz w:val="22"/>
        </w:rPr>
        <w:t xml:space="preserve"> wallet/global limits and manual-review controls must retain their intended effect under transaction splitting and boundary timing.</w:t>
      </w:r>
    </w:p>
    <w:p>
      <w:pPr>
        <w:spacing w:after="160" w:line="280" w:lineRule="auto"/>
        <w:ind w:left="720" w:hanging="360"/>
      </w:pPr>
      <w:r>
        <w:rPr>
          <w:rFonts w:ascii="Calibri" w:hAnsi="Calibri" w:eastAsia="Calibri" w:cs="Calibri"/>
          <w:sz w:val="22"/>
        </w:rPr>
        <w:t xml:space="preserve">10. </w:t>
      </w:r>
      <w:r>
        <w:rPr>
          <w:rFonts w:ascii="Calibri" w:hAnsi="Calibri" w:eastAsia="Calibri" w:cs="Calibri"/>
          <w:b/>
          <w:sz w:val="22"/>
        </w:rPr>
        <w:t>Privilege containment:</w:t>
      </w:r>
      <w:r>
        <w:rPr>
          <w:rFonts w:ascii="Calibri" w:hAnsi="Calibri" w:eastAsia="Calibri" w:cs="Calibri"/>
          <w:sz w:val="22"/>
        </w:rPr>
        <w:t xml:space="preserve"> owner actions should be delayed, distributed, monitored, and incapable of silently violating protected liabilities.</w:t>
      </w:r>
    </w:p>
    <w:p>
      <w:pPr>
        <w:spacing w:after="160" w:line="280" w:lineRule="auto"/>
        <w:ind w:left="720" w:hanging="360"/>
      </w:pPr>
      <w:r>
        <w:rPr>
          <w:rFonts w:ascii="Calibri" w:hAnsi="Calibri" w:eastAsia="Calibri" w:cs="Calibri"/>
          <w:sz w:val="22"/>
        </w:rPr>
        <w:t xml:space="preserve">11. </w:t>
      </w:r>
      <w:r>
        <w:rPr>
          <w:rFonts w:ascii="Calibri" w:hAnsi="Calibri" w:eastAsia="Calibri" w:cs="Calibri"/>
          <w:b/>
          <w:sz w:val="22"/>
        </w:rPr>
        <w:t>Forensic completeness:</w:t>
      </w:r>
      <w:r>
        <w:rPr>
          <w:rFonts w:ascii="Calibri" w:hAnsi="Calibri" w:eastAsia="Calibri" w:cs="Calibri"/>
          <w:sz w:val="22"/>
        </w:rPr>
        <w:t xml:space="preserve"> emitted evidence should identify the governing configuration for each settlement.</w:t>
      </w:r>
    </w:p>
    <w:p>
      <w:pPr>
        <w:pStyle w:val="Heading1"/>
      </w:pPr>
      <w:r>
        <w:t>4. Assets and adverse outcomes</w:t>
      </w:r>
    </w:p>
    <w:tbl>
      <w:tblPr>
        <w:tblStyle w:val="TableGrid"/>
        <w:tblW w:type="dxa" w:w="9360"/>
        <w:jc w:val="center"/>
        <w:tblLayout w:type="fixed"/>
        <w:tblLook w:firstColumn="1" w:firstRow="1" w:lastColumn="0" w:lastRow="0" w:noHBand="0" w:noVBand="1" w:val="04A0"/>
        <w:tblInd w:w="120" w:type="dxa"/>
      </w:tblPr>
      <w:tblGrid>
        <w:gridCol w:w="2200"/>
        <w:gridCol w:w="3580"/>
        <w:gridCol w:w="3580"/>
      </w:tblGrid>
      <w:tr>
        <w:trPr>
          <w:cantSplit/>
          <w:tblHeader w:val="true"/>
        </w:trPr>
        <w:tc>
          <w:tcPr>
            <w:tcW w:type="dxa" w:w="22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Asset or state</w:t>
            </w:r>
          </w:p>
        </w:tc>
        <w:tc>
          <w:tcPr>
            <w:tcW w:type="dxa" w:w="358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Required protection</w:t>
            </w:r>
          </w:p>
        </w:tc>
        <w:tc>
          <w:tcPr>
            <w:tcW w:type="dxa" w:w="358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Representative adverse outcome</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AGNT purchase inventory</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No excess distribution; preserve claims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Oracle overvaluation or accounting error releases too much AGNT</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Escrowed purchased AGNT</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Preserve all unclaimed wallet entitlement</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Owner withdrawal or inconsistent receipt accounting removes claim backing</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USDT redemption reserve</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Preserve refund/redemption liabilities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Accepted purchases create liabilities above funded reserve</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BNB/USDT/USDC sale proceeds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No premature or unauthorized release</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Reentrancy, wrong beneficiary, or bypassed sale-end check</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Wallet purchase receipts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No cross-wallet attribution, overwrite, or double consumption</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Attacker claims or refunds another wallet's entitlement</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Redemption execution nonce</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Strict monotonic one-use semantics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Replayed calldata settles a second redemption</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Registry phase/mode/version</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One authoritative execution state</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Stale quote executes under changed price or market mode</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Oracle observation</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Authentic, fresh, and economically plausible</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Fresh anomalous value creates invalid quote</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Daily/manual-review counters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Preserve real risk-policy intent</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Split transactions or midnight boundary evade effective limits</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Settlement events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Durable reconstruction</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Off-chain accounting cannot prove governing configuration</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Owner authority</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Minimize unilateral compromise impact</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Compromised key changes modes or withdraws eligible funds</w:t>
            </w:r>
          </w:p>
        </w:tc>
      </w:tr>
    </w:tbl>
    <w:p>
      <w:pPr>
        <w:spacing w:before="0" w:after="40"/>
      </w:pPr>
    </w:p>
    <w:p>
      <w:pPr>
        <w:pStyle w:val="Heading1"/>
      </w:pPr>
      <w:r>
        <w:t>5. Actors and capabilities</w:t>
      </w:r>
    </w:p>
    <w:tbl>
      <w:tblPr>
        <w:tblStyle w:val="TableGrid"/>
        <w:tblW w:type="dxa" w:w="9360"/>
        <w:jc w:val="center"/>
        <w:tblLayout w:type="fixed"/>
        <w:tblLook w:firstColumn="1" w:firstRow="1" w:lastColumn="0" w:lastRow="0" w:noHBand="0" w:noVBand="1" w:val="04A0"/>
        <w:tblInd w:w="120" w:type="dxa"/>
      </w:tblPr>
      <w:tblGrid>
        <w:gridCol w:w="2200"/>
        <w:gridCol w:w="3580"/>
        <w:gridCol w:w="3580"/>
      </w:tblGrid>
      <w:tr>
        <w:trPr>
          <w:cantSplit/>
          <w:tblHeader w:val="true"/>
        </w:trPr>
        <w:tc>
          <w:tcPr>
            <w:tcW w:type="dxa" w:w="22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Actor</w:t>
            </w:r>
          </w:p>
        </w:tc>
        <w:tc>
          <w:tcPr>
            <w:tcW w:type="dxa" w:w="358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Assumed capability</w:t>
            </w:r>
          </w:p>
        </w:tc>
        <w:tc>
          <w:tcPr>
            <w:tcW w:type="dxa" w:w="358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Security posture</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Untrusted buyer</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Chooses payment asset, amount, minimum output, deadline, and transaction ordering</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Fully adversarial</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Untrusted redeemer</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Splits transactions, times boundaries, replays payloads, and selects permitted parameters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Fully adversarial</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MEV searcher</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Observes mempool transactions and controls ordering within miner/validator constraints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Fully adversarial</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Compromised owner</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Executes any owner-only action permitted by code</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Modeled as a trust failure</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Faulty oracle</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Returns stale, anomalous, delayed, or incomplete values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Modeled</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Nonstandard ERC-20</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Charges fees, returns unusual values, reenters, or changes balances unexpectedly</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 xml:space="preserve">Partly modeled; balance checks and </w:t>
            </w:r>
            <w:r>
              <w:rPr>
                <w:rFonts w:ascii="Consolas" w:hAnsi="Consolas" w:eastAsia="Consolas" w:cs="Consolas"/>
                <w:color w:val="1F4D78"/>
                <w:sz w:val="16"/>
              </w:rPr>
              <w:t>SafeERC20</w:t>
            </w:r>
            <w:r>
              <w:rPr>
                <w:rFonts w:ascii="Calibri" w:hAnsi="Calibri" w:eastAsia="Calibri" w:cs="Calibri"/>
                <w:sz w:val="18"/>
              </w:rPr>
              <w:t xml:space="preserve"> help</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Rejecting beneficiary</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Refuses native BNB</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Modeled as availability failure</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Off-chain client/indexer</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Supplies stale expected state or reconstructs events incompletely</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Untrusted for contract safety</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External deployer/operations team</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Selects addresses, roles, reserves, and initial state</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Out of source scope; must be independently verified</w:t>
            </w:r>
          </w:p>
        </w:tc>
      </w:tr>
    </w:tbl>
    <w:p>
      <w:pPr>
        <w:spacing w:before="0" w:after="40"/>
      </w:pPr>
    </w:p>
    <w:p>
      <w:pPr>
        <w:pStyle w:val="Heading1"/>
      </w:pPr>
      <w:r>
        <w:t>6. Trust boundaries</w:t>
      </w:r>
    </w:p>
    <w:p>
      <w:pPr>
        <w:pStyle w:val="Heading2"/>
      </w:pPr>
      <w:r>
        <w:t>TB-01 — User wallet to purchase/redemption endpoints</w:t>
      </w:r>
    </w:p>
    <w:p>
      <w:r>
        <w:rPr>
          <w:rFonts w:ascii="Calibri" w:hAnsi="Calibri" w:eastAsia="Calibri" w:cs="Calibri"/>
          <w:sz w:val="22"/>
        </w:rPr>
        <w:t xml:space="preserve">Untrusted calldata crosses into </w:t>
      </w:r>
      <w:r>
        <w:rPr>
          <w:rFonts w:ascii="Consolas" w:hAnsi="Consolas" w:eastAsia="Consolas" w:cs="Consolas"/>
          <w:color w:val="1F4D78"/>
          <w:sz w:val="20"/>
        </w:rPr>
        <w:t>AegentSwapV2</w:t>
      </w:r>
      <w:r>
        <w:rPr>
          <w:rFonts w:ascii="Calibri" w:hAnsi="Calibri" w:eastAsia="Calibri" w:cs="Calibri"/>
          <w:sz w:val="22"/>
        </w:rPr>
        <w:t xml:space="preserve"> and </w:t>
      </w:r>
      <w:r>
        <w:rPr>
          <w:rFonts w:ascii="Consolas" w:hAnsi="Consolas" w:eastAsia="Consolas" w:cs="Consolas"/>
          <w:color w:val="1F4D78"/>
          <w:sz w:val="20"/>
        </w:rPr>
        <w:t>AegentRedemptionV2</w:t>
      </w:r>
      <w:r>
        <w:rPr>
          <w:rFonts w:ascii="Calibri" w:hAnsi="Calibri" w:eastAsia="Calibri" w:cs="Calibri"/>
          <w:sz w:val="22"/>
        </w:rPr>
        <w:t>. Contract checks must independently enforce amount, phase, mode, version, deadline, minimum output, entitlement, reserve, and nonce. Frontend validation is not trusted.</w:t>
      </w:r>
    </w:p>
    <w:p>
      <w:pPr>
        <w:pStyle w:val="Heading2"/>
      </w:pPr>
      <w:r>
        <w:t>TB-02 — Registry to execution endpoints</w:t>
      </w:r>
    </w:p>
    <w:p>
      <w:r>
        <w:rPr>
          <w:rFonts w:ascii="Calibri" w:hAnsi="Calibri" w:eastAsia="Calibri" w:cs="Calibri"/>
          <w:sz w:val="22"/>
        </w:rPr>
        <w:t>The Registry is the authoritative market-state boundary. Swap and Redemption must reject endpoint mismatch and stale expected configuration. A compromised Registry owner remains a governance risk.</w:t>
      </w:r>
    </w:p>
    <w:p>
      <w:pPr>
        <w:pStyle w:val="Heading2"/>
      </w:pPr>
      <w:r>
        <w:t>TB-03 — Oracle feeds to Swap</w:t>
      </w:r>
    </w:p>
    <w:p>
      <w:r>
        <w:rPr>
          <w:rFonts w:ascii="Calibri" w:hAnsi="Calibri" w:eastAsia="Calibri" w:cs="Calibri"/>
          <w:sz w:val="22"/>
        </w:rPr>
        <w:t>External price data crosses from Chainlink-compatible feeds into BNB and stablecoin valuation. Technical freshness and round validity are necessary but do not guarantee economic plausibility.</w:t>
      </w:r>
    </w:p>
    <w:p>
      <w:pPr>
        <w:pStyle w:val="Heading2"/>
      </w:pPr>
      <w:r>
        <w:t>TB-04 — Token contracts to AEGENT accounting</w:t>
      </w:r>
    </w:p>
    <w:p>
      <w:r>
        <w:rPr>
          <w:rFonts w:ascii="Calibri" w:hAnsi="Calibri" w:eastAsia="Calibri" w:cs="Calibri"/>
          <w:sz w:val="22"/>
        </w:rPr>
        <w:t xml:space="preserve">AGNT, USDT, and USDC can have external behavior. </w:t>
      </w:r>
      <w:r>
        <w:rPr>
          <w:rFonts w:ascii="Consolas" w:hAnsi="Consolas" w:eastAsia="Consolas" w:cs="Consolas"/>
          <w:color w:val="1F4D78"/>
          <w:sz w:val="20"/>
        </w:rPr>
        <w:t>SafeERC20</w:t>
      </w:r>
      <w:r>
        <w:rPr>
          <w:rFonts w:ascii="Calibri" w:hAnsi="Calibri" w:eastAsia="Calibri" w:cs="Calibri"/>
          <w:sz w:val="22"/>
        </w:rPr>
        <w:t xml:space="preserve"> and before/after balance checks reduce return-value and fee-on-transfer ambiguity. Token upgradeability and administrative behavior were not assessed.</w:t>
      </w:r>
    </w:p>
    <w:p>
      <w:pPr>
        <w:pStyle w:val="Heading2"/>
      </w:pPr>
      <w:r>
        <w:t>TB-05 — Swap to Vault and Redemption</w:t>
      </w:r>
    </w:p>
    <w:p>
      <w:r>
        <w:rPr>
          <w:rFonts w:ascii="Calibri" w:hAnsi="Calibri" w:eastAsia="Calibri" w:cs="Calibri"/>
          <w:sz w:val="22"/>
        </w:rPr>
        <w:t>Purchase consideration is forwarded to the vault, while AGNT and receipt state interact with Redemption. Atomicity and endpoint binding are required to prevent partial settlement.</w:t>
      </w:r>
    </w:p>
    <w:p>
      <w:pPr>
        <w:pStyle w:val="Heading2"/>
      </w:pPr>
      <w:r>
        <w:t>TB-06 — Owner to privileged state</w:t>
      </w:r>
    </w:p>
    <w:p>
      <w:r>
        <w:rPr>
          <w:rFonts w:ascii="Calibri" w:hAnsi="Calibri" w:eastAsia="Calibri" w:cs="Calibri"/>
          <w:sz w:val="22"/>
        </w:rPr>
        <w:t>The owner can change operational controls and withdraw eligible assets. Two-step ownership and a delayed rate help, but no mandatory multisig/general timelock constrains this boundary.</w:t>
      </w:r>
    </w:p>
    <w:p>
      <w:pPr>
        <w:pStyle w:val="Heading2"/>
      </w:pPr>
      <w:r>
        <w:t>TB-07 — Vault to immutable beneficiary</w:t>
      </w:r>
    </w:p>
    <w:p>
      <w:r>
        <w:rPr>
          <w:rFonts w:ascii="Calibri" w:hAnsi="Calibri" w:eastAsia="Calibri" w:cs="Calibri"/>
          <w:sz w:val="22"/>
        </w:rPr>
        <w:t>Native BNB release invokes an immutable external beneficiary. Rejection cannot redirect theft, but it can block liveness.</w:t>
      </w:r>
    </w:p>
    <w:p>
      <w:pPr>
        <w:pStyle w:val="Heading2"/>
      </w:pPr>
      <w:r>
        <w:t>TB-08 — Events to off-chain accounting</w:t>
      </w:r>
    </w:p>
    <w:p>
      <w:r>
        <w:rPr>
          <w:rFonts w:ascii="Calibri" w:hAnsi="Calibri" w:eastAsia="Calibri" w:cs="Calibri"/>
          <w:sz w:val="22"/>
        </w:rPr>
        <w:t>Indexers and finality systems consume emitted events. Missing configuration-version evidence requires historical state reconstruction and weakens standalone auditability.</w:t>
      </w:r>
    </w:p>
    <w:p>
      <w:pPr>
        <w:pStyle w:val="Heading1"/>
      </w:pPr>
      <w:r>
        <w:t>7. Critical data flows</w:t>
      </w:r>
    </w:p>
    <w:p>
      <w:pPr>
        <w:pStyle w:val="Heading2"/>
      </w:pPr>
      <w:r>
        <w:t>7.1 Native BNB purchase</w:t>
      </w:r>
    </w:p>
    <w:p>
      <w:pPr>
        <w:spacing w:after="160" w:line="280" w:lineRule="auto"/>
        <w:ind w:left="720" w:hanging="360"/>
      </w:pPr>
      <w:r>
        <w:rPr>
          <w:rFonts w:ascii="Calibri" w:hAnsi="Calibri" w:eastAsia="Calibri" w:cs="Calibri"/>
          <w:sz w:val="22"/>
        </w:rPr>
        <w:t xml:space="preserve">1. </w:t>
      </w:r>
      <w:r>
        <w:rPr>
          <w:rFonts w:ascii="Calibri" w:hAnsi="Calibri" w:eastAsia="Calibri" w:cs="Calibri"/>
          <w:sz w:val="22"/>
        </w:rPr>
        <w:t>Buyer submits expected phase, mode, window, configuration version, minimum AGNT output, and deadline.</w:t>
      </w:r>
    </w:p>
    <w:p>
      <w:pPr>
        <w:spacing w:after="160" w:line="280" w:lineRule="auto"/>
        <w:ind w:left="720" w:hanging="360"/>
      </w:pPr>
      <w:r>
        <w:rPr>
          <w:rFonts w:ascii="Calibri" w:hAnsi="Calibri" w:eastAsia="Calibri" w:cs="Calibri"/>
          <w:sz w:val="22"/>
        </w:rPr>
        <w:t xml:space="preserve">2. </w:t>
      </w:r>
      <w:r>
        <w:rPr>
          <w:rFonts w:ascii="Calibri" w:hAnsi="Calibri" w:eastAsia="Calibri" w:cs="Calibri"/>
          <w:sz w:val="22"/>
        </w:rPr>
        <w:t xml:space="preserve">Swap reads </w:t>
      </w:r>
      <w:r>
        <w:rPr>
          <w:rFonts w:ascii="Consolas" w:hAnsi="Consolas" w:eastAsia="Consolas" w:cs="Consolas"/>
          <w:color w:val="1F4D78"/>
          <w:sz w:val="20"/>
        </w:rPr>
        <w:t>purchaseTerms()</w:t>
      </w:r>
      <w:r>
        <w:rPr>
          <w:rFonts w:ascii="Calibri" w:hAnsi="Calibri" w:eastAsia="Calibri" w:cs="Calibri"/>
          <w:sz w:val="22"/>
        </w:rPr>
        <w:t xml:space="preserve"> from the Registry.</w:t>
      </w:r>
    </w:p>
    <w:p>
      <w:pPr>
        <w:spacing w:after="160" w:line="280" w:lineRule="auto"/>
        <w:ind w:left="720" w:hanging="360"/>
      </w:pPr>
      <w:r>
        <w:rPr>
          <w:rFonts w:ascii="Calibri" w:hAnsi="Calibri" w:eastAsia="Calibri" w:cs="Calibri"/>
          <w:sz w:val="22"/>
        </w:rPr>
        <w:t xml:space="preserve">3. </w:t>
      </w:r>
      <w:r>
        <w:rPr>
          <w:rFonts w:ascii="Calibri" w:hAnsi="Calibri" w:eastAsia="Calibri" w:cs="Calibri"/>
          <w:sz w:val="22"/>
        </w:rPr>
        <w:t>Swap reads and validates the BNB oracle observation.</w:t>
      </w:r>
    </w:p>
    <w:p>
      <w:pPr>
        <w:spacing w:after="160" w:line="280" w:lineRule="auto"/>
        <w:ind w:left="720" w:hanging="360"/>
      </w:pPr>
      <w:r>
        <w:rPr>
          <w:rFonts w:ascii="Calibri" w:hAnsi="Calibri" w:eastAsia="Calibri" w:cs="Calibri"/>
          <w:sz w:val="22"/>
        </w:rPr>
        <w:t xml:space="preserve">4. </w:t>
      </w:r>
      <w:r>
        <w:rPr>
          <w:rFonts w:ascii="Calibri" w:hAnsi="Calibri" w:eastAsia="Calibri" w:cs="Calibri"/>
          <w:sz w:val="22"/>
        </w:rPr>
        <w:t>Swap calculates USD value and AGNT output.</w:t>
      </w:r>
    </w:p>
    <w:p>
      <w:pPr>
        <w:spacing w:after="160" w:line="280" w:lineRule="auto"/>
        <w:ind w:left="720" w:hanging="360"/>
      </w:pPr>
      <w:r>
        <w:rPr>
          <w:rFonts w:ascii="Calibri" w:hAnsi="Calibri" w:eastAsia="Calibri" w:cs="Calibri"/>
          <w:sz w:val="22"/>
        </w:rPr>
        <w:t xml:space="preserve">5. </w:t>
      </w:r>
      <w:r>
        <w:rPr>
          <w:rFonts w:ascii="Calibri" w:hAnsi="Calibri" w:eastAsia="Calibri" w:cs="Calibri"/>
          <w:sz w:val="22"/>
        </w:rPr>
        <w:t>Swap transfers or escrows AGNT and records wallet purchase receipt data.</w:t>
      </w:r>
    </w:p>
    <w:p>
      <w:pPr>
        <w:spacing w:after="160" w:line="280" w:lineRule="auto"/>
        <w:ind w:left="720" w:hanging="360"/>
      </w:pPr>
      <w:r>
        <w:rPr>
          <w:rFonts w:ascii="Calibri" w:hAnsi="Calibri" w:eastAsia="Calibri" w:cs="Calibri"/>
          <w:sz w:val="22"/>
        </w:rPr>
        <w:t xml:space="preserve">6. </w:t>
      </w:r>
      <w:r>
        <w:rPr>
          <w:rFonts w:ascii="Calibri" w:hAnsi="Calibri" w:eastAsia="Calibri" w:cs="Calibri"/>
          <w:sz w:val="22"/>
        </w:rPr>
        <w:t>Native BNB is forwarded to the sale-proceeds vault.</w:t>
      </w:r>
    </w:p>
    <w:p>
      <w:pPr>
        <w:spacing w:after="160" w:line="280" w:lineRule="auto"/>
        <w:ind w:left="720" w:hanging="360"/>
      </w:pPr>
      <w:r>
        <w:rPr>
          <w:rFonts w:ascii="Calibri" w:hAnsi="Calibri" w:eastAsia="Calibri" w:cs="Calibri"/>
          <w:sz w:val="22"/>
        </w:rPr>
        <w:t xml:space="preserve">7. </w:t>
      </w:r>
      <w:r>
        <w:rPr>
          <w:rFonts w:ascii="Calibri" w:hAnsi="Calibri" w:eastAsia="Calibri" w:cs="Calibri"/>
          <w:sz w:val="22"/>
        </w:rPr>
        <w:t>Settlement event is emitted.</w:t>
      </w:r>
    </w:p>
    <w:p>
      <w:r>
        <w:rPr>
          <w:rFonts w:ascii="Calibri" w:hAnsi="Calibri" w:eastAsia="Calibri" w:cs="Calibri"/>
          <w:sz w:val="22"/>
        </w:rPr>
        <w:t>Threat focus: stale configuration, stale/anomalous oracle, reentrancy, partial accounting, excess output, wrong vault, event incompleteness.</w:t>
      </w:r>
    </w:p>
    <w:p>
      <w:pPr>
        <w:pStyle w:val="Heading2"/>
      </w:pPr>
      <w:r>
        <w:t>7.2 USDT/USDC purchase</w:t>
      </w:r>
    </w:p>
    <w:p>
      <w:pPr>
        <w:spacing w:after="160" w:line="280" w:lineRule="auto"/>
        <w:ind w:left="720" w:hanging="360"/>
      </w:pPr>
      <w:r>
        <w:rPr>
          <w:rFonts w:ascii="Calibri" w:hAnsi="Calibri" w:eastAsia="Calibri" w:cs="Calibri"/>
          <w:sz w:val="22"/>
        </w:rPr>
        <w:t xml:space="preserve">1. </w:t>
      </w:r>
      <w:r>
        <w:rPr>
          <w:rFonts w:ascii="Calibri" w:hAnsi="Calibri" w:eastAsia="Calibri" w:cs="Calibri"/>
          <w:sz w:val="22"/>
        </w:rPr>
        <w:t>Buyer authorizes the exact stablecoin amount off-chain.</w:t>
      </w:r>
    </w:p>
    <w:p>
      <w:pPr>
        <w:spacing w:after="160" w:line="280" w:lineRule="auto"/>
        <w:ind w:left="720" w:hanging="360"/>
      </w:pPr>
      <w:r>
        <w:rPr>
          <w:rFonts w:ascii="Calibri" w:hAnsi="Calibri" w:eastAsia="Calibri" w:cs="Calibri"/>
          <w:sz w:val="22"/>
        </w:rPr>
        <w:t xml:space="preserve">2. </w:t>
      </w:r>
      <w:r>
        <w:rPr>
          <w:rFonts w:ascii="Calibri" w:hAnsi="Calibri" w:eastAsia="Calibri" w:cs="Calibri"/>
          <w:sz w:val="22"/>
        </w:rPr>
        <w:t>Swap verifies current Registry terms.</w:t>
      </w:r>
    </w:p>
    <w:p>
      <w:pPr>
        <w:spacing w:after="160" w:line="280" w:lineRule="auto"/>
        <w:ind w:left="720" w:hanging="360"/>
      </w:pPr>
      <w:r>
        <w:rPr>
          <w:rFonts w:ascii="Calibri" w:hAnsi="Calibri" w:eastAsia="Calibri" w:cs="Calibri"/>
          <w:sz w:val="22"/>
        </w:rPr>
        <w:t xml:space="preserve">3. </w:t>
      </w:r>
      <w:r>
        <w:rPr>
          <w:rFonts w:ascii="Calibri" w:hAnsi="Calibri" w:eastAsia="Calibri" w:cs="Calibri"/>
          <w:sz w:val="22"/>
        </w:rPr>
        <w:t>Swap calculates stablecoin USD value using its price feed and decimals.</w:t>
      </w:r>
    </w:p>
    <w:p>
      <w:pPr>
        <w:spacing w:after="160" w:line="280" w:lineRule="auto"/>
        <w:ind w:left="720" w:hanging="360"/>
      </w:pPr>
      <w:r>
        <w:rPr>
          <w:rFonts w:ascii="Calibri" w:hAnsi="Calibri" w:eastAsia="Calibri" w:cs="Calibri"/>
          <w:sz w:val="22"/>
        </w:rPr>
        <w:t xml:space="preserve">4. </w:t>
      </w:r>
      <w:r>
        <w:rPr>
          <w:rFonts w:ascii="Calibri" w:hAnsi="Calibri" w:eastAsia="Calibri" w:cs="Calibri"/>
          <w:sz w:val="22"/>
        </w:rPr>
        <w:t>Stablecoin transfer is reconciled by balance delta.</w:t>
      </w:r>
    </w:p>
    <w:p>
      <w:pPr>
        <w:spacing w:after="160" w:line="280" w:lineRule="auto"/>
        <w:ind w:left="720" w:hanging="360"/>
      </w:pPr>
      <w:r>
        <w:rPr>
          <w:rFonts w:ascii="Calibri" w:hAnsi="Calibri" w:eastAsia="Calibri" w:cs="Calibri"/>
          <w:sz w:val="22"/>
        </w:rPr>
        <w:t xml:space="preserve">5. </w:t>
      </w:r>
      <w:r>
        <w:rPr>
          <w:rFonts w:ascii="Calibri" w:hAnsi="Calibri" w:eastAsia="Calibri" w:cs="Calibri"/>
          <w:sz w:val="22"/>
        </w:rPr>
        <w:t>AGNT output, receipts, and vault transfer settle atomically.</w:t>
      </w:r>
    </w:p>
    <w:p>
      <w:r>
        <w:rPr>
          <w:rFonts w:ascii="Calibri" w:hAnsi="Calibri" w:eastAsia="Calibri" w:cs="Calibri"/>
          <w:sz w:val="22"/>
        </w:rPr>
        <w:t>Threat focus: fee-on-transfer tokens, decimal mismatch, stablecoin depeg, stale-but-acceptable observation, refund-reserve creation.</w:t>
      </w:r>
    </w:p>
    <w:p>
      <w:pPr>
        <w:pStyle w:val="Heading2"/>
      </w:pPr>
      <w:r>
        <w:t>7.3 Presale cost-basis refund</w:t>
      </w:r>
    </w:p>
    <w:p>
      <w:pPr>
        <w:spacing w:after="160" w:line="280" w:lineRule="auto"/>
        <w:ind w:left="720" w:hanging="360"/>
      </w:pPr>
      <w:r>
        <w:rPr>
          <w:rFonts w:ascii="Calibri" w:hAnsi="Calibri" w:eastAsia="Calibri" w:cs="Calibri"/>
          <w:sz w:val="22"/>
        </w:rPr>
        <w:t xml:space="preserve">1. </w:t>
      </w:r>
      <w:r>
        <w:rPr>
          <w:rFonts w:ascii="Calibri" w:hAnsi="Calibri" w:eastAsia="Calibri" w:cs="Calibri"/>
          <w:sz w:val="22"/>
        </w:rPr>
        <w:t>Redeemer submits expected phase, mode, configuration version, minimum USDT output, deadline, and execution nonce.</w:t>
      </w:r>
    </w:p>
    <w:p>
      <w:pPr>
        <w:spacing w:after="160" w:line="280" w:lineRule="auto"/>
        <w:ind w:left="720" w:hanging="360"/>
      </w:pPr>
      <w:r>
        <w:rPr>
          <w:rFonts w:ascii="Calibri" w:hAnsi="Calibri" w:eastAsia="Calibri" w:cs="Calibri"/>
          <w:sz w:val="22"/>
        </w:rPr>
        <w:t xml:space="preserve">2. </w:t>
      </w:r>
      <w:r>
        <w:rPr>
          <w:rFonts w:ascii="Calibri" w:hAnsi="Calibri" w:eastAsia="Calibri" w:cs="Calibri"/>
          <w:sz w:val="22"/>
        </w:rPr>
        <w:t>Redemption derives refund value from the wallet's recorded purchase cost basis.</w:t>
      </w:r>
    </w:p>
    <w:p>
      <w:pPr>
        <w:spacing w:after="160" w:line="280" w:lineRule="auto"/>
        <w:ind w:left="720" w:hanging="360"/>
      </w:pPr>
      <w:r>
        <w:rPr>
          <w:rFonts w:ascii="Calibri" w:hAnsi="Calibri" w:eastAsia="Calibri" w:cs="Calibri"/>
          <w:sz w:val="22"/>
        </w:rPr>
        <w:t xml:space="preserve">3. </w:t>
      </w:r>
      <w:r>
        <w:rPr>
          <w:rFonts w:ascii="Calibri" w:hAnsi="Calibri" w:eastAsia="Calibri" w:cs="Calibri"/>
          <w:sz w:val="22"/>
        </w:rPr>
        <w:t>Entitlement, reserve, manual-review threshold, wallet/global daily totals, and nonce are checked.</w:t>
      </w:r>
    </w:p>
    <w:p>
      <w:pPr>
        <w:spacing w:after="160" w:line="280" w:lineRule="auto"/>
        <w:ind w:left="720" w:hanging="360"/>
      </w:pPr>
      <w:r>
        <w:rPr>
          <w:rFonts w:ascii="Calibri" w:hAnsi="Calibri" w:eastAsia="Calibri" w:cs="Calibri"/>
          <w:sz w:val="22"/>
        </w:rPr>
        <w:t xml:space="preserve">4. </w:t>
      </w:r>
      <w:r>
        <w:rPr>
          <w:rFonts w:ascii="Calibri" w:hAnsi="Calibri" w:eastAsia="Calibri" w:cs="Calibri"/>
          <w:sz w:val="22"/>
        </w:rPr>
        <w:t>Receipt entitlement and reserve/accounting are updated.</w:t>
      </w:r>
    </w:p>
    <w:p>
      <w:pPr>
        <w:spacing w:after="160" w:line="280" w:lineRule="auto"/>
        <w:ind w:left="720" w:hanging="360"/>
      </w:pPr>
      <w:r>
        <w:rPr>
          <w:rFonts w:ascii="Calibri" w:hAnsi="Calibri" w:eastAsia="Calibri" w:cs="Calibri"/>
          <w:sz w:val="22"/>
        </w:rPr>
        <w:t xml:space="preserve">5. </w:t>
      </w:r>
      <w:r>
        <w:rPr>
          <w:rFonts w:ascii="Calibri" w:hAnsi="Calibri" w:eastAsia="Calibri" w:cs="Calibri"/>
          <w:sz w:val="22"/>
        </w:rPr>
        <w:t>USDT is transferred and the nonce is consumed atomically.</w:t>
      </w:r>
    </w:p>
    <w:p>
      <w:r>
        <w:rPr>
          <w:rFonts w:ascii="Calibri" w:hAnsi="Calibri" w:eastAsia="Calibri" w:cs="Calibri"/>
          <w:sz w:val="22"/>
        </w:rPr>
        <w:t>Threat focus: cross-wallet refund, double refund, splitting around review, UTC boundary burst, insufficient reserve, replay.</w:t>
      </w:r>
    </w:p>
    <w:p>
      <w:pPr>
        <w:pStyle w:val="Heading2"/>
      </w:pPr>
      <w:r>
        <w:t>7.4 Post-launch redemption</w:t>
      </w:r>
    </w:p>
    <w:p>
      <w:pPr>
        <w:spacing w:after="160" w:line="280" w:lineRule="auto"/>
        <w:ind w:left="720" w:hanging="360"/>
      </w:pPr>
      <w:r>
        <w:rPr>
          <w:rFonts w:ascii="Calibri" w:hAnsi="Calibri" w:eastAsia="Calibri" w:cs="Calibri"/>
          <w:sz w:val="22"/>
        </w:rPr>
        <w:t xml:space="preserve">1. </w:t>
      </w:r>
      <w:r>
        <w:rPr>
          <w:rFonts w:ascii="Calibri" w:hAnsi="Calibri" w:eastAsia="Calibri" w:cs="Calibri"/>
          <w:sz w:val="22"/>
        </w:rPr>
        <w:t>Redeemer submits the expected delayed-rate version and bounded parameters.</w:t>
      </w:r>
    </w:p>
    <w:p>
      <w:pPr>
        <w:spacing w:after="160" w:line="280" w:lineRule="auto"/>
        <w:ind w:left="720" w:hanging="360"/>
      </w:pPr>
      <w:r>
        <w:rPr>
          <w:rFonts w:ascii="Calibri" w:hAnsi="Calibri" w:eastAsia="Calibri" w:cs="Calibri"/>
          <w:sz w:val="22"/>
        </w:rPr>
        <w:t xml:space="preserve">2. </w:t>
      </w:r>
      <w:r>
        <w:rPr>
          <w:rFonts w:ascii="Calibri" w:hAnsi="Calibri" w:eastAsia="Calibri" w:cs="Calibri"/>
          <w:sz w:val="22"/>
        </w:rPr>
        <w:t>Redemption validates market mode/configuration and rate version.</w:t>
      </w:r>
    </w:p>
    <w:p>
      <w:pPr>
        <w:spacing w:after="160" w:line="280" w:lineRule="auto"/>
        <w:ind w:left="720" w:hanging="360"/>
      </w:pPr>
      <w:r>
        <w:rPr>
          <w:rFonts w:ascii="Calibri" w:hAnsi="Calibri" w:eastAsia="Calibri" w:cs="Calibri"/>
          <w:sz w:val="22"/>
        </w:rPr>
        <w:t xml:space="preserve">3. </w:t>
      </w:r>
      <w:r>
        <w:rPr>
          <w:rFonts w:ascii="Calibri" w:hAnsi="Calibri" w:eastAsia="Calibri" w:cs="Calibri"/>
          <w:sz w:val="22"/>
        </w:rPr>
        <w:t>AGNT is collected and reconciled by balance delta.</w:t>
      </w:r>
    </w:p>
    <w:p>
      <w:pPr>
        <w:spacing w:after="160" w:line="280" w:lineRule="auto"/>
        <w:ind w:left="720" w:hanging="360"/>
      </w:pPr>
      <w:r>
        <w:rPr>
          <w:rFonts w:ascii="Calibri" w:hAnsi="Calibri" w:eastAsia="Calibri" w:cs="Calibri"/>
          <w:sz w:val="22"/>
        </w:rPr>
        <w:t xml:space="preserve">4. </w:t>
      </w:r>
      <w:r>
        <w:rPr>
          <w:rFonts w:ascii="Calibri" w:hAnsi="Calibri" w:eastAsia="Calibri" w:cs="Calibri"/>
          <w:sz w:val="22"/>
        </w:rPr>
        <w:t>USDT reserve is checked and paid.</w:t>
      </w:r>
    </w:p>
    <w:p>
      <w:pPr>
        <w:spacing w:after="160" w:line="280" w:lineRule="auto"/>
        <w:ind w:left="720" w:hanging="360"/>
      </w:pPr>
      <w:r>
        <w:rPr>
          <w:rFonts w:ascii="Calibri" w:hAnsi="Calibri" w:eastAsia="Calibri" w:cs="Calibri"/>
          <w:sz w:val="22"/>
        </w:rPr>
        <w:t xml:space="preserve">5. </w:t>
      </w:r>
      <w:r>
        <w:rPr>
          <w:rFonts w:ascii="Calibri" w:hAnsi="Calibri" w:eastAsia="Calibri" w:cs="Calibri"/>
          <w:sz w:val="22"/>
        </w:rPr>
        <w:t>Counters and nonce are consumed atomically.</w:t>
      </w:r>
    </w:p>
    <w:p>
      <w:r>
        <w:rPr>
          <w:rFonts w:ascii="Calibri" w:hAnsi="Calibri" w:eastAsia="Calibri" w:cs="Calibri"/>
          <w:sz w:val="22"/>
        </w:rPr>
        <w:t>Threat focus: stale rate/configuration, missing AGNT transfer, replay, reserve drain, split limits.</w:t>
      </w:r>
    </w:p>
    <w:p>
      <w:pPr>
        <w:pStyle w:val="Heading2"/>
      </w:pPr>
      <w:r>
        <w:t>7.5 Purchased-AGNT claim and withdrawals</w:t>
      </w:r>
    </w:p>
    <w:p>
      <w:r>
        <w:rPr>
          <w:rFonts w:ascii="Calibri" w:hAnsi="Calibri" w:eastAsia="Calibri" w:cs="Calibri"/>
          <w:sz w:val="22"/>
        </w:rPr>
        <w:t>At sale end, a wallet can claim recorded purchased AGNT. Owner withdrawals calculate only balances above protected liabilities and unclaimed entitlements.</w:t>
      </w:r>
    </w:p>
    <w:p>
      <w:r>
        <w:rPr>
          <w:rFonts w:ascii="Calibri" w:hAnsi="Calibri" w:eastAsia="Calibri" w:cs="Calibri"/>
          <w:sz w:val="22"/>
        </w:rPr>
        <w:t>Threat focus: double claim, claim/withdraw race, arithmetic truncation, owner removal of protected assets.</w:t>
      </w:r>
    </w:p>
    <w:p>
      <w:pPr>
        <w:pStyle w:val="Heading1"/>
      </w:pPr>
      <w:r>
        <w:t>8. Adversarial scenario register</w:t>
      </w:r>
    </w:p>
    <w:tbl>
      <w:tblPr>
        <w:tblStyle w:val="TableGrid"/>
        <w:tblW w:type="dxa" w:w="9360"/>
        <w:jc w:val="center"/>
        <w:tblLayout w:type="fixed"/>
        <w:tblLook w:firstColumn="1" w:firstRow="1" w:lastColumn="0" w:lastRow="0" w:noHBand="0" w:noVBand="1" w:val="04A0"/>
        <w:tblInd w:w="120" w:type="dxa"/>
      </w:tblPr>
      <w:tblGrid>
        <w:gridCol w:w="1500"/>
        <w:gridCol w:w="2100"/>
        <w:gridCol w:w="3060"/>
        <w:gridCol w:w="2700"/>
      </w:tblGrid>
      <w:tr>
        <w:trPr>
          <w:cantSplit/>
          <w:tblHeader w:val="true"/>
        </w:trPr>
        <w:tc>
          <w:tcPr>
            <w:tcW w:type="dxa" w:w="15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Threat ID</w:t>
            </w:r>
          </w:p>
        </w:tc>
        <w:tc>
          <w:tcPr>
            <w:tcW w:type="dxa" w:w="21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Scenario</w:t>
            </w:r>
          </w:p>
        </w:tc>
        <w:tc>
          <w:tcPr>
            <w:tcW w:type="dxa" w:w="306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Existing controls</w:t>
            </w:r>
          </w:p>
        </w:tc>
        <w:tc>
          <w:tcPr>
            <w:tcW w:type="dxa" w:w="27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Residual result</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T-01</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Replay the same redemption calldata</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Per-wallet expected nonce; nonce consumed in successful atomic execution</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Mitigated</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T-02</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Execute a stale quote after phase/mode/configuration changes</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Expected phase, mode, window/config version, rate version, deadline, and minimum output</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Mitigated</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T-03</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Reenter during token/native settlement</w:t>
            </w:r>
          </w:p>
        </w:tc>
        <w:tc>
          <w:tcPr>
            <w:tcW w:type="dxa" w:w="306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nonReentrant</w:t>
            </w:r>
            <w:r>
              <w:rPr>
                <w:rFonts w:ascii="Calibri" w:hAnsi="Calibri" w:eastAsia="Calibri" w:cs="Calibri"/>
                <w:sz w:val="17"/>
              </w:rPr>
              <w:t xml:space="preserve">, checks-effects-interactions, fixed external targets, </w:t>
            </w:r>
            <w:r>
              <w:rPr>
                <w:rFonts w:ascii="Consolas" w:hAnsi="Consolas" w:eastAsia="Consolas" w:cs="Consolas"/>
                <w:color w:val="1F4D78"/>
                <w:sz w:val="16"/>
              </w:rPr>
              <w:t>SafeERC20</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Mitigated in reviewed paths</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T-04</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Use fee-on-transfer behavior to corrupt accounting</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Before/after token balance reconciliation</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Mitigated for modeled transfer deltas</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T-05</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Refund more than wallet cost basis</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Wallet receipt entitlement and cost-basis decrement</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Mitigated</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T-06</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Claim purchased AGNT twice</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Claim state is cleared before transfer</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Mitigated</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T-07</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Withdraw protected reserve or claim inventory</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Eligible withdrawal calculations preserve recorded liabilities</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sz w:val="17"/>
              </w:rPr>
              <w:t>Mitigated in source</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T-08</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Split redemption to avoid manual review</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Review threshold applies only to each transaction</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b/>
                <w:sz w:val="17"/>
              </w:rPr>
              <w:t>MED-01</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T-09</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Accept purchases while refund reserve is underfunded</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Redemption fails closed, but purchase admission has no projected reserve check</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b/>
                <w:sz w:val="17"/>
              </w:rPr>
              <w:t>MED-02</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T-10</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Supply an anomalous but technically fresh oracle answer</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Positive answer, timestamp, round-order, and max-age checks only</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b/>
                <w:sz w:val="17"/>
              </w:rPr>
              <w:t>MED-03</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T-11</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Burst almost twice a daily limit around UTC midnight</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 xml:space="preserve">Fixed </w:t>
            </w:r>
            <w:r>
              <w:rPr>
                <w:rFonts w:ascii="Consolas" w:hAnsi="Consolas" w:eastAsia="Consolas" w:cs="Consolas"/>
                <w:color w:val="1F4D78"/>
                <w:sz w:val="16"/>
              </w:rPr>
              <w:t>block.timestamp / 1 days</w:t>
            </w:r>
            <w:r>
              <w:rPr>
                <w:rFonts w:ascii="Calibri" w:hAnsi="Calibri" w:eastAsia="Calibri" w:cs="Calibri"/>
                <w:sz w:val="17"/>
              </w:rPr>
              <w:t xml:space="preserve"> counters</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b/>
                <w:sz w:val="17"/>
              </w:rPr>
              <w:t>LOW-01</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T-12</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Compromise a single owner account</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Two-step ownership; delayed post-launch rate only</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b/>
                <w:sz w:val="17"/>
              </w:rPr>
              <w:t>INFO-01</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T-13</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Block vault release or strand forced/unrelated assets</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Immutable recipient and narrow token support</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b/>
                <w:sz w:val="17"/>
              </w:rPr>
              <w:t>INFO-02</w:t>
            </w:r>
          </w:p>
        </w:tc>
      </w:tr>
      <w:tr>
        <w:trPr>
          <w:cantSplit/>
        </w:trPr>
        <w:tc>
          <w:tcPr>
            <w:tcW w:type="dxa" w:w="1500"/>
            <w:vAlign w:val="center"/>
            <w:tcMar>
              <w:top w:w="80" w:type="dxa"/>
              <w:bottom w:w="80" w:type="dxa"/>
              <w:start w:w="120" w:type="dxa"/>
              <w:end w:w="120" w:type="dxa"/>
            </w:tcMar>
          </w:tcPr>
          <w:p>
            <w:pPr>
              <w:spacing w:before="0" w:after="40" w:line="240" w:lineRule="auto"/>
            </w:pPr>
            <w:r>
              <w:rPr>
                <w:rFonts w:ascii="Calibri" w:hAnsi="Calibri" w:eastAsia="Calibri" w:cs="Calibri"/>
                <w:sz w:val="17"/>
              </w:rPr>
              <w:t>T-14</w:t>
            </w:r>
          </w:p>
        </w:tc>
        <w:tc>
          <w:tcPr>
            <w:tcW w:type="dxa" w:w="2100"/>
            <w:vAlign w:val="center"/>
            <w:tcMar>
              <w:top w:w="80" w:type="dxa"/>
              <w:bottom w:w="80" w:type="dxa"/>
              <w:start w:w="120" w:type="dxa"/>
              <w:end w:w="120" w:type="dxa"/>
            </w:tcMar>
          </w:tcPr>
          <w:p>
            <w:pPr>
              <w:spacing w:before="0" w:after="40" w:line="240" w:lineRule="auto"/>
            </w:pPr>
            <w:r>
              <w:rPr>
                <w:rFonts w:ascii="Calibri" w:hAnsi="Calibri" w:eastAsia="Calibri" w:cs="Calibri"/>
                <w:sz w:val="17"/>
              </w:rPr>
              <w:t>Dispute which configuration governed a settlement</w:t>
            </w:r>
          </w:p>
        </w:tc>
        <w:tc>
          <w:tcPr>
            <w:tcW w:type="dxa" w:w="3060"/>
            <w:vAlign w:val="center"/>
            <w:tcMar>
              <w:top w:w="80" w:type="dxa"/>
              <w:bottom w:w="80" w:type="dxa"/>
              <w:start w:w="120" w:type="dxa"/>
              <w:end w:w="120" w:type="dxa"/>
            </w:tcMar>
          </w:tcPr>
          <w:p>
            <w:pPr>
              <w:spacing w:before="0" w:after="40" w:line="240" w:lineRule="auto"/>
            </w:pPr>
            <w:r>
              <w:rPr>
                <w:rFonts w:ascii="Calibri" w:hAnsi="Calibri" w:eastAsia="Calibri" w:cs="Calibri"/>
                <w:sz w:val="17"/>
              </w:rPr>
              <w:t>Some event fields exist, but versions/mode evidence is incomplete</w:t>
            </w:r>
          </w:p>
        </w:tc>
        <w:tc>
          <w:tcPr>
            <w:tcW w:type="dxa" w:w="2700"/>
            <w:vAlign w:val="center"/>
            <w:tcMar>
              <w:top w:w="80" w:type="dxa"/>
              <w:bottom w:w="80" w:type="dxa"/>
              <w:start w:w="120" w:type="dxa"/>
              <w:end w:w="120" w:type="dxa"/>
            </w:tcMar>
          </w:tcPr>
          <w:p>
            <w:pPr>
              <w:spacing w:before="0" w:after="40" w:line="240" w:lineRule="auto"/>
            </w:pPr>
            <w:r>
              <w:rPr>
                <w:rFonts w:ascii="Calibri" w:hAnsi="Calibri" w:eastAsia="Calibri" w:cs="Calibri"/>
                <w:b/>
                <w:sz w:val="17"/>
              </w:rPr>
              <w:t>INFO-03</w:t>
            </w:r>
          </w:p>
        </w:tc>
      </w:tr>
    </w:tbl>
    <w:p>
      <w:pPr>
        <w:spacing w:before="0" w:after="40"/>
      </w:pPr>
    </w:p>
    <w:p>
      <w:pPr>
        <w:pStyle w:val="Heading1"/>
      </w:pPr>
      <w:r>
        <w:t>9. STRIDE-oriented review</w:t>
      </w:r>
    </w:p>
    <w:tbl>
      <w:tblPr>
        <w:tblStyle w:val="TableGrid"/>
        <w:tblW w:type="dxa" w:w="9360"/>
        <w:jc w:val="center"/>
        <w:tblLayout w:type="fixed"/>
        <w:tblLook w:firstColumn="1" w:firstRow="1" w:lastColumn="0" w:lastRow="0" w:noHBand="0" w:noVBand="1" w:val="04A0"/>
        <w:tblInd w:w="120" w:type="dxa"/>
      </w:tblPr>
      <w:tblGrid>
        <w:gridCol w:w="2200"/>
        <w:gridCol w:w="3580"/>
        <w:gridCol w:w="3580"/>
      </w:tblGrid>
      <w:tr>
        <w:trPr>
          <w:cantSplit/>
          <w:tblHeader w:val="true"/>
        </w:trPr>
        <w:tc>
          <w:tcPr>
            <w:tcW w:type="dxa" w:w="22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Category</w:t>
            </w:r>
          </w:p>
        </w:tc>
        <w:tc>
          <w:tcPr>
            <w:tcW w:type="dxa" w:w="358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Modeled examples</w:t>
            </w:r>
          </w:p>
        </w:tc>
        <w:tc>
          <w:tcPr>
            <w:tcW w:type="dxa" w:w="358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Result</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Spoofing</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Cross-wallet purchase/refund attribution; wrong endpoint binding</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Wallet state and Registry binding materially reduce risk</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Tampering</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Stale phase/mode/version; changed rate; modified minimum output</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On-chain comparisons reject stale expected state</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Repudiation</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Incomplete settlement configuration evidence</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Residual INFO-03</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Information disclosure</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Public contract state and events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No confidential on-chain asset was expected</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Denial of service</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Underfunded reserve, rejecting beneficiary, stale oracle, UTC limits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MED-02, INFO-02, plus intended fail-closed behavior</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Elevation of privilege</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Owner compromise or unilateral control</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Residual INFO-01</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alibri" w:hAnsi="Calibri" w:eastAsia="Calibri" w:cs="Calibri"/>
                <w:sz w:val="18"/>
              </w:rPr>
              <w:t>Economic manipulation</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Oracle anomaly, review splitting, boundary bursts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MED-01, MED-03, LOW-01</w:t>
            </w:r>
          </w:p>
        </w:tc>
      </w:tr>
    </w:tbl>
    <w:p>
      <w:pPr>
        <w:spacing w:before="0" w:after="40"/>
      </w:pPr>
    </w:p>
    <w:p>
      <w:pPr>
        <w:pStyle w:val="Heading1"/>
      </w:pPr>
      <w:r>
        <w:t>10. Accepted findings</w:t>
      </w:r>
    </w:p>
    <w:p>
      <w:pPr>
        <w:pStyle w:val="Heading2"/>
      </w:pPr>
      <w:r>
        <w:t>MED-01 — Manual-review threshold can be bypassed by splitting redemptions</w:t>
      </w:r>
    </w:p>
    <w:p>
      <w:r>
        <w:rPr>
          <w:rFonts w:ascii="Calibri" w:hAnsi="Calibri" w:eastAsia="Calibri" w:cs="Calibri"/>
          <w:b/>
          <w:sz w:val="22"/>
        </w:rPr>
        <w:t>Status:</w:t>
      </w:r>
      <w:r>
        <w:rPr>
          <w:rFonts w:ascii="Calibri" w:hAnsi="Calibri" w:eastAsia="Calibri" w:cs="Calibri"/>
          <w:sz w:val="22"/>
        </w:rPr>
        <w:t xml:space="preserve"> Open; no remediation retest</w:t>
      </w:r>
    </w:p>
    <w:p>
      <w:r>
        <w:rPr>
          <w:rFonts w:ascii="Calibri" w:hAnsi="Calibri" w:eastAsia="Calibri" w:cs="Calibri"/>
          <w:b/>
          <w:sz w:val="22"/>
        </w:rPr>
        <w:t>Affected code:</w:t>
      </w:r>
      <w:r>
        <w:rPr>
          <w:rFonts w:ascii="Calibri" w:hAnsi="Calibri" w:eastAsia="Calibri" w:cs="Calibri"/>
          <w:sz w:val="22"/>
        </w:rPr>
        <w:t xml:space="preserve"> </w:t>
      </w:r>
      <w:hyperlink r:id="rId14">
        <w:r>
          <w:rPr>
            <w:color w:val="2E74B5"/>
            <w:u w:val="single"/>
          </w:rPr>
          <w:t>`AegentRedemptionV2.sol:L190-L227`</w:t>
        </w:r>
      </w:hyperlink>
      <w:r>
        <w:rPr>
          <w:rFonts w:ascii="Calibri" w:hAnsi="Calibri" w:eastAsia="Calibri" w:cs="Calibri"/>
          <w:sz w:val="22"/>
        </w:rPr>
        <w:t xml:space="preserve">, </w:t>
      </w:r>
      <w:hyperlink r:id="rId15">
        <w:r>
          <w:rPr>
            <w:color w:val="2E74B5"/>
            <w:u w:val="single"/>
          </w:rPr>
          <w:t>`AegentRedemptionV2.sol:L694-L731`</w:t>
        </w:r>
      </w:hyperlink>
    </w:p>
    <w:p>
      <w:r>
        <w:rPr>
          <w:rFonts w:ascii="Calibri" w:hAnsi="Calibri" w:eastAsia="Calibri" w:cs="Calibri"/>
          <w:b/>
          <w:sz w:val="22"/>
        </w:rPr>
        <w:t>Test evidence:</w:t>
      </w:r>
      <w:r>
        <w:rPr>
          <w:rFonts w:ascii="Calibri" w:hAnsi="Calibri" w:eastAsia="Calibri" w:cs="Calibri"/>
          <w:sz w:val="22"/>
        </w:rPr>
        <w:t xml:space="preserve"> </w:t>
      </w:r>
      <w:hyperlink r:id="rId16">
        <w:r>
          <w:rPr>
            <w:color w:val="2E74B5"/>
            <w:u w:val="single"/>
          </w:rPr>
          <w:t>`AegentRedemptionV2.test.cjs:L454-L494`</w:t>
        </w:r>
      </w:hyperlink>
    </w:p>
    <w:p>
      <w:r>
        <w:rPr>
          <w:rFonts w:ascii="Consolas" w:hAnsi="Consolas" w:eastAsia="Consolas" w:cs="Consolas"/>
          <w:color w:val="1F4D78"/>
          <w:sz w:val="20"/>
        </w:rPr>
        <w:t>manualReviewThresholdUsdt</w:t>
      </w:r>
      <w:r>
        <w:rPr>
          <w:rFonts w:ascii="Calibri" w:hAnsi="Calibri" w:eastAsia="Calibri" w:cs="Calibri"/>
          <w:sz w:val="22"/>
        </w:rPr>
        <w:t xml:space="preserve"> is compared with only the current transaction's </w:t>
      </w:r>
      <w:r>
        <w:rPr>
          <w:rFonts w:ascii="Consolas" w:hAnsi="Consolas" w:eastAsia="Consolas" w:cs="Consolas"/>
          <w:color w:val="1F4D78"/>
          <w:sz w:val="20"/>
        </w:rPr>
        <w:t>grossUsdt</w:t>
      </w:r>
      <w:r>
        <w:rPr>
          <w:rFonts w:ascii="Calibri" w:hAnsi="Calibri" w:eastAsia="Calibri" w:cs="Calibri"/>
          <w:sz w:val="22"/>
        </w:rPr>
        <w:t>. Cumulative wallet usage is checked against a separate daily limit. The supplied test demonstrates that one 201-USDT-equivalent redemption reverts, two separate 200-USDT-equivalent redemptions succeed, and a third is rejected only because the wallet daily amount would exceed 400 USDT.</w:t>
      </w:r>
    </w:p>
    <w:p>
      <w:r>
        <w:rPr>
          <w:rFonts w:ascii="Calibri" w:hAnsi="Calibri" w:eastAsia="Calibri" w:cs="Calibri"/>
          <w:b/>
          <w:sz w:val="22"/>
        </w:rPr>
        <w:t>Threat path:</w:t>
      </w:r>
      <w:r>
        <w:rPr>
          <w:rFonts w:ascii="Calibri" w:hAnsi="Calibri" w:eastAsia="Calibri" w:cs="Calibri"/>
          <w:sz w:val="22"/>
        </w:rPr>
        <w:t xml:space="preserve"> Split one reviewable redemption into multiple sub-threshold calls within the same permitted daily total.</w:t>
      </w:r>
    </w:p>
    <w:p>
      <w:r>
        <w:rPr>
          <w:rFonts w:ascii="Calibri" w:hAnsi="Calibri" w:eastAsia="Calibri" w:cs="Calibri"/>
          <w:b/>
          <w:sz w:val="22"/>
        </w:rPr>
        <w:t>Impact:</w:t>
      </w:r>
      <w:r>
        <w:rPr>
          <w:rFonts w:ascii="Calibri" w:hAnsi="Calibri" w:eastAsia="Calibri" w:cs="Calibri"/>
          <w:sz w:val="22"/>
        </w:rPr>
        <w:t xml:space="preserve"> The intended manual-review/AML control can be avoided while other entitlement, reserve, AGNT, and daily-limit controls remain intact.</w:t>
      </w:r>
    </w:p>
    <w:p>
      <w:r>
        <w:rPr>
          <w:rFonts w:ascii="Calibri" w:hAnsi="Calibri" w:eastAsia="Calibri" w:cs="Calibri"/>
          <w:b/>
          <w:sz w:val="22"/>
        </w:rPr>
        <w:t>Recommendation:</w:t>
      </w:r>
      <w:r>
        <w:rPr>
          <w:rFonts w:ascii="Calibri" w:hAnsi="Calibri" w:eastAsia="Calibri" w:cs="Calibri"/>
          <w:sz w:val="22"/>
        </w:rPr>
        <w:t xml:space="preserve"> Apply the review decision to cumulative rolling/daily wallet value, or require a reviewer-signed authorization bound to wallet, maximum amount, nonce, and expiry. Add negative tests for sequential splitting.</w:t>
      </w:r>
    </w:p>
    <w:p>
      <w:pPr>
        <w:pStyle w:val="Heading2"/>
      </w:pPr>
      <w:r>
        <w:t>MED-02 — Purchases can increase refund liability without enforced reserve collateral</w:t>
      </w:r>
    </w:p>
    <w:p>
      <w:r>
        <w:rPr>
          <w:rFonts w:ascii="Calibri" w:hAnsi="Calibri" w:eastAsia="Calibri" w:cs="Calibri"/>
          <w:b/>
          <w:sz w:val="22"/>
        </w:rPr>
        <w:t>Status:</w:t>
      </w:r>
      <w:r>
        <w:rPr>
          <w:rFonts w:ascii="Calibri" w:hAnsi="Calibri" w:eastAsia="Calibri" w:cs="Calibri"/>
          <w:sz w:val="22"/>
        </w:rPr>
        <w:t xml:space="preserve"> Open; no remediation retest</w:t>
      </w:r>
    </w:p>
    <w:p>
      <w:r>
        <w:rPr>
          <w:rFonts w:ascii="Calibri" w:hAnsi="Calibri" w:eastAsia="Calibri" w:cs="Calibri"/>
          <w:b/>
          <w:sz w:val="22"/>
        </w:rPr>
        <w:t>Affected code:</w:t>
      </w:r>
      <w:r>
        <w:rPr>
          <w:rFonts w:ascii="Calibri" w:hAnsi="Calibri" w:eastAsia="Calibri" w:cs="Calibri"/>
          <w:sz w:val="22"/>
        </w:rPr>
        <w:t xml:space="preserve"> </w:t>
      </w:r>
      <w:hyperlink r:id="rId17">
        <w:r>
          <w:rPr>
            <w:color w:val="2E74B5"/>
            <w:u w:val="single"/>
          </w:rPr>
          <w:t>`AegentMarketRegistry.sol:L186-L227`</w:t>
        </w:r>
      </w:hyperlink>
      <w:r>
        <w:rPr>
          <w:rFonts w:ascii="Calibri" w:hAnsi="Calibri" w:eastAsia="Calibri" w:cs="Calibri"/>
          <w:sz w:val="22"/>
        </w:rPr>
        <w:t xml:space="preserve">, </w:t>
      </w:r>
      <w:hyperlink r:id="rId18">
        <w:r>
          <w:rPr>
            <w:color w:val="2E74B5"/>
            <w:u w:val="single"/>
          </w:rPr>
          <w:t>`AegentSwapV2.sol:L249-L289`</w:t>
        </w:r>
      </w:hyperlink>
      <w:r>
        <w:rPr>
          <w:rFonts w:ascii="Calibri" w:hAnsi="Calibri" w:eastAsia="Calibri" w:cs="Calibri"/>
          <w:sz w:val="22"/>
        </w:rPr>
        <w:t xml:space="preserve">, </w:t>
      </w:r>
      <w:hyperlink r:id="rId19">
        <w:r>
          <w:rPr>
            <w:color w:val="2E74B5"/>
            <w:u w:val="single"/>
          </w:rPr>
          <w:t>`AegentSwapV2.sol:L358-L380`</w:t>
        </w:r>
      </w:hyperlink>
      <w:r>
        <w:rPr>
          <w:rFonts w:ascii="Calibri" w:hAnsi="Calibri" w:eastAsia="Calibri" w:cs="Calibri"/>
          <w:sz w:val="22"/>
        </w:rPr>
        <w:t xml:space="preserve">, </w:t>
      </w:r>
      <w:hyperlink r:id="rId20">
        <w:r>
          <w:rPr>
            <w:color w:val="2E74B5"/>
            <w:u w:val="single"/>
          </w:rPr>
          <w:t>`AegentRedemptionV2.sol:L522-L553`</w:t>
        </w:r>
      </w:hyperlink>
      <w:r>
        <w:rPr>
          <w:rFonts w:ascii="Calibri" w:hAnsi="Calibri" w:eastAsia="Calibri" w:cs="Calibri"/>
          <w:sz w:val="22"/>
        </w:rPr>
        <w:t xml:space="preserve">, </w:t>
      </w:r>
      <w:hyperlink r:id="rId21">
        <w:r>
          <w:rPr>
            <w:color w:val="2E74B5"/>
            <w:u w:val="single"/>
          </w:rPr>
          <w:t>`AegentSaleProceedsVault.sol:L69-L100`</w:t>
        </w:r>
      </w:hyperlink>
    </w:p>
    <w:p>
      <w:r>
        <w:rPr>
          <w:rFonts w:ascii="Calibri" w:hAnsi="Calibri" w:eastAsia="Calibri" w:cs="Calibri"/>
          <w:b/>
          <w:sz w:val="22"/>
        </w:rPr>
        <w:t>Test evidence:</w:t>
      </w:r>
      <w:r>
        <w:rPr>
          <w:rFonts w:ascii="Calibri" w:hAnsi="Calibri" w:eastAsia="Calibri" w:cs="Calibri"/>
          <w:sz w:val="22"/>
        </w:rPr>
        <w:t xml:space="preserve"> </w:t>
      </w:r>
      <w:hyperlink r:id="rId22">
        <w:r>
          <w:rPr>
            <w:color w:val="2E74B5"/>
            <w:u w:val="single"/>
          </w:rPr>
          <w:t>`AegentRedemptionV2.test.cjs:L240-L274`</w:t>
        </w:r>
      </w:hyperlink>
      <w:r>
        <w:rPr>
          <w:rFonts w:ascii="Calibri" w:hAnsi="Calibri" w:eastAsia="Calibri" w:cs="Calibri"/>
          <w:sz w:val="22"/>
        </w:rPr>
        <w:t xml:space="preserve">, </w:t>
      </w:r>
      <w:hyperlink r:id="rId23">
        <w:r>
          <w:rPr>
            <w:color w:val="2E74B5"/>
            <w:u w:val="single"/>
          </w:rPr>
          <w:t>`AegentV2Integration.test.cjs:L98-L107`</w:t>
        </w:r>
      </w:hyperlink>
    </w:p>
    <w:p>
      <w:r>
        <w:rPr>
          <w:rFonts w:ascii="Consolas" w:hAnsi="Consolas" w:eastAsia="Consolas" w:cs="Consolas"/>
          <w:color w:val="1F4D78"/>
          <w:sz w:val="20"/>
        </w:rPr>
        <w:t>purchaseTerms()</w:t>
      </w:r>
      <w:r>
        <w:rPr>
          <w:rFonts w:ascii="Calibri" w:hAnsi="Calibri" w:eastAsia="Calibri" w:cs="Calibri"/>
          <w:sz w:val="22"/>
        </w:rPr>
        <w:t xml:space="preserve"> validates schedule, mode, windows, and endpoint compatibility but not reserve collateral. Both native and stable purchase paths can accept consideration and increase wallet refund liability without checking projected USDT reserve coverage. Redemption later fails closed if the reserve is inadequate. The proceeds vault is separate and locked until sale end, so accepted consideration does not automatically fund the redemption reserve.</w:t>
      </w:r>
    </w:p>
    <w:p>
      <w:r>
        <w:rPr>
          <w:rFonts w:ascii="Calibri" w:hAnsi="Calibri" w:eastAsia="Calibri" w:cs="Calibri"/>
          <w:b/>
          <w:sz w:val="22"/>
        </w:rPr>
        <w:t>Threat path:</w:t>
      </w:r>
      <w:r>
        <w:rPr>
          <w:rFonts w:ascii="Calibri" w:hAnsi="Calibri" w:eastAsia="Calibri" w:cs="Calibri"/>
          <w:sz w:val="22"/>
        </w:rPr>
        <w:t xml:space="preserve"> Keep purchase mode open while reserve funding is absent or falls behind new liabilities; buyers receive recorded claims but cannot exercise cost-basis refunds until an operator tops up USDT.</w:t>
      </w:r>
    </w:p>
    <w:p>
      <w:r>
        <w:rPr>
          <w:rFonts w:ascii="Calibri" w:hAnsi="Calibri" w:eastAsia="Calibri" w:cs="Calibri"/>
          <w:b/>
          <w:sz w:val="22"/>
        </w:rPr>
        <w:t>Impact:</w:t>
      </w:r>
      <w:r>
        <w:rPr>
          <w:rFonts w:ascii="Calibri" w:hAnsi="Calibri" w:eastAsia="Calibri" w:cs="Calibri"/>
          <w:sz w:val="22"/>
        </w:rPr>
        <w:t xml:space="preserve"> Bounded insolvency/availability gap for refunds; the system can accept obligations that are not immediately serviceable.</w:t>
      </w:r>
    </w:p>
    <w:p>
      <w:r>
        <w:rPr>
          <w:rFonts w:ascii="Calibri" w:hAnsi="Calibri" w:eastAsia="Calibri" w:cs="Calibri"/>
          <w:b/>
          <w:sz w:val="22"/>
        </w:rPr>
        <w:t>Recommendation:</w:t>
      </w:r>
      <w:r>
        <w:rPr>
          <w:rFonts w:ascii="Calibri" w:hAnsi="Calibri" w:eastAsia="Calibri" w:cs="Calibri"/>
          <w:sz w:val="22"/>
        </w:rPr>
        <w:t xml:space="preserve"> Require projected reserve coverage during each purchase or pre-lock the maximum possible liability before enabling sales. Test atomic rejection for underfunded BNB, USDT, and USDC purchases.</w:t>
      </w:r>
    </w:p>
    <w:p>
      <w:pPr>
        <w:pStyle w:val="Heading2"/>
      </w:pPr>
      <w:r>
        <w:t>MED-03 — Freshness-only oracle validation lacks bounds and deviation circuit breakers</w:t>
      </w:r>
    </w:p>
    <w:p>
      <w:r>
        <w:rPr>
          <w:rFonts w:ascii="Calibri" w:hAnsi="Calibri" w:eastAsia="Calibri" w:cs="Calibri"/>
          <w:b/>
          <w:sz w:val="22"/>
        </w:rPr>
        <w:t>Status:</w:t>
      </w:r>
      <w:r>
        <w:rPr>
          <w:rFonts w:ascii="Calibri" w:hAnsi="Calibri" w:eastAsia="Calibri" w:cs="Calibri"/>
          <w:sz w:val="22"/>
        </w:rPr>
        <w:t xml:space="preserve"> Open; no remediation retest</w:t>
      </w:r>
    </w:p>
    <w:p>
      <w:r>
        <w:rPr>
          <w:rFonts w:ascii="Calibri" w:hAnsi="Calibri" w:eastAsia="Calibri" w:cs="Calibri"/>
          <w:b/>
          <w:sz w:val="22"/>
        </w:rPr>
        <w:t>Affected code:</w:t>
      </w:r>
      <w:r>
        <w:rPr>
          <w:rFonts w:ascii="Calibri" w:hAnsi="Calibri" w:eastAsia="Calibri" w:cs="Calibri"/>
          <w:sz w:val="22"/>
        </w:rPr>
        <w:t xml:space="preserve"> </w:t>
      </w:r>
      <w:hyperlink r:id="rId24">
        <w:r>
          <w:rPr>
            <w:color w:val="2E74B5"/>
            <w:u w:val="single"/>
          </w:rPr>
          <w:t>`AegentSwapV2.sol:L165-L167`</w:t>
        </w:r>
      </w:hyperlink>
      <w:r>
        <w:rPr>
          <w:rFonts w:ascii="Calibri" w:hAnsi="Calibri" w:eastAsia="Calibri" w:cs="Calibri"/>
          <w:sz w:val="22"/>
        </w:rPr>
        <w:t xml:space="preserve">, </w:t>
      </w:r>
      <w:hyperlink r:id="rId25">
        <w:r>
          <w:rPr>
            <w:color w:val="2E74B5"/>
            <w:u w:val="single"/>
          </w:rPr>
          <w:t>`AegentSwapV2.sol:L552-L618`</w:t>
        </w:r>
      </w:hyperlink>
    </w:p>
    <w:p>
      <w:r>
        <w:rPr>
          <w:rFonts w:ascii="Calibri" w:hAnsi="Calibri" w:eastAsia="Calibri" w:cs="Calibri"/>
          <w:b/>
          <w:sz w:val="22"/>
        </w:rPr>
        <w:t>Test evidence:</w:t>
      </w:r>
      <w:r>
        <w:rPr>
          <w:rFonts w:ascii="Calibri" w:hAnsi="Calibri" w:eastAsia="Calibri" w:cs="Calibri"/>
          <w:sz w:val="22"/>
        </w:rPr>
        <w:t xml:space="preserve"> </w:t>
      </w:r>
      <w:hyperlink r:id="rId26">
        <w:r>
          <w:rPr>
            <w:color w:val="2E74B5"/>
            <w:u w:val="single"/>
          </w:rPr>
          <w:t>`AegentSwapV2.test.cjs:L424-L468`</w:t>
        </w:r>
      </w:hyperlink>
    </w:p>
    <w:p>
      <w:r>
        <w:rPr>
          <w:rFonts w:ascii="Calibri" w:hAnsi="Calibri" w:eastAsia="Calibri" w:cs="Calibri"/>
          <w:sz w:val="22"/>
        </w:rPr>
        <w:t>The adapter checks positive answer, nonzero/nonfuture timestamp, completed round ordering, and one global maximum age bounded at six hours. It does not apply per-feed heartbeat, absolute bounds, deviation from prior observations, secondary-source agreement, or automatic pause.</w:t>
      </w:r>
    </w:p>
    <w:p>
      <w:r>
        <w:rPr>
          <w:rFonts w:ascii="Calibri" w:hAnsi="Calibri" w:eastAsia="Calibri" w:cs="Calibri"/>
          <w:sz w:val="22"/>
        </w:rPr>
        <w:t>Stablecoin upside is capped at one dollar and a fresh 0.80 price is handled, but a fast depeg may remain hidden inside the allowed age. A fresh anomalously high BNB value can release excess AGNT up to inventory and sale caps.</w:t>
      </w:r>
    </w:p>
    <w:p>
      <w:r>
        <w:rPr>
          <w:rFonts w:ascii="Calibri" w:hAnsi="Calibri" w:eastAsia="Calibri" w:cs="Calibri"/>
          <w:b/>
          <w:sz w:val="22"/>
        </w:rPr>
        <w:t>Threat path:</w:t>
      </w:r>
      <w:r>
        <w:rPr>
          <w:rFonts w:ascii="Calibri" w:hAnsi="Calibri" w:eastAsia="Calibri" w:cs="Calibri"/>
          <w:sz w:val="22"/>
        </w:rPr>
        <w:t xml:space="preserve"> Exploit a feed malfunction or economically stale-within-age observation before the configured age expires.</w:t>
      </w:r>
    </w:p>
    <w:p>
      <w:r>
        <w:rPr>
          <w:rFonts w:ascii="Calibri" w:hAnsi="Calibri" w:eastAsia="Calibri" w:cs="Calibri"/>
          <w:b/>
          <w:sz w:val="22"/>
        </w:rPr>
        <w:t>Impact:</w:t>
      </w:r>
      <w:r>
        <w:rPr>
          <w:rFonts w:ascii="Calibri" w:hAnsi="Calibri" w:eastAsia="Calibri" w:cs="Calibri"/>
          <w:sz w:val="22"/>
        </w:rPr>
        <w:t xml:space="preserve"> Invalid quotes can over-distribute AGNT or produce materially poor user execution.</w:t>
      </w:r>
    </w:p>
    <w:p>
      <w:r>
        <w:rPr>
          <w:rFonts w:ascii="Calibri" w:hAnsi="Calibri" w:eastAsia="Calibri" w:cs="Calibri"/>
          <w:b/>
          <w:sz w:val="22"/>
        </w:rPr>
        <w:t>Recommendation:</w:t>
      </w:r>
      <w:r>
        <w:rPr>
          <w:rFonts w:ascii="Calibri" w:hAnsi="Calibri" w:eastAsia="Calibri" w:cs="Calibri"/>
          <w:sz w:val="22"/>
        </w:rPr>
        <w:t xml:space="preserve"> Use feed-specific heartbeat, absolute min/max, deviation threshold, stablecoin floor, and automatic pause. Add extreme-fresh-value and fast-deviation tests.</w:t>
      </w:r>
    </w:p>
    <w:p>
      <w:pPr>
        <w:pStyle w:val="Heading2"/>
      </w:pPr>
      <w:r>
        <w:t>LOW-01 — Fixed UTC daily buckets permit near-two-times throughput at a boundary</w:t>
      </w:r>
    </w:p>
    <w:p>
      <w:r>
        <w:rPr>
          <w:rFonts w:ascii="Calibri" w:hAnsi="Calibri" w:eastAsia="Calibri" w:cs="Calibri"/>
          <w:b/>
          <w:sz w:val="22"/>
        </w:rPr>
        <w:t>Status:</w:t>
      </w:r>
      <w:r>
        <w:rPr>
          <w:rFonts w:ascii="Calibri" w:hAnsi="Calibri" w:eastAsia="Calibri" w:cs="Calibri"/>
          <w:sz w:val="22"/>
        </w:rPr>
        <w:t xml:space="preserve"> Open; no remediation retest</w:t>
      </w:r>
    </w:p>
    <w:p>
      <w:r>
        <w:rPr>
          <w:rFonts w:ascii="Calibri" w:hAnsi="Calibri" w:eastAsia="Calibri" w:cs="Calibri"/>
          <w:b/>
          <w:sz w:val="22"/>
        </w:rPr>
        <w:t>Affected code:</w:t>
      </w:r>
      <w:r>
        <w:rPr>
          <w:rFonts w:ascii="Calibri" w:hAnsi="Calibri" w:eastAsia="Calibri" w:cs="Calibri"/>
          <w:sz w:val="22"/>
        </w:rPr>
        <w:t xml:space="preserve"> </w:t>
      </w:r>
      <w:hyperlink r:id="rId27">
        <w:r>
          <w:rPr>
            <w:color w:val="2E74B5"/>
            <w:u w:val="single"/>
          </w:rPr>
          <w:t>`AegentRedemptionV2.sol:L713-L731`</w:t>
        </w:r>
      </w:hyperlink>
    </w:p>
    <w:p>
      <w:r>
        <w:rPr>
          <w:rFonts w:ascii="Calibri" w:hAnsi="Calibri" w:eastAsia="Calibri" w:cs="Calibri"/>
          <w:sz w:val="22"/>
        </w:rPr>
        <w:t xml:space="preserve">Counters reset at </w:t>
      </w:r>
      <w:r>
        <w:rPr>
          <w:rFonts w:ascii="Consolas" w:hAnsi="Consolas" w:eastAsia="Consolas" w:cs="Consolas"/>
          <w:color w:val="1F4D78"/>
          <w:sz w:val="20"/>
        </w:rPr>
        <w:t>block.timestamp / 1 days</w:t>
      </w:r>
      <w:r>
        <w:rPr>
          <w:rFonts w:ascii="Calibri" w:hAnsi="Calibri" w:eastAsia="Calibri" w:cs="Calibri"/>
          <w:sz w:val="22"/>
        </w:rPr>
        <w:t>. Full use immediately before and after a UTC boundary creates almost twice the nominal daily throughput in a short interval.</w:t>
      </w:r>
    </w:p>
    <w:p>
      <w:r>
        <w:rPr>
          <w:rFonts w:ascii="Calibri" w:hAnsi="Calibri" w:eastAsia="Calibri" w:cs="Calibri"/>
          <w:b/>
          <w:sz w:val="22"/>
        </w:rPr>
        <w:t>Impact:</w:t>
      </w:r>
      <w:r>
        <w:rPr>
          <w:rFonts w:ascii="Calibri" w:hAnsi="Calibri" w:eastAsia="Calibri" w:cs="Calibri"/>
          <w:sz w:val="22"/>
        </w:rPr>
        <w:t xml:space="preserve"> Short-window risk exposure exceeds the intuitive daily limit, although entitlement and reserve checks still apply.</w:t>
      </w:r>
    </w:p>
    <w:p>
      <w:r>
        <w:rPr>
          <w:rFonts w:ascii="Calibri" w:hAnsi="Calibri" w:eastAsia="Calibri" w:cs="Calibri"/>
          <w:b/>
          <w:sz w:val="22"/>
        </w:rPr>
        <w:t>Recommendation:</w:t>
      </w:r>
      <w:r>
        <w:rPr>
          <w:rFonts w:ascii="Calibri" w:hAnsi="Calibri" w:eastAsia="Calibri" w:cs="Calibri"/>
          <w:sz w:val="22"/>
        </w:rPr>
        <w:t xml:space="preserve"> Use a rolling 24-hour or token-bucket design, or explicitly size and document the worst-case two-epoch burst.</w:t>
      </w:r>
    </w:p>
    <w:p>
      <w:pPr>
        <w:pStyle w:val="Heading2"/>
      </w:pPr>
      <w:r>
        <w:t>INFO-01 — Privileged controls do not enforce a multisig or general timelock</w:t>
      </w:r>
    </w:p>
    <w:p>
      <w:r>
        <w:rPr>
          <w:rFonts w:ascii="Calibri" w:hAnsi="Calibri" w:eastAsia="Calibri" w:cs="Calibri"/>
          <w:b/>
          <w:sz w:val="22"/>
        </w:rPr>
        <w:t>Status:</w:t>
      </w:r>
      <w:r>
        <w:rPr>
          <w:rFonts w:ascii="Calibri" w:hAnsi="Calibri" w:eastAsia="Calibri" w:cs="Calibri"/>
          <w:sz w:val="22"/>
        </w:rPr>
        <w:t xml:space="preserve"> Open; no remediation retest</w:t>
      </w:r>
    </w:p>
    <w:p>
      <w:r>
        <w:rPr>
          <w:rFonts w:ascii="Calibri" w:hAnsi="Calibri" w:eastAsia="Calibri" w:cs="Calibri"/>
          <w:b/>
          <w:sz w:val="22"/>
        </w:rPr>
        <w:t>Affected code:</w:t>
      </w:r>
      <w:r>
        <w:rPr>
          <w:rFonts w:ascii="Calibri" w:hAnsi="Calibri" w:eastAsia="Calibri" w:cs="Calibri"/>
          <w:sz w:val="22"/>
        </w:rPr>
        <w:t xml:space="preserve"> </w:t>
      </w:r>
      <w:hyperlink r:id="rId28">
        <w:r>
          <w:rPr>
            <w:color w:val="2E74B5"/>
            <w:u w:val="single"/>
          </w:rPr>
          <w:t>`AegentMarketRegistry.sol:L96-L162`</w:t>
        </w:r>
      </w:hyperlink>
      <w:r>
        <w:rPr>
          <w:rFonts w:ascii="Calibri" w:hAnsi="Calibri" w:eastAsia="Calibri" w:cs="Calibri"/>
          <w:sz w:val="22"/>
        </w:rPr>
        <w:t xml:space="preserve">, </w:t>
      </w:r>
      <w:hyperlink r:id="rId29">
        <w:r>
          <w:rPr>
            <w:color w:val="2E74B5"/>
            <w:u w:val="single"/>
          </w:rPr>
          <w:t>`AegentSwapV2.sol:L339-L355`</w:t>
        </w:r>
      </w:hyperlink>
      <w:r>
        <w:rPr>
          <w:rFonts w:ascii="Calibri" w:hAnsi="Calibri" w:eastAsia="Calibri" w:cs="Calibri"/>
          <w:sz w:val="22"/>
        </w:rPr>
        <w:t xml:space="preserve">, </w:t>
      </w:r>
      <w:hyperlink r:id="rId30">
        <w:r>
          <w:rPr>
            <w:color w:val="2E74B5"/>
            <w:u w:val="single"/>
          </w:rPr>
          <w:t>`AegentRedemptionV2.sol:L426-L516`</w:t>
        </w:r>
      </w:hyperlink>
    </w:p>
    <w:p>
      <w:r>
        <w:rPr>
          <w:rFonts w:ascii="Calibri" w:hAnsi="Calibri" w:eastAsia="Calibri" w:cs="Calibri"/>
          <w:sz w:val="22"/>
        </w:rPr>
        <w:t>Two-step ownership and delayed post-launch rate activation are positive controls. A single owner can still control broader market and eligible-withdrawal actions without an enforced multisig/general timelock.</w:t>
      </w:r>
    </w:p>
    <w:p>
      <w:r>
        <w:rPr>
          <w:rFonts w:ascii="Calibri" w:hAnsi="Calibri" w:eastAsia="Calibri" w:cs="Calibri"/>
          <w:b/>
          <w:sz w:val="22"/>
        </w:rPr>
        <w:t>Recommendation:</w:t>
      </w:r>
      <w:r>
        <w:rPr>
          <w:rFonts w:ascii="Calibri" w:hAnsi="Calibri" w:eastAsia="Calibri" w:cs="Calibri"/>
          <w:sz w:val="22"/>
        </w:rPr>
        <w:t xml:space="preserve"> Use a documented multisig owner, separate emergency and treasury roles, timelock material changes, and verify the deployed role graph before activation.</w:t>
      </w:r>
    </w:p>
    <w:p>
      <w:pPr>
        <w:pStyle w:val="Heading2"/>
      </w:pPr>
      <w:r>
        <w:t>INFO-02 — Immutable recipients and narrow recovery paths create asset-liveness risk</w:t>
      </w:r>
    </w:p>
    <w:p>
      <w:r>
        <w:rPr>
          <w:rFonts w:ascii="Calibri" w:hAnsi="Calibri" w:eastAsia="Calibri" w:cs="Calibri"/>
          <w:b/>
          <w:sz w:val="22"/>
        </w:rPr>
        <w:t>Status:</w:t>
      </w:r>
      <w:r>
        <w:rPr>
          <w:rFonts w:ascii="Calibri" w:hAnsi="Calibri" w:eastAsia="Calibri" w:cs="Calibri"/>
          <w:sz w:val="22"/>
        </w:rPr>
        <w:t xml:space="preserve"> Open; no remediation retest</w:t>
      </w:r>
    </w:p>
    <w:p>
      <w:r>
        <w:rPr>
          <w:rFonts w:ascii="Calibri" w:hAnsi="Calibri" w:eastAsia="Calibri" w:cs="Calibri"/>
          <w:b/>
          <w:sz w:val="22"/>
        </w:rPr>
        <w:t>Affected code:</w:t>
      </w:r>
      <w:r>
        <w:rPr>
          <w:rFonts w:ascii="Calibri" w:hAnsi="Calibri" w:eastAsia="Calibri" w:cs="Calibri"/>
          <w:sz w:val="22"/>
        </w:rPr>
        <w:t xml:space="preserve"> </w:t>
      </w:r>
      <w:hyperlink r:id="rId31">
        <w:r>
          <w:rPr>
            <w:color w:val="2E74B5"/>
            <w:u w:val="single"/>
          </w:rPr>
          <w:t>`AegentSaleProceedsVault.sol:L30-L93`</w:t>
        </w:r>
      </w:hyperlink>
      <w:r>
        <w:rPr>
          <w:rFonts w:ascii="Calibri" w:hAnsi="Calibri" w:eastAsia="Calibri" w:cs="Calibri"/>
          <w:sz w:val="22"/>
        </w:rPr>
        <w:t xml:space="preserve">, </w:t>
      </w:r>
      <w:hyperlink r:id="rId32">
        <w:r>
          <w:rPr>
            <w:color w:val="2E74B5"/>
            <w:u w:val="single"/>
          </w:rPr>
          <w:t>`AegentSwapV2.sol:L671-L672`</w:t>
        </w:r>
      </w:hyperlink>
      <w:r>
        <w:rPr>
          <w:rFonts w:ascii="Calibri" w:hAnsi="Calibri" w:eastAsia="Calibri" w:cs="Calibri"/>
          <w:sz w:val="22"/>
        </w:rPr>
        <w:t xml:space="preserve">, </w:t>
      </w:r>
      <w:hyperlink r:id="rId33">
        <w:r>
          <w:rPr>
            <w:color w:val="2E74B5"/>
            <w:u w:val="single"/>
          </w:rPr>
          <w:t>`AegentRedemptionV2.sol:L895-L897`</w:t>
        </w:r>
      </w:hyperlink>
    </w:p>
    <w:p>
      <w:r>
        <w:rPr>
          <w:rFonts w:ascii="Calibri" w:hAnsi="Calibri" w:eastAsia="Calibri" w:cs="Calibri"/>
          <w:sz w:val="22"/>
        </w:rPr>
        <w:t>The immutable beneficiary can block native release by rejecting BNB. Vault recovery supports only USDT and USDC; forced native currency and unrelated tokens have no recovery path.</w:t>
      </w:r>
    </w:p>
    <w:p>
      <w:r>
        <w:rPr>
          <w:rFonts w:ascii="Calibri" w:hAnsi="Calibri" w:eastAsia="Calibri" w:cs="Calibri"/>
          <w:b/>
          <w:sz w:val="22"/>
        </w:rPr>
        <w:t>Recommendation:</w:t>
      </w:r>
      <w:r>
        <w:rPr>
          <w:rFonts w:ascii="Calibri" w:hAnsi="Calibri" w:eastAsia="Calibri" w:cs="Calibri"/>
          <w:sz w:val="22"/>
        </w:rPr>
        <w:t xml:space="preserve"> Prove beneficiary payable behavior and continuity, then either document intentional irrecoverability or implement constrained/timelocked recovery that excludes protected liabilities.</w:t>
      </w:r>
    </w:p>
    <w:p>
      <w:pPr>
        <w:pStyle w:val="Heading2"/>
      </w:pPr>
      <w:r>
        <w:t>INFO-03 — Settlement events omit configuration evidence needed for complete reconstruction</w:t>
      </w:r>
    </w:p>
    <w:p>
      <w:r>
        <w:rPr>
          <w:rFonts w:ascii="Calibri" w:hAnsi="Calibri" w:eastAsia="Calibri" w:cs="Calibri"/>
          <w:b/>
          <w:sz w:val="22"/>
        </w:rPr>
        <w:t>Status:</w:t>
      </w:r>
      <w:r>
        <w:rPr>
          <w:rFonts w:ascii="Calibri" w:hAnsi="Calibri" w:eastAsia="Calibri" w:cs="Calibri"/>
          <w:sz w:val="22"/>
        </w:rPr>
        <w:t xml:space="preserve"> Open; no remediation retest</w:t>
      </w:r>
    </w:p>
    <w:p>
      <w:r>
        <w:rPr>
          <w:rFonts w:ascii="Calibri" w:hAnsi="Calibri" w:eastAsia="Calibri" w:cs="Calibri"/>
          <w:b/>
          <w:sz w:val="22"/>
        </w:rPr>
        <w:t>Affected code:</w:t>
      </w:r>
      <w:r>
        <w:rPr>
          <w:rFonts w:ascii="Calibri" w:hAnsi="Calibri" w:eastAsia="Calibri" w:cs="Calibri"/>
          <w:sz w:val="22"/>
        </w:rPr>
        <w:t xml:space="preserve"> </w:t>
      </w:r>
      <w:hyperlink r:id="rId34">
        <w:r>
          <w:rPr>
            <w:color w:val="2E74B5"/>
            <w:u w:val="single"/>
          </w:rPr>
          <w:t>`AegentSwapV2.sol:L81-L90`</w:t>
        </w:r>
      </w:hyperlink>
      <w:r>
        <w:rPr>
          <w:rFonts w:ascii="Calibri" w:hAnsi="Calibri" w:eastAsia="Calibri" w:cs="Calibri"/>
          <w:sz w:val="22"/>
        </w:rPr>
        <w:t xml:space="preserve">, </w:t>
      </w:r>
      <w:hyperlink r:id="rId35">
        <w:r>
          <w:rPr>
            <w:color w:val="2E74B5"/>
            <w:u w:val="single"/>
          </w:rPr>
          <w:t>`AegentRedemptionV2.sol:L122-L133`</w:t>
        </w:r>
      </w:hyperlink>
    </w:p>
    <w:p>
      <w:r>
        <w:rPr>
          <w:rFonts w:ascii="Consolas" w:hAnsi="Consolas" w:eastAsia="Consolas" w:cs="Consolas"/>
          <w:color w:val="1F4D78"/>
          <w:sz w:val="20"/>
        </w:rPr>
        <w:t>PurchaseSettled</w:t>
      </w:r>
      <w:r>
        <w:rPr>
          <w:rFonts w:ascii="Calibri" w:hAnsi="Calibri" w:eastAsia="Calibri" w:cs="Calibri"/>
          <w:sz w:val="22"/>
        </w:rPr>
        <w:t xml:space="preserve"> omits mode and </w:t>
      </w:r>
      <w:r>
        <w:rPr>
          <w:rFonts w:ascii="Consolas" w:hAnsi="Consolas" w:eastAsia="Consolas" w:cs="Consolas"/>
          <w:color w:val="1F4D78"/>
          <w:sz w:val="20"/>
        </w:rPr>
        <w:t>configVersion</w:t>
      </w:r>
      <w:r>
        <w:rPr>
          <w:rFonts w:ascii="Calibri" w:hAnsi="Calibri" w:eastAsia="Calibri" w:cs="Calibri"/>
          <w:sz w:val="22"/>
        </w:rPr>
        <w:t xml:space="preserve">; </w:t>
      </w:r>
      <w:r>
        <w:rPr>
          <w:rFonts w:ascii="Consolas" w:hAnsi="Consolas" w:eastAsia="Consolas" w:cs="Consolas"/>
          <w:color w:val="1F4D78"/>
          <w:sz w:val="20"/>
        </w:rPr>
        <w:t>RedemptionSettled</w:t>
      </w:r>
      <w:r>
        <w:rPr>
          <w:rFonts w:ascii="Calibri" w:hAnsi="Calibri" w:eastAsia="Calibri" w:cs="Calibri"/>
          <w:sz w:val="22"/>
        </w:rPr>
        <w:t xml:space="preserve"> omits </w:t>
      </w:r>
      <w:r>
        <w:rPr>
          <w:rFonts w:ascii="Consolas" w:hAnsi="Consolas" w:eastAsia="Consolas" w:cs="Consolas"/>
          <w:color w:val="1F4D78"/>
          <w:sz w:val="20"/>
        </w:rPr>
        <w:t>configVersion</w:t>
      </w:r>
      <w:r>
        <w:rPr>
          <w:rFonts w:ascii="Calibri" w:hAnsi="Calibri" w:eastAsia="Calibri" w:cs="Calibri"/>
          <w:sz w:val="22"/>
        </w:rPr>
        <w:t xml:space="preserve">, </w:t>
      </w:r>
      <w:r>
        <w:rPr>
          <w:rFonts w:ascii="Consolas" w:hAnsi="Consolas" w:eastAsia="Consolas" w:cs="Consolas"/>
          <w:color w:val="1F4D78"/>
          <w:sz w:val="20"/>
        </w:rPr>
        <w:t>rateVersion</w:t>
      </w:r>
      <w:r>
        <w:rPr>
          <w:rFonts w:ascii="Calibri" w:hAnsi="Calibri" w:eastAsia="Calibri" w:cs="Calibri"/>
          <w:sz w:val="22"/>
        </w:rPr>
        <w:t>, and the cost-basis indicator.</w:t>
      </w:r>
    </w:p>
    <w:p>
      <w:r>
        <w:rPr>
          <w:rFonts w:ascii="Calibri" w:hAnsi="Calibri" w:eastAsia="Calibri" w:cs="Calibri"/>
          <w:b/>
          <w:sz w:val="22"/>
        </w:rPr>
        <w:t>Impact:</w:t>
      </w:r>
      <w:r>
        <w:rPr>
          <w:rFonts w:ascii="Calibri" w:hAnsi="Calibri" w:eastAsia="Calibri" w:cs="Calibri"/>
          <w:sz w:val="22"/>
        </w:rPr>
        <w:t xml:space="preserve"> Settlement correctness is not directly changed, but durable standalone forensic reconstruction is incomplete.</w:t>
      </w:r>
    </w:p>
    <w:p>
      <w:r>
        <w:rPr>
          <w:rFonts w:ascii="Calibri" w:hAnsi="Calibri" w:eastAsia="Calibri" w:cs="Calibri"/>
          <w:b/>
          <w:sz w:val="22"/>
        </w:rPr>
        <w:t>Recommendation:</w:t>
      </w:r>
      <w:r>
        <w:rPr>
          <w:rFonts w:ascii="Calibri" w:hAnsi="Calibri" w:eastAsia="Calibri" w:cs="Calibri"/>
          <w:sz w:val="22"/>
        </w:rPr>
        <w:t xml:space="preserve"> Add the missing fields or a versioned configuration digest and lock the event schema with tests.</w:t>
      </w:r>
    </w:p>
    <w:p>
      <w:pPr>
        <w:pStyle w:val="Heading1"/>
      </w:pPr>
      <w:r>
        <w:t>11. Positive-control analysis</w:t>
      </w:r>
    </w:p>
    <w:p>
      <w:r>
        <w:rPr>
          <w:rFonts w:ascii="Calibri" w:hAnsi="Calibri" w:eastAsia="Calibri" w:cs="Calibri"/>
          <w:sz w:val="22"/>
        </w:rPr>
        <w:t>The following observations support the 0 Critical / 0 High result for the reviewed snapshot:</w:t>
      </w:r>
    </w:p>
    <w:p>
      <w:pPr>
        <w:pStyle w:val="ListBullet"/>
      </w:pPr>
      <w:r>
        <w:rPr>
          <w:rFonts w:ascii="Calibri" w:hAnsi="Calibri" w:eastAsia="Calibri" w:cs="Calibri"/>
          <w:sz w:val="22"/>
        </w:rPr>
        <w:t>purchase and redemption settlement paths are nonreentrant;</w:t>
      </w:r>
    </w:p>
    <w:p>
      <w:pPr>
        <w:pStyle w:val="ListBullet"/>
      </w:pPr>
      <w:r>
        <w:rPr>
          <w:rFonts w:ascii="Calibri" w:hAnsi="Calibri" w:eastAsia="Calibri" w:cs="Calibri"/>
          <w:sz w:val="22"/>
        </w:rPr>
        <w:t xml:space="preserve">token transfers use </w:t>
      </w:r>
      <w:r>
        <w:rPr>
          <w:rFonts w:ascii="Consolas" w:hAnsi="Consolas" w:eastAsia="Consolas" w:cs="Consolas"/>
          <w:color w:val="1F4D78"/>
          <w:sz w:val="20"/>
        </w:rPr>
        <w:t>SafeERC20</w:t>
      </w:r>
      <w:r>
        <w:rPr>
          <w:rFonts w:ascii="Calibri" w:hAnsi="Calibri" w:eastAsia="Calibri" w:cs="Calibri"/>
          <w:sz w:val="22"/>
        </w:rPr>
        <w:t xml:space="preserve"> and reconcile actual balance changes;</w:t>
      </w:r>
    </w:p>
    <w:p>
      <w:pPr>
        <w:pStyle w:val="ListBullet"/>
      </w:pPr>
      <w:r>
        <w:rPr>
          <w:rFonts w:ascii="Calibri" w:hAnsi="Calibri" w:eastAsia="Calibri" w:cs="Calibri"/>
          <w:sz w:val="22"/>
        </w:rPr>
        <w:t>purchase execution is bound to phase, mode, limited-window ID, configuration version, minimum output, and deadline;</w:t>
      </w:r>
    </w:p>
    <w:p>
      <w:pPr>
        <w:pStyle w:val="ListBullet"/>
      </w:pPr>
      <w:r>
        <w:rPr>
          <w:rFonts w:ascii="Calibri" w:hAnsi="Calibri" w:eastAsia="Calibri" w:cs="Calibri"/>
          <w:sz w:val="22"/>
        </w:rPr>
        <w:t>redemption execution is bound to phase, mode, configuration version, rate version, minimum output, deadline, and a per-wallet nonce;</w:t>
      </w:r>
    </w:p>
    <w:p>
      <w:pPr>
        <w:pStyle w:val="ListBullet"/>
      </w:pPr>
      <w:r>
        <w:rPr>
          <w:rFonts w:ascii="Calibri" w:hAnsi="Calibri" w:eastAsia="Calibri" w:cs="Calibri"/>
          <w:sz w:val="22"/>
        </w:rPr>
        <w:t>wallet purchase receipts and cost basis limit presale refunds;</w:t>
      </w:r>
    </w:p>
    <w:p>
      <w:pPr>
        <w:pStyle w:val="ListBullet"/>
      </w:pPr>
      <w:r>
        <w:rPr>
          <w:rFonts w:ascii="Calibri" w:hAnsi="Calibri" w:eastAsia="Calibri" w:cs="Calibri"/>
          <w:sz w:val="22"/>
        </w:rPr>
        <w:t>post-launch redemption collects AGNT;</w:t>
      </w:r>
    </w:p>
    <w:p>
      <w:pPr>
        <w:pStyle w:val="ListBullet"/>
      </w:pPr>
      <w:r>
        <w:rPr>
          <w:rFonts w:ascii="Calibri" w:hAnsi="Calibri" w:eastAsia="Calibri" w:cs="Calibri"/>
          <w:sz w:val="22"/>
        </w:rPr>
        <w:t>claims clear state before transfer;</w:t>
      </w:r>
    </w:p>
    <w:p>
      <w:pPr>
        <w:pStyle w:val="ListBullet"/>
      </w:pPr>
      <w:r>
        <w:rPr>
          <w:rFonts w:ascii="Calibri" w:hAnsi="Calibri" w:eastAsia="Calibri" w:cs="Calibri"/>
          <w:sz w:val="22"/>
        </w:rPr>
        <w:t>eligible withdrawals preserve recorded liabilities and unclaimed claims;</w:t>
      </w:r>
    </w:p>
    <w:p>
      <w:pPr>
        <w:pStyle w:val="ListBullet"/>
      </w:pPr>
      <w:r>
        <w:rPr>
          <w:rFonts w:ascii="Calibri" w:hAnsi="Calibri" w:eastAsia="Calibri" w:cs="Calibri"/>
          <w:sz w:val="22"/>
        </w:rPr>
        <w:t xml:space="preserve">Solidity 0.8.24 checked arithmetic and </w:t>
      </w:r>
      <w:r>
        <w:rPr>
          <w:rFonts w:ascii="Consolas" w:hAnsi="Consolas" w:eastAsia="Consolas" w:cs="Consolas"/>
          <w:color w:val="1F4D78"/>
          <w:sz w:val="20"/>
        </w:rPr>
        <w:t>Math.mulDiv</w:t>
      </w:r>
      <w:r>
        <w:rPr>
          <w:rFonts w:ascii="Calibri" w:hAnsi="Calibri" w:eastAsia="Calibri" w:cs="Calibri"/>
          <w:sz w:val="22"/>
        </w:rPr>
        <w:t xml:space="preserve"> reduce overflow and truncation risk;</w:t>
      </w:r>
    </w:p>
    <w:p>
      <w:pPr>
        <w:pStyle w:val="ListBullet"/>
      </w:pPr>
      <w:r>
        <w:rPr>
          <w:rFonts w:ascii="Calibri" w:hAnsi="Calibri" w:eastAsia="Calibri" w:cs="Calibri"/>
          <w:sz w:val="22"/>
        </w:rPr>
        <w:t xml:space="preserve">no arbitrary external-call target, </w:t>
      </w:r>
      <w:r>
        <w:rPr>
          <w:rFonts w:ascii="Consolas" w:hAnsi="Consolas" w:eastAsia="Consolas" w:cs="Consolas"/>
          <w:color w:val="1F4D78"/>
          <w:sz w:val="20"/>
        </w:rPr>
        <w:t>delegatecall</w:t>
      </w:r>
      <w:r>
        <w:rPr>
          <w:rFonts w:ascii="Calibri" w:hAnsi="Calibri" w:eastAsia="Calibri" w:cs="Calibri"/>
          <w:sz w:val="22"/>
        </w:rPr>
        <w:t>, upgrade proxy, or user-controlled execution hook was observed in scope.</w:t>
      </w:r>
    </w:p>
    <w:p>
      <w:r>
        <w:rPr>
          <w:rFonts w:ascii="Calibri" w:hAnsi="Calibri" w:eastAsia="Calibri" w:cs="Calibri"/>
          <w:sz w:val="22"/>
        </w:rPr>
        <w:t>These controls are evidence for the current severity assessment, not a guarantee that unknown vulnerabilities do not exist.</w:t>
      </w:r>
    </w:p>
    <w:p>
      <w:pPr>
        <w:pStyle w:val="Heading1"/>
      </w:pPr>
      <w:r>
        <w:t>12. Verification evidence</w:t>
      </w:r>
    </w:p>
    <w:p>
      <w:pPr>
        <w:pStyle w:val="Heading2"/>
      </w:pPr>
      <w:r>
        <w:t>Dynamic tests</w:t>
      </w:r>
    </w:p>
    <w:p>
      <w:pPr>
        <w:pStyle w:val="ListBullet"/>
      </w:pPr>
      <w:r>
        <w:rPr>
          <w:rFonts w:ascii="Calibri" w:hAnsi="Calibri" w:eastAsia="Calibri" w:cs="Calibri"/>
          <w:sz w:val="22"/>
        </w:rPr>
        <w:t xml:space="preserve">Command: </w:t>
      </w:r>
      <w:r>
        <w:rPr>
          <w:rFonts w:ascii="Consolas" w:hAnsi="Consolas" w:eastAsia="Consolas" w:cs="Consolas"/>
          <w:color w:val="1F4D78"/>
          <w:sz w:val="20"/>
        </w:rPr>
        <w:t>npm.cmd test</w:t>
      </w:r>
    </w:p>
    <w:p>
      <w:pPr>
        <w:pStyle w:val="ListBullet"/>
      </w:pPr>
      <w:r>
        <w:rPr>
          <w:rFonts w:ascii="Calibri" w:hAnsi="Calibri" w:eastAsia="Calibri" w:cs="Calibri"/>
          <w:sz w:val="22"/>
        </w:rPr>
        <w:t xml:space="preserve">Result: </w:t>
      </w:r>
      <w:r>
        <w:rPr>
          <w:rFonts w:ascii="Calibri" w:hAnsi="Calibri" w:eastAsia="Calibri" w:cs="Calibri"/>
          <w:b/>
          <w:sz w:val="22"/>
        </w:rPr>
        <w:t>42 passing, 0 failing</w:t>
      </w:r>
    </w:p>
    <w:p>
      <w:pPr>
        <w:pStyle w:val="ListBullet"/>
      </w:pPr>
      <w:r>
        <w:rPr>
          <w:rFonts w:ascii="Calibri" w:hAnsi="Calibri" w:eastAsia="Calibri" w:cs="Calibri"/>
          <w:sz w:val="22"/>
        </w:rPr>
        <w:t>The run includes the wallet execution-nonce consumption/replay regression.</w:t>
      </w:r>
    </w:p>
    <w:p>
      <w:pPr>
        <w:pStyle w:val="Heading2"/>
      </w:pPr>
      <w:r>
        <w:t>Coverage</w:t>
      </w:r>
    </w:p>
    <w:tbl>
      <w:tblPr>
        <w:tblStyle w:val="TableGrid"/>
        <w:tblW w:type="dxa" w:w="9360"/>
        <w:jc w:val="center"/>
        <w:tblLayout w:type="fixed"/>
        <w:tblLook w:firstColumn="1" w:firstRow="1" w:lastColumn="0" w:lastRow="0" w:noHBand="0" w:noVBand="1" w:val="04A0"/>
        <w:tblInd w:w="120" w:type="dxa"/>
      </w:tblPr>
      <w:tblGrid>
        <w:gridCol w:w="1350"/>
        <w:gridCol w:w="1800"/>
        <w:gridCol w:w="2070"/>
        <w:gridCol w:w="2070"/>
        <w:gridCol w:w="2070"/>
      </w:tblGrid>
      <w:tr>
        <w:trPr>
          <w:cantSplit/>
          <w:tblHeader w:val="true"/>
        </w:trPr>
        <w:tc>
          <w:tcPr>
            <w:tcW w:type="dxa" w:w="135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Scope</w:t>
            </w:r>
          </w:p>
        </w:tc>
        <w:tc>
          <w:tcPr>
            <w:tcW w:type="dxa" w:w="18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Statements</w:t>
            </w:r>
          </w:p>
        </w:tc>
        <w:tc>
          <w:tcPr>
            <w:tcW w:type="dxa" w:w="207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Branches</w:t>
            </w:r>
          </w:p>
        </w:tc>
        <w:tc>
          <w:tcPr>
            <w:tcW w:type="dxa" w:w="207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Functions</w:t>
            </w:r>
          </w:p>
        </w:tc>
        <w:tc>
          <w:tcPr>
            <w:tcW w:type="dxa" w:w="207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7"/>
              </w:rPr>
              <w:t>Lines</w:t>
            </w:r>
          </w:p>
        </w:tc>
      </w:tr>
      <w:tr>
        <w:trPr>
          <w:cantSplit/>
        </w:trPr>
        <w:tc>
          <w:tcPr>
            <w:tcW w:type="dxa" w:w="1350"/>
            <w:vAlign w:val="center"/>
            <w:tcMar>
              <w:top w:w="80" w:type="dxa"/>
              <w:bottom w:w="80" w:type="dxa"/>
              <w:start w:w="120" w:type="dxa"/>
              <w:end w:w="120" w:type="dxa"/>
            </w:tcMar>
          </w:tcPr>
          <w:p>
            <w:pPr>
              <w:spacing w:before="0" w:after="40" w:line="240" w:lineRule="auto"/>
            </w:pPr>
            <w:r>
              <w:rPr>
                <w:rFonts w:ascii="Calibri" w:hAnsi="Calibri" w:eastAsia="Calibri" w:cs="Calibri"/>
                <w:sz w:val="17"/>
              </w:rPr>
              <w:t>All instrumented files</w:t>
            </w:r>
          </w:p>
        </w:tc>
        <w:tc>
          <w:tcPr>
            <w:tcW w:type="dxa" w:w="1800"/>
            <w:vAlign w:val="center"/>
            <w:tcMar>
              <w:top w:w="80" w:type="dxa"/>
              <w:bottom w:w="80" w:type="dxa"/>
              <w:start w:w="120" w:type="dxa"/>
              <w:end w:w="120" w:type="dxa"/>
            </w:tcMar>
          </w:tcPr>
          <w:p>
            <w:pPr>
              <w:spacing w:before="0" w:after="40" w:line="240" w:lineRule="auto"/>
            </w:pPr>
            <w:r>
              <w:rPr>
                <w:rFonts w:ascii="Calibri" w:hAnsi="Calibri" w:eastAsia="Calibri" w:cs="Calibri"/>
                <w:sz w:val="17"/>
              </w:rPr>
              <w:t>89.32% (301/337)</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56.81% (242/426)</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77.50% (62/80)</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78.67% (472/600)</w:t>
            </w:r>
          </w:p>
        </w:tc>
      </w:tr>
      <w:tr>
        <w:trPr>
          <w:cantSplit/>
        </w:trPr>
        <w:tc>
          <w:tcPr>
            <w:tcW w:type="dxa" w:w="1350"/>
            <w:vAlign w:val="center"/>
            <w:tcMar>
              <w:top w:w="80" w:type="dxa"/>
              <w:bottom w:w="80" w:type="dxa"/>
              <w:start w:w="120" w:type="dxa"/>
              <w:end w:w="120" w:type="dxa"/>
            </w:tcMar>
          </w:tcPr>
          <w:p>
            <w:pPr>
              <w:spacing w:before="0" w:after="40" w:line="240" w:lineRule="auto"/>
            </w:pPr>
            <w:r>
              <w:rPr>
                <w:rFonts w:ascii="Calibri" w:hAnsi="Calibri" w:eastAsia="Calibri" w:cs="Calibri"/>
                <w:sz w:val="17"/>
              </w:rPr>
              <w:t>Four core contracts</w:t>
            </w:r>
          </w:p>
        </w:tc>
        <w:tc>
          <w:tcPr>
            <w:tcW w:type="dxa" w:w="1800"/>
            <w:vAlign w:val="center"/>
            <w:tcMar>
              <w:top w:w="80" w:type="dxa"/>
              <w:bottom w:w="80" w:type="dxa"/>
              <w:start w:w="120" w:type="dxa"/>
              <w:end w:w="120" w:type="dxa"/>
            </w:tcMar>
          </w:tcPr>
          <w:p>
            <w:pPr>
              <w:spacing w:before="0" w:after="40" w:line="240" w:lineRule="auto"/>
            </w:pPr>
            <w:r>
              <w:rPr>
                <w:rFonts w:ascii="Calibri" w:hAnsi="Calibri" w:eastAsia="Calibri" w:cs="Calibri"/>
                <w:sz w:val="17"/>
              </w:rPr>
              <w:t>89.67% (295/329)</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56.40% (238/422)</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85.07% (57/67)</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79.72% (460/577)</w:t>
            </w:r>
          </w:p>
        </w:tc>
      </w:tr>
      <w:tr>
        <w:trPr>
          <w:cantSplit/>
        </w:trPr>
        <w:tc>
          <w:tcPr>
            <w:tcW w:type="dxa" w:w="1350"/>
            <w:vAlign w:val="center"/>
            <w:tcMar>
              <w:top w:w="80" w:type="dxa"/>
              <w:bottom w:w="80" w:type="dxa"/>
              <w:start w:w="120" w:type="dxa"/>
              <w:end w:w="120" w:type="dxa"/>
            </w:tcMar>
          </w:tcPr>
          <w:p>
            <w:pPr>
              <w:spacing w:before="0" w:after="40" w:line="240" w:lineRule="auto"/>
            </w:pPr>
            <w:r>
              <w:rPr>
                <w:rFonts w:ascii="Calibri" w:hAnsi="Calibri" w:eastAsia="Calibri" w:cs="Calibri"/>
                <w:sz w:val="17"/>
              </w:rPr>
              <w:t>Market Registry</w:t>
            </w:r>
          </w:p>
        </w:tc>
        <w:tc>
          <w:tcPr>
            <w:tcW w:type="dxa" w:w="1800"/>
            <w:vAlign w:val="center"/>
            <w:tcMar>
              <w:top w:w="80" w:type="dxa"/>
              <w:bottom w:w="80" w:type="dxa"/>
              <w:start w:w="120" w:type="dxa"/>
              <w:end w:w="120" w:type="dxa"/>
            </w:tcMar>
          </w:tcPr>
          <w:p>
            <w:pPr>
              <w:spacing w:before="0" w:after="40" w:line="240" w:lineRule="auto"/>
            </w:pPr>
            <w:r>
              <w:rPr>
                <w:rFonts w:ascii="Calibri" w:hAnsi="Calibri" w:eastAsia="Calibri" w:cs="Calibri"/>
                <w:sz w:val="17"/>
              </w:rPr>
              <w:t>92.45% (49/53)</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65.00% (52/80)</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100% (12/12)</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90.22% (83/92)</w:t>
            </w:r>
          </w:p>
        </w:tc>
      </w:tr>
      <w:tr>
        <w:trPr>
          <w:cantSplit/>
        </w:trPr>
        <w:tc>
          <w:tcPr>
            <w:tcW w:type="dxa" w:w="1350"/>
            <w:vAlign w:val="center"/>
            <w:tcMar>
              <w:top w:w="80" w:type="dxa"/>
              <w:bottom w:w="80" w:type="dxa"/>
              <w:start w:w="120" w:type="dxa"/>
              <w:end w:w="120" w:type="dxa"/>
            </w:tcMar>
          </w:tcPr>
          <w:p>
            <w:pPr>
              <w:spacing w:before="0" w:after="40" w:line="240" w:lineRule="auto"/>
            </w:pPr>
            <w:r>
              <w:rPr>
                <w:rFonts w:ascii="Calibri" w:hAnsi="Calibri" w:eastAsia="Calibri" w:cs="Calibri"/>
                <w:sz w:val="17"/>
              </w:rPr>
              <w:t>Redemption V2</w:t>
            </w:r>
          </w:p>
        </w:tc>
        <w:tc>
          <w:tcPr>
            <w:tcW w:type="dxa" w:w="1800"/>
            <w:vAlign w:val="center"/>
            <w:tcMar>
              <w:top w:w="80" w:type="dxa"/>
              <w:bottom w:w="80" w:type="dxa"/>
              <w:start w:w="120" w:type="dxa"/>
              <w:end w:w="120" w:type="dxa"/>
            </w:tcMar>
          </w:tcPr>
          <w:p>
            <w:pPr>
              <w:spacing w:before="0" w:after="40" w:line="240" w:lineRule="auto"/>
            </w:pPr>
            <w:r>
              <w:rPr>
                <w:rFonts w:ascii="Calibri" w:hAnsi="Calibri" w:eastAsia="Calibri" w:cs="Calibri"/>
                <w:sz w:val="17"/>
              </w:rPr>
              <w:t>96.20% (152/158)</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51.09% (94/184)</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92.31% (24/26)</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80.59% (220/273)</w:t>
            </w:r>
          </w:p>
        </w:tc>
      </w:tr>
      <w:tr>
        <w:trPr>
          <w:cantSplit/>
        </w:trPr>
        <w:tc>
          <w:tcPr>
            <w:tcW w:type="dxa" w:w="1350"/>
            <w:vAlign w:val="center"/>
            <w:tcMar>
              <w:top w:w="80" w:type="dxa"/>
              <w:bottom w:w="80" w:type="dxa"/>
              <w:start w:w="120" w:type="dxa"/>
              <w:end w:w="120" w:type="dxa"/>
            </w:tcMar>
          </w:tcPr>
          <w:p>
            <w:pPr>
              <w:spacing w:before="0" w:after="40" w:line="240" w:lineRule="auto"/>
            </w:pPr>
            <w:r>
              <w:rPr>
                <w:rFonts w:ascii="Calibri" w:hAnsi="Calibri" w:eastAsia="Calibri" w:cs="Calibri"/>
                <w:sz w:val="17"/>
              </w:rPr>
              <w:t>Sale Proceeds Vault</w:t>
            </w:r>
          </w:p>
        </w:tc>
        <w:tc>
          <w:tcPr>
            <w:tcW w:type="dxa" w:w="1800"/>
            <w:vAlign w:val="center"/>
            <w:tcMar>
              <w:top w:w="80" w:type="dxa"/>
              <w:bottom w:w="80" w:type="dxa"/>
              <w:start w:w="120" w:type="dxa"/>
              <w:end w:w="120" w:type="dxa"/>
            </w:tcMar>
          </w:tcPr>
          <w:p>
            <w:pPr>
              <w:spacing w:before="0" w:after="40" w:line="240" w:lineRule="auto"/>
            </w:pPr>
            <w:r>
              <w:rPr>
                <w:rFonts w:ascii="Calibri" w:hAnsi="Calibri" w:eastAsia="Calibri" w:cs="Calibri"/>
                <w:sz w:val="17"/>
              </w:rPr>
              <w:t>70.00% (14/20)</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50.00% (16/32)</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60.00% (3/5)</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65.63% (21/32)</w:t>
            </w:r>
          </w:p>
        </w:tc>
      </w:tr>
      <w:tr>
        <w:trPr>
          <w:cantSplit/>
        </w:trPr>
        <w:tc>
          <w:tcPr>
            <w:tcW w:type="dxa" w:w="1350"/>
            <w:vAlign w:val="center"/>
            <w:tcMar>
              <w:top w:w="80" w:type="dxa"/>
              <w:bottom w:w="80" w:type="dxa"/>
              <w:start w:w="120" w:type="dxa"/>
              <w:end w:w="120" w:type="dxa"/>
            </w:tcMar>
          </w:tcPr>
          <w:p>
            <w:pPr>
              <w:spacing w:before="0" w:after="40" w:line="240" w:lineRule="auto"/>
            </w:pPr>
            <w:r>
              <w:rPr>
                <w:rFonts w:ascii="Calibri" w:hAnsi="Calibri" w:eastAsia="Calibri" w:cs="Calibri"/>
                <w:sz w:val="17"/>
              </w:rPr>
              <w:t>Swap V2</w:t>
            </w:r>
          </w:p>
        </w:tc>
        <w:tc>
          <w:tcPr>
            <w:tcW w:type="dxa" w:w="1800"/>
            <w:vAlign w:val="center"/>
            <w:tcMar>
              <w:top w:w="80" w:type="dxa"/>
              <w:bottom w:w="80" w:type="dxa"/>
              <w:start w:w="120" w:type="dxa"/>
              <w:end w:w="120" w:type="dxa"/>
            </w:tcMar>
          </w:tcPr>
          <w:p>
            <w:pPr>
              <w:spacing w:before="0" w:after="40" w:line="240" w:lineRule="auto"/>
            </w:pPr>
            <w:r>
              <w:rPr>
                <w:rFonts w:ascii="Calibri" w:hAnsi="Calibri" w:eastAsia="Calibri" w:cs="Calibri"/>
                <w:sz w:val="17"/>
              </w:rPr>
              <w:t>81.63% (80/98)</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60.32% (76/126)</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75.00% (18/24)</w:t>
            </w:r>
          </w:p>
        </w:tc>
        <w:tc>
          <w:tcPr>
            <w:tcW w:type="dxa" w:w="2070"/>
            <w:vAlign w:val="center"/>
            <w:tcMar>
              <w:top w:w="80" w:type="dxa"/>
              <w:bottom w:w="80" w:type="dxa"/>
              <w:start w:w="120" w:type="dxa"/>
              <w:end w:w="120" w:type="dxa"/>
            </w:tcMar>
          </w:tcPr>
          <w:p>
            <w:pPr>
              <w:spacing w:before="0" w:after="40" w:line="240" w:lineRule="auto"/>
            </w:pPr>
            <w:r>
              <w:rPr>
                <w:rFonts w:ascii="Calibri" w:hAnsi="Calibri" w:eastAsia="Calibri" w:cs="Calibri"/>
                <w:sz w:val="17"/>
              </w:rPr>
              <w:t>75.56% (136/180)</w:t>
            </w:r>
          </w:p>
        </w:tc>
      </w:tr>
    </w:tbl>
    <w:p>
      <w:pPr>
        <w:spacing w:before="0" w:after="40"/>
      </w:pPr>
    </w:p>
    <w:p>
      <w:pPr>
        <w:pStyle w:val="Heading2"/>
      </w:pPr>
      <w:r>
        <w:t>Static analysis</w:t>
      </w:r>
    </w:p>
    <w:p>
      <w:r>
        <w:rPr>
          <w:rFonts w:ascii="Calibri" w:hAnsi="Calibri" w:eastAsia="Calibri" w:cs="Calibri"/>
          <w:sz w:val="22"/>
        </w:rPr>
        <w:t>Slither 0.11.5 completed and emitted 55 raw project detector entries: 24 Medium, 27 Low, and 4 Informational. Manual triage did not map raw tool classifications directly to accepted findings.</w:t>
      </w:r>
    </w:p>
    <w:tbl>
      <w:tblPr>
        <w:tblStyle w:val="TableGrid"/>
        <w:tblW w:type="dxa" w:w="9360"/>
        <w:jc w:val="center"/>
        <w:tblLayout w:type="fixed"/>
        <w:tblLook w:firstColumn="1" w:firstRow="1" w:lastColumn="0" w:lastRow="0" w:noHBand="0" w:noVBand="1" w:val="04A0"/>
        <w:tblInd w:w="120" w:type="dxa"/>
      </w:tblPr>
      <w:tblGrid>
        <w:gridCol w:w="2200"/>
        <w:gridCol w:w="3580"/>
        <w:gridCol w:w="3580"/>
      </w:tblGrid>
      <w:tr>
        <w:trPr>
          <w:cantSplit/>
          <w:tblHeader w:val="true"/>
        </w:trPr>
        <w:tc>
          <w:tcPr>
            <w:tcW w:type="dxa" w:w="220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Detector</w:t>
            </w:r>
          </w:p>
        </w:tc>
        <w:tc>
          <w:tcPr>
            <w:tcW w:type="dxa" w:w="358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Raw count</w:t>
            </w:r>
          </w:p>
        </w:tc>
        <w:tc>
          <w:tcPr>
            <w:tcW w:type="dxa" w:w="3580"/>
            <w:vAlign w:val="center"/>
            <w:tcMar>
              <w:top w:w="80" w:type="dxa"/>
              <w:bottom w:w="80" w:type="dxa"/>
              <w:start w:w="120" w:type="dxa"/>
              <w:end w:w="120" w:type="dxa"/>
            </w:tcMar>
            <w:shd w:fill="F2F4F7"/>
          </w:tcPr>
          <w:p>
            <w:pPr>
              <w:spacing w:before="0" w:after="40" w:line="240" w:lineRule="auto"/>
            </w:pPr>
            <w:r>
              <w:rPr>
                <w:rFonts w:ascii="Calibri" w:hAnsi="Calibri" w:eastAsia="Calibri" w:cs="Calibri"/>
                <w:b/>
                <w:color w:val="203748"/>
                <w:sz w:val="18"/>
              </w:rPr>
              <w:t>Threat-model disposition</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incorrect-equality</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15</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Intended exact/zero/enum/sentinel conditions</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locked-ether</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1</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Forced-native and recovery liveness captured by INFO-02</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uninitialized-local</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7</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Zero-initialized locals with guarded assignments</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unused-return</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1</w:t>
            </w:r>
          </w:p>
        </w:tc>
        <w:tc>
          <w:tcPr>
            <w:tcW w:type="dxa" w:w="358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startedAt</w:t>
            </w:r>
            <w:r>
              <w:rPr>
                <w:rFonts w:ascii="Calibri" w:hAnsi="Calibri" w:eastAsia="Calibri" w:cs="Calibri"/>
                <w:sz w:val="18"/>
              </w:rPr>
              <w:t xml:space="preserve"> unused; round order and </w:t>
            </w:r>
            <w:r>
              <w:rPr>
                <w:rFonts w:ascii="Consolas" w:hAnsi="Consolas" w:eastAsia="Consolas" w:cs="Consolas"/>
                <w:color w:val="1F4D78"/>
                <w:sz w:val="16"/>
              </w:rPr>
              <w:t>updatedAt</w:t>
            </w:r>
            <w:r>
              <w:rPr>
                <w:rFonts w:ascii="Calibri" w:hAnsi="Calibri" w:eastAsia="Calibri" w:cs="Calibri"/>
                <w:sz w:val="18"/>
              </w:rPr>
              <w:t xml:space="preserve"> checked</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missing-zero-check</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1</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Mock-only and outside production scope</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reentrancy-events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1</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No repeat withdrawal; fixed beneficiary liveness remains</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timestamp</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25</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Intended schedules/deadlines; LOW-01 retained</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pragma</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1</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No separate exploit finding</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cyclomatic-complexity</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1</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Redemption validation maintainability warning</w:t>
            </w:r>
          </w:p>
        </w:tc>
      </w:tr>
      <w:tr>
        <w:trPr>
          <w:cantSplit/>
        </w:trPr>
        <w:tc>
          <w:tcPr>
            <w:tcW w:type="dxa" w:w="2200"/>
            <w:vAlign w:val="center"/>
            <w:tcMar>
              <w:top w:w="80" w:type="dxa"/>
              <w:bottom w:w="80" w:type="dxa"/>
              <w:start w:w="120" w:type="dxa"/>
              <w:end w:w="120" w:type="dxa"/>
            </w:tcMar>
          </w:tcPr>
          <w:p>
            <w:pPr>
              <w:spacing w:before="0" w:after="40" w:line="240" w:lineRule="auto"/>
            </w:pPr>
            <w:r>
              <w:rPr>
                <w:rFonts w:ascii="Consolas" w:hAnsi="Consolas" w:eastAsia="Consolas" w:cs="Consolas"/>
                <w:color w:val="1F4D78"/>
                <w:sz w:val="16"/>
              </w:rPr>
              <w:t>low-level-calls</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2</w:t>
            </w:r>
          </w:p>
        </w:tc>
        <w:tc>
          <w:tcPr>
            <w:tcW w:type="dxa" w:w="3580"/>
            <w:vAlign w:val="center"/>
            <w:tcMar>
              <w:top w:w="80" w:type="dxa"/>
              <w:bottom w:w="80" w:type="dxa"/>
              <w:start w:w="120" w:type="dxa"/>
              <w:end w:w="120" w:type="dxa"/>
            </w:tcMar>
          </w:tcPr>
          <w:p>
            <w:pPr>
              <w:spacing w:before="0" w:after="40" w:line="240" w:lineRule="auto"/>
            </w:pPr>
            <w:r>
              <w:rPr>
                <w:rFonts w:ascii="Calibri" w:hAnsi="Calibri" w:eastAsia="Calibri" w:cs="Calibri"/>
                <w:sz w:val="18"/>
              </w:rPr>
              <w:t>Fixed vault/beneficiary native flows</w:t>
            </w:r>
          </w:p>
        </w:tc>
      </w:tr>
    </w:tbl>
    <w:p>
      <w:pPr>
        <w:spacing w:before="0" w:after="40"/>
      </w:pPr>
    </w:p>
    <w:p>
      <w:pPr>
        <w:pStyle w:val="Heading2"/>
      </w:pPr>
      <w:r>
        <w:t>Toolchain</w:t>
      </w:r>
    </w:p>
    <w:p>
      <w:pPr>
        <w:pStyle w:val="ListBullet"/>
      </w:pPr>
      <w:r>
        <w:rPr>
          <w:rFonts w:ascii="Calibri" w:hAnsi="Calibri" w:eastAsia="Calibri" w:cs="Calibri"/>
          <w:sz w:val="22"/>
        </w:rPr>
        <w:t xml:space="preserve">Node.js </w:t>
      </w:r>
      <w:r>
        <w:rPr>
          <w:rFonts w:ascii="Consolas" w:hAnsi="Consolas" w:eastAsia="Consolas" w:cs="Consolas"/>
          <w:color w:val="1F4D78"/>
          <w:sz w:val="20"/>
        </w:rPr>
        <w:t>v24.18.0</w:t>
      </w:r>
    </w:p>
    <w:p>
      <w:pPr>
        <w:pStyle w:val="ListBullet"/>
      </w:pPr>
      <w:r>
        <w:rPr>
          <w:rFonts w:ascii="Calibri" w:hAnsi="Calibri" w:eastAsia="Calibri" w:cs="Calibri"/>
          <w:sz w:val="22"/>
        </w:rPr>
        <w:t xml:space="preserve">npm </w:t>
      </w:r>
      <w:r>
        <w:rPr>
          <w:rFonts w:ascii="Consolas" w:hAnsi="Consolas" w:eastAsia="Consolas" w:cs="Consolas"/>
          <w:color w:val="1F4D78"/>
          <w:sz w:val="20"/>
        </w:rPr>
        <w:t>11.16.0</w:t>
      </w:r>
    </w:p>
    <w:p>
      <w:pPr>
        <w:pStyle w:val="ListBullet"/>
      </w:pPr>
      <w:r>
        <w:rPr>
          <w:rFonts w:ascii="Calibri" w:hAnsi="Calibri" w:eastAsia="Calibri" w:cs="Calibri"/>
          <w:sz w:val="22"/>
        </w:rPr>
        <w:t xml:space="preserve">Hardhat </w:t>
      </w:r>
      <w:r>
        <w:rPr>
          <w:rFonts w:ascii="Consolas" w:hAnsi="Consolas" w:eastAsia="Consolas" w:cs="Consolas"/>
          <w:color w:val="1F4D78"/>
          <w:sz w:val="20"/>
        </w:rPr>
        <w:t>2.29.0</w:t>
      </w:r>
    </w:p>
    <w:p>
      <w:pPr>
        <w:pStyle w:val="ListBullet"/>
      </w:pPr>
      <w:r>
        <w:rPr>
          <w:rFonts w:ascii="Calibri" w:hAnsi="Calibri" w:eastAsia="Calibri" w:cs="Calibri"/>
          <w:sz w:val="22"/>
        </w:rPr>
        <w:t xml:space="preserve">ethers </w:t>
      </w:r>
      <w:r>
        <w:rPr>
          <w:rFonts w:ascii="Consolas" w:hAnsi="Consolas" w:eastAsia="Consolas" w:cs="Consolas"/>
          <w:color w:val="1F4D78"/>
          <w:sz w:val="20"/>
        </w:rPr>
        <w:t>6.17.0</w:t>
      </w:r>
    </w:p>
    <w:p>
      <w:pPr>
        <w:pStyle w:val="ListBullet"/>
      </w:pPr>
      <w:r>
        <w:rPr>
          <w:rFonts w:ascii="Calibri" w:hAnsi="Calibri" w:eastAsia="Calibri" w:cs="Calibri"/>
          <w:sz w:val="22"/>
        </w:rPr>
        <w:t xml:space="preserve">Solidity </w:t>
      </w:r>
      <w:r>
        <w:rPr>
          <w:rFonts w:ascii="Consolas" w:hAnsi="Consolas" w:eastAsia="Consolas" w:cs="Consolas"/>
          <w:color w:val="1F4D78"/>
          <w:sz w:val="20"/>
        </w:rPr>
        <w:t>0.8.24+commit.e11b9ed9</w:t>
      </w:r>
    </w:p>
    <w:p>
      <w:pPr>
        <w:pStyle w:val="ListBullet"/>
      </w:pPr>
      <w:r>
        <w:rPr>
          <w:rFonts w:ascii="Calibri" w:hAnsi="Calibri" w:eastAsia="Calibri" w:cs="Calibri"/>
          <w:sz w:val="22"/>
        </w:rPr>
        <w:t>optimizer enabled with 500 runs</w:t>
      </w:r>
    </w:p>
    <w:p>
      <w:pPr>
        <w:pStyle w:val="ListBullet"/>
      </w:pPr>
      <w:r>
        <w:rPr>
          <w:rFonts w:ascii="Calibri" w:hAnsi="Calibri" w:eastAsia="Calibri" w:cs="Calibri"/>
          <w:sz w:val="22"/>
        </w:rPr>
        <w:t xml:space="preserve">EVM target </w:t>
      </w:r>
      <w:r>
        <w:rPr>
          <w:rFonts w:ascii="Consolas" w:hAnsi="Consolas" w:eastAsia="Consolas" w:cs="Consolas"/>
          <w:color w:val="1F4D78"/>
          <w:sz w:val="20"/>
        </w:rPr>
        <w:t>paris</w:t>
      </w:r>
    </w:p>
    <w:p>
      <w:pPr>
        <w:pStyle w:val="ListBullet"/>
      </w:pPr>
      <w:r>
        <w:rPr>
          <w:rFonts w:ascii="Calibri" w:hAnsi="Calibri" w:eastAsia="Calibri" w:cs="Calibri"/>
          <w:sz w:val="22"/>
        </w:rPr>
        <w:t xml:space="preserve">OpenZeppelin Contracts </w:t>
      </w:r>
      <w:r>
        <w:rPr>
          <w:rFonts w:ascii="Consolas" w:hAnsi="Consolas" w:eastAsia="Consolas" w:cs="Consolas"/>
          <w:color w:val="1F4D78"/>
          <w:sz w:val="20"/>
        </w:rPr>
        <w:t>5.1.0</w:t>
      </w:r>
    </w:p>
    <w:p>
      <w:pPr>
        <w:pStyle w:val="ListBullet"/>
      </w:pPr>
      <w:r>
        <w:rPr>
          <w:rFonts w:ascii="Calibri" w:hAnsi="Calibri" w:eastAsia="Calibri" w:cs="Calibri"/>
          <w:sz w:val="22"/>
        </w:rPr>
        <w:t xml:space="preserve">solidity-coverage </w:t>
      </w:r>
      <w:r>
        <w:rPr>
          <w:rFonts w:ascii="Consolas" w:hAnsi="Consolas" w:eastAsia="Consolas" w:cs="Consolas"/>
          <w:color w:val="1F4D78"/>
          <w:sz w:val="20"/>
        </w:rPr>
        <w:t>0.8.17</w:t>
      </w:r>
    </w:p>
    <w:p>
      <w:pPr>
        <w:pStyle w:val="ListBullet"/>
      </w:pPr>
      <w:r>
        <w:rPr>
          <w:rFonts w:ascii="Calibri" w:hAnsi="Calibri" w:eastAsia="Calibri" w:cs="Calibri"/>
          <w:sz w:val="22"/>
        </w:rPr>
        <w:t xml:space="preserve">Slither </w:t>
      </w:r>
      <w:r>
        <w:rPr>
          <w:rFonts w:ascii="Consolas" w:hAnsi="Consolas" w:eastAsia="Consolas" w:cs="Consolas"/>
          <w:color w:val="1F4D78"/>
          <w:sz w:val="20"/>
        </w:rPr>
        <w:t>0.11.5</w:t>
      </w:r>
    </w:p>
    <w:p>
      <w:pPr>
        <w:pStyle w:val="ListBullet"/>
      </w:pPr>
      <w:r>
        <w:rPr>
          <w:rFonts w:ascii="Calibri" w:hAnsi="Calibri" w:eastAsia="Calibri" w:cs="Calibri"/>
          <w:sz w:val="22"/>
        </w:rPr>
        <w:t xml:space="preserve">crytic-compile </w:t>
      </w:r>
      <w:r>
        <w:rPr>
          <w:rFonts w:ascii="Consolas" w:hAnsi="Consolas" w:eastAsia="Consolas" w:cs="Consolas"/>
          <w:color w:val="1F4D78"/>
          <w:sz w:val="20"/>
        </w:rPr>
        <w:t>0.3.11</w:t>
      </w:r>
    </w:p>
    <w:p>
      <w:r>
        <w:rPr>
          <w:rFonts w:ascii="Calibri" w:hAnsi="Calibri" w:eastAsia="Calibri" w:cs="Calibri"/>
          <w:sz w:val="22"/>
        </w:rPr>
        <w:t xml:space="preserve">Canonical artifact hashes and source/snapshot equality are recorded in </w:t>
      </w:r>
      <w:r>
        <w:rPr>
          <w:rFonts w:ascii="Consolas" w:hAnsi="Consolas" w:eastAsia="Consolas" w:cs="Consolas"/>
          <w:color w:val="1F4D78"/>
          <w:sz w:val="20"/>
        </w:rPr>
        <w:t>EVIDENCE_MANIFEST.md</w:t>
      </w:r>
      <w:r>
        <w:rPr>
          <w:rFonts w:ascii="Calibri" w:hAnsi="Calibri" w:eastAsia="Calibri" w:cs="Calibri"/>
          <w:sz w:val="22"/>
        </w:rPr>
        <w:t>.</w:t>
      </w:r>
    </w:p>
    <w:p>
      <w:pPr>
        <w:pStyle w:val="Heading1"/>
      </w:pPr>
      <w:r>
        <w:t>13. Remediation and retest strategy</w:t>
      </w:r>
    </w:p>
    <w:p>
      <w:pPr>
        <w:spacing w:after="160" w:line="280" w:lineRule="auto"/>
        <w:ind w:left="720" w:hanging="360"/>
      </w:pPr>
      <w:r>
        <w:rPr>
          <w:rFonts w:ascii="Calibri" w:hAnsi="Calibri" w:eastAsia="Calibri" w:cs="Calibri"/>
          <w:sz w:val="22"/>
        </w:rPr>
        <w:t xml:space="preserve">1. </w:t>
      </w:r>
      <w:r>
        <w:rPr>
          <w:rFonts w:ascii="Calibri" w:hAnsi="Calibri" w:eastAsia="Calibri" w:cs="Calibri"/>
          <w:sz w:val="22"/>
        </w:rPr>
        <w:t>Add purchase-time reserve collateral enforcement and three-asset underfunding tests.</w:t>
      </w:r>
    </w:p>
    <w:p>
      <w:pPr>
        <w:spacing w:after="160" w:line="280" w:lineRule="auto"/>
        <w:ind w:left="720" w:hanging="360"/>
      </w:pPr>
      <w:r>
        <w:rPr>
          <w:rFonts w:ascii="Calibri" w:hAnsi="Calibri" w:eastAsia="Calibri" w:cs="Calibri"/>
          <w:sz w:val="22"/>
        </w:rPr>
        <w:t xml:space="preserve">2. </w:t>
      </w:r>
      <w:r>
        <w:rPr>
          <w:rFonts w:ascii="Calibri" w:hAnsi="Calibri" w:eastAsia="Calibri" w:cs="Calibri"/>
          <w:sz w:val="22"/>
        </w:rPr>
        <w:t>Add oracle feed registry, per-feed heartbeat, bounds, deviation, stablecoin floor, and automatic pause tests.</w:t>
      </w:r>
    </w:p>
    <w:p>
      <w:pPr>
        <w:spacing w:after="160" w:line="280" w:lineRule="auto"/>
        <w:ind w:left="720" w:hanging="360"/>
      </w:pPr>
      <w:r>
        <w:rPr>
          <w:rFonts w:ascii="Calibri" w:hAnsi="Calibri" w:eastAsia="Calibri" w:cs="Calibri"/>
          <w:sz w:val="22"/>
        </w:rPr>
        <w:t xml:space="preserve">3. </w:t>
      </w:r>
      <w:r>
        <w:rPr>
          <w:rFonts w:ascii="Calibri" w:hAnsi="Calibri" w:eastAsia="Calibri" w:cs="Calibri"/>
          <w:sz w:val="22"/>
        </w:rPr>
        <w:t>Make manual review cumulative or reviewer-authorized and test splitting.</w:t>
      </w:r>
    </w:p>
    <w:p>
      <w:pPr>
        <w:spacing w:after="160" w:line="280" w:lineRule="auto"/>
        <w:ind w:left="720" w:hanging="360"/>
      </w:pPr>
      <w:r>
        <w:rPr>
          <w:rFonts w:ascii="Calibri" w:hAnsi="Calibri" w:eastAsia="Calibri" w:cs="Calibri"/>
          <w:sz w:val="22"/>
        </w:rPr>
        <w:t xml:space="preserve">4. </w:t>
      </w:r>
      <w:r>
        <w:rPr>
          <w:rFonts w:ascii="Calibri" w:hAnsi="Calibri" w:eastAsia="Calibri" w:cs="Calibri"/>
          <w:sz w:val="22"/>
        </w:rPr>
        <w:t>Replace or formally accept the UTC-bucket burst model.</w:t>
      </w:r>
    </w:p>
    <w:p>
      <w:pPr>
        <w:spacing w:after="160" w:line="280" w:lineRule="auto"/>
        <w:ind w:left="720" w:hanging="360"/>
      </w:pPr>
      <w:r>
        <w:rPr>
          <w:rFonts w:ascii="Calibri" w:hAnsi="Calibri" w:eastAsia="Calibri" w:cs="Calibri"/>
          <w:sz w:val="22"/>
        </w:rPr>
        <w:t xml:space="preserve">5. </w:t>
      </w:r>
      <w:r>
        <w:rPr>
          <w:rFonts w:ascii="Calibri" w:hAnsi="Calibri" w:eastAsia="Calibri" w:cs="Calibri"/>
          <w:sz w:val="22"/>
        </w:rPr>
        <w:t>Improve event evidence and decide asset-recovery behavior.</w:t>
      </w:r>
    </w:p>
    <w:p>
      <w:pPr>
        <w:spacing w:after="160" w:line="280" w:lineRule="auto"/>
        <w:ind w:left="720" w:hanging="360"/>
      </w:pPr>
      <w:r>
        <w:rPr>
          <w:rFonts w:ascii="Calibri" w:hAnsi="Calibri" w:eastAsia="Calibri" w:cs="Calibri"/>
          <w:sz w:val="22"/>
        </w:rPr>
        <w:t xml:space="preserve">6. </w:t>
      </w:r>
      <w:r>
        <w:rPr>
          <w:rFonts w:ascii="Calibri" w:hAnsi="Calibri" w:eastAsia="Calibri" w:cs="Calibri"/>
          <w:sz w:val="22"/>
        </w:rPr>
        <w:t>Deploy ownership behind a verified multisig/timelock role model.</w:t>
      </w:r>
    </w:p>
    <w:p>
      <w:pPr>
        <w:spacing w:after="160" w:line="280" w:lineRule="auto"/>
        <w:ind w:left="720" w:hanging="360"/>
      </w:pPr>
      <w:r>
        <w:rPr>
          <w:rFonts w:ascii="Calibri" w:hAnsi="Calibri" w:eastAsia="Calibri" w:cs="Calibri"/>
          <w:sz w:val="22"/>
        </w:rPr>
        <w:t xml:space="preserve">7. </w:t>
      </w:r>
      <w:r>
        <w:rPr>
          <w:rFonts w:ascii="Calibri" w:hAnsi="Calibri" w:eastAsia="Calibri" w:cs="Calibri"/>
          <w:sz w:val="22"/>
        </w:rPr>
        <w:t>Freeze final source bytes and rerun compilation, all tests, coverage, Slither, manual line review, and source hash comparison.</w:t>
      </w:r>
    </w:p>
    <w:p>
      <w:pPr>
        <w:spacing w:after="160" w:line="280" w:lineRule="auto"/>
        <w:ind w:left="720" w:hanging="360"/>
      </w:pPr>
      <w:r>
        <w:rPr>
          <w:rFonts w:ascii="Calibri" w:hAnsi="Calibri" w:eastAsia="Calibri" w:cs="Calibri"/>
          <w:sz w:val="22"/>
        </w:rPr>
        <w:t xml:space="preserve">8. </w:t>
      </w:r>
      <w:r>
        <w:rPr>
          <w:rFonts w:ascii="Calibri" w:hAnsi="Calibri" w:eastAsia="Calibri" w:cs="Calibri"/>
          <w:sz w:val="22"/>
        </w:rPr>
        <w:t>Verify deployed bytecode, constructor arguments, endpoint bindings, token/oracle addresses, roles, pause state, reserve funding, and minimal-wallet transaction receipts.</w:t>
      </w:r>
    </w:p>
    <w:p>
      <w:pPr>
        <w:pStyle w:val="Heading1"/>
      </w:pPr>
      <w:r>
        <w:t>14. Limitations</w:t>
      </w:r>
    </w:p>
    <w:p>
      <w:pPr>
        <w:pStyle w:val="ListBullet"/>
      </w:pPr>
      <w:r>
        <w:rPr>
          <w:rFonts w:ascii="Calibri" w:hAnsi="Calibri" w:eastAsia="Calibri" w:cs="Calibri"/>
          <w:sz w:val="22"/>
        </w:rPr>
        <w:t>This is a first-party assessment, not independent certification.</w:t>
      </w:r>
    </w:p>
    <w:p>
      <w:pPr>
        <w:pStyle w:val="ListBullet"/>
      </w:pPr>
      <w:r>
        <w:rPr>
          <w:rFonts w:ascii="Calibri" w:hAnsi="Calibri" w:eastAsia="Calibri" w:cs="Calibri"/>
          <w:sz w:val="22"/>
        </w:rPr>
        <w:t>Conclusions apply only to the ten listed source hashes.</w:t>
      </w:r>
    </w:p>
    <w:p>
      <w:pPr>
        <w:pStyle w:val="ListBullet"/>
      </w:pPr>
      <w:r>
        <w:rPr>
          <w:rFonts w:ascii="Calibri" w:hAnsi="Calibri" w:eastAsia="Calibri" w:cs="Calibri"/>
          <w:sz w:val="22"/>
        </w:rPr>
        <w:t>Deployment, bytecode equivalence, live roles, reserve funding, oracle addresses, monitoring, and transaction receipts were not supplied.</w:t>
      </w:r>
    </w:p>
    <w:p>
      <w:pPr>
        <w:pStyle w:val="ListBullet"/>
      </w:pPr>
      <w:r>
        <w:rPr>
          <w:rFonts w:ascii="Calibri" w:hAnsi="Calibri" w:eastAsia="Calibri" w:cs="Calibri"/>
          <w:sz w:val="22"/>
        </w:rPr>
        <w:t>No stateful fuzzing, invariant engine, symbolic execution, formal proof, economic simulation, or operational key-compromise exercise was completed.</w:t>
      </w:r>
    </w:p>
    <w:p>
      <w:pPr>
        <w:pStyle w:val="ListBullet"/>
      </w:pPr>
      <w:r>
        <w:rPr>
          <w:rFonts w:ascii="Calibri" w:hAnsi="Calibri" w:eastAsia="Calibri" w:cs="Calibri"/>
          <w:sz w:val="22"/>
        </w:rPr>
        <w:t>External token and oracle contracts were assumed to conform to their interfaces.</w:t>
      </w:r>
    </w:p>
    <w:p>
      <w:pPr>
        <w:pStyle w:val="ListBullet"/>
      </w:pPr>
      <w:r>
        <w:rPr>
          <w:rFonts w:ascii="Calibri" w:hAnsi="Calibri" w:eastAsia="Calibri" w:cs="Calibri"/>
          <w:sz w:val="22"/>
        </w:rPr>
        <w:t>Static-analysis results are heuristic and require manual interpretation.</w:t>
      </w:r>
    </w:p>
    <w:p>
      <w:pPr>
        <w:pStyle w:val="ListBullet"/>
      </w:pPr>
      <w:r>
        <w:rPr>
          <w:rFonts w:ascii="Calibri" w:hAnsi="Calibri" w:eastAsia="Calibri" w:cs="Calibri"/>
          <w:sz w:val="22"/>
        </w:rPr>
        <w:t>Coverage does not prove correctness and leaves material branch/path gaps.</w:t>
      </w:r>
    </w:p>
    <w:p>
      <w:pPr>
        <w:pStyle w:val="Heading1"/>
      </w:pPr>
      <w:r>
        <w:t>15. Conclusion</w:t>
      </w:r>
    </w:p>
    <w:p>
      <w:r>
        <w:rPr>
          <w:rFonts w:ascii="Calibri" w:hAnsi="Calibri" w:eastAsia="Calibri" w:cs="Calibri"/>
          <w:sz w:val="22"/>
        </w:rPr>
        <w:t>The reviewed source contains meaningful controls against stale configuration, direct replay, reentrancy, double refunds, double claims, liability-violating withdrawals, and unsafe token accounting. The open Medium findings leave material gaps in reserve assurance, oracle integrity, and manual-review enforcement.</w:t>
      </w:r>
    </w:p>
    <w:p>
      <w:r>
        <w:rPr>
          <w:rFonts w:ascii="Calibri" w:hAnsi="Calibri" w:eastAsia="Calibri" w:cs="Calibri"/>
          <w:b/>
          <w:sz w:val="22"/>
        </w:rPr>
        <w:t>Final disposition: remediation required before mainnet.</w:t>
      </w:r>
    </w:p>
    <w:sectPr w:rsidR="00FC693F" w:rsidRPr="0006063C" w:rsidSect="00034616">
      <w:headerReference w:type="first" r:id="rId9"/>
      <w:headerReference w:type="default" r:id="rId10"/>
      <w:footerReference w:type="first" r:id="rId11"/>
      <w:footerReference w:type="default" r:id="rId12"/>
      <w:pgSz w:w="12240" w:h="15840"/>
      <w:pgMar w:top="1123" w:right="1440" w:bottom="1037" w:left="1440"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s="Calibri"/>
        <w:color w:val="5C6773"/>
        <w:sz w:val="16"/>
      </w:rPr>
      <w:t xml:space="preserve">AEGENT Security Review Team  •  2026-07-29  •  Page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s="Calibri"/>
        <w:color w:val="5C6773"/>
        <w:sz w:val="16"/>
      </w:rPr>
      <w:t xml:space="preserve">AEGENT Security Review Team  •  2026-07-29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cs="Calibri"/>
        <w:b/>
        <w:color w:val="5C6773"/>
        <w:sz w:val="17"/>
      </w:rPr>
      <w:t>AEGENT SECURITY  •  PUBLIC TECHNICAL ASSESSMENT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Calibri" w:cs="Calibri"/>
        <w:b/>
        <w:color w:val="1F4D78"/>
        <w:sz w:val="17"/>
      </w:rPr>
      <w:t>AEGENT SECURITY</w:t>
    </w:r>
    <w:r>
      <w:rPr>
        <w:rFonts w:ascii="Calibri" w:hAnsi="Calibri" w:eastAsia="Calibri" w:cs="Calibri"/>
        <w:color w:val="5C6773"/>
        <w:sz w:val="17"/>
      </w:rPr>
      <w:t xml:space="preserve">    AEGENT V2 Smart-Contract Threat Model and 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github.com/yxmail888-boop/aegent-security-reports/blob/main/source-snapshot/contracts/AegentRedemptionV2.sol#L190-L227" TargetMode="External"/><Relationship Id="rId15" Type="http://schemas.openxmlformats.org/officeDocument/2006/relationships/hyperlink" Target="https://github.com/yxmail888-boop/aegent-security-reports/blob/main/source-snapshot/contracts/AegentRedemptionV2.sol#L694-L731" TargetMode="External"/><Relationship Id="rId16" Type="http://schemas.openxmlformats.org/officeDocument/2006/relationships/hyperlink" Target="https://github.com/yxmail888-boop/aegent-security-reports/blob/main/test-snapshot/AegentRedemptionV2.test.cjs#L454-L494" TargetMode="External"/><Relationship Id="rId17" Type="http://schemas.openxmlformats.org/officeDocument/2006/relationships/hyperlink" Target="https://github.com/yxmail888-boop/aegent-security-reports/blob/main/source-snapshot/contracts/AegentMarketRegistry.sol#L186-L227" TargetMode="External"/><Relationship Id="rId18" Type="http://schemas.openxmlformats.org/officeDocument/2006/relationships/hyperlink" Target="https://github.com/yxmail888-boop/aegent-security-reports/blob/main/source-snapshot/contracts/AegentSwapV2.sol#L249-L289" TargetMode="External"/><Relationship Id="rId19" Type="http://schemas.openxmlformats.org/officeDocument/2006/relationships/hyperlink" Target="https://github.com/yxmail888-boop/aegent-security-reports/blob/main/source-snapshot/contracts/AegentSwapV2.sol#L358-L380" TargetMode="External"/><Relationship Id="rId20" Type="http://schemas.openxmlformats.org/officeDocument/2006/relationships/hyperlink" Target="https://github.com/yxmail888-boop/aegent-security-reports/blob/main/source-snapshot/contracts/AegentRedemptionV2.sol#L522-L553" TargetMode="External"/><Relationship Id="rId21" Type="http://schemas.openxmlformats.org/officeDocument/2006/relationships/hyperlink" Target="https://github.com/yxmail888-boop/aegent-security-reports/blob/main/source-snapshot/contracts/AegentSaleProceedsVault.sol#L69-L100" TargetMode="External"/><Relationship Id="rId22" Type="http://schemas.openxmlformats.org/officeDocument/2006/relationships/hyperlink" Target="https://github.com/yxmail888-boop/aegent-security-reports/blob/main/test-snapshot/AegentRedemptionV2.test.cjs#L240-L274" TargetMode="External"/><Relationship Id="rId23" Type="http://schemas.openxmlformats.org/officeDocument/2006/relationships/hyperlink" Target="https://github.com/yxmail888-boop/aegent-security-reports/blob/main/test-snapshot/AegentV2Integration.test.cjs#L98-L107" TargetMode="External"/><Relationship Id="rId24" Type="http://schemas.openxmlformats.org/officeDocument/2006/relationships/hyperlink" Target="https://github.com/yxmail888-boop/aegent-security-reports/blob/main/source-snapshot/contracts/AegentSwapV2.sol#L165-L167" TargetMode="External"/><Relationship Id="rId25" Type="http://schemas.openxmlformats.org/officeDocument/2006/relationships/hyperlink" Target="https://github.com/yxmail888-boop/aegent-security-reports/blob/main/source-snapshot/contracts/AegentSwapV2.sol#L552-L618" TargetMode="External"/><Relationship Id="rId26" Type="http://schemas.openxmlformats.org/officeDocument/2006/relationships/hyperlink" Target="https://github.com/yxmail888-boop/aegent-security-reports/blob/main/test-snapshot/AegentSwapV2.test.cjs#L424-L468" TargetMode="External"/><Relationship Id="rId27" Type="http://schemas.openxmlformats.org/officeDocument/2006/relationships/hyperlink" Target="https://github.com/yxmail888-boop/aegent-security-reports/blob/main/source-snapshot/contracts/AegentRedemptionV2.sol#L713-L731" TargetMode="External"/><Relationship Id="rId28" Type="http://schemas.openxmlformats.org/officeDocument/2006/relationships/hyperlink" Target="https://github.com/yxmail888-boop/aegent-security-reports/blob/main/source-snapshot/contracts/AegentMarketRegistry.sol#L96-L162" TargetMode="External"/><Relationship Id="rId29" Type="http://schemas.openxmlformats.org/officeDocument/2006/relationships/hyperlink" Target="https://github.com/yxmail888-boop/aegent-security-reports/blob/main/source-snapshot/contracts/AegentSwapV2.sol#L339-L355" TargetMode="External"/><Relationship Id="rId30" Type="http://schemas.openxmlformats.org/officeDocument/2006/relationships/hyperlink" Target="https://github.com/yxmail888-boop/aegent-security-reports/blob/main/source-snapshot/contracts/AegentRedemptionV2.sol#L426-L516" TargetMode="External"/><Relationship Id="rId31" Type="http://schemas.openxmlformats.org/officeDocument/2006/relationships/hyperlink" Target="https://github.com/yxmail888-boop/aegent-security-reports/blob/main/source-snapshot/contracts/AegentSaleProceedsVault.sol#L30-L93" TargetMode="External"/><Relationship Id="rId32" Type="http://schemas.openxmlformats.org/officeDocument/2006/relationships/hyperlink" Target="https://github.com/yxmail888-boop/aegent-security-reports/blob/main/source-snapshot/contracts/AegentSwapV2.sol#L671-L672" TargetMode="External"/><Relationship Id="rId33" Type="http://schemas.openxmlformats.org/officeDocument/2006/relationships/hyperlink" Target="https://github.com/yxmail888-boop/aegent-security-reports/blob/main/source-snapshot/contracts/AegentRedemptionV2.sol#L895-L897" TargetMode="External"/><Relationship Id="rId34" Type="http://schemas.openxmlformats.org/officeDocument/2006/relationships/hyperlink" Target="https://github.com/yxmail888-boop/aegent-security-reports/blob/main/source-snapshot/contracts/AegentSwapV2.sol#L81-L90" TargetMode="External"/><Relationship Id="rId35" Type="http://schemas.openxmlformats.org/officeDocument/2006/relationships/hyperlink" Target="https://github.com/yxmail888-boop/aegent-security-reports/blob/main/source-snapshot/contracts/AegentRedemptionV2.sol#L122-L1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AEGENT V2 Smart-Contract Threat Model and Security Assessment</dc:title>
  <dc:subject>Threat Model / Adversary-Oriented Profile</dc:subject>
  <dc:creator>AEGENT Security Review Team</dc:creator>
  <cp:keywords>AEGENT, smart contract, security assessment, BNB Chain</cp:keywords>
  <dc:description>Public point-in-time technical assessment</dc:description>
  <cp:lastModifiedBy>AEGENT Security Review Team</cp:lastModifiedBy>
  <cp:revision>1</cp:revision>
  <dcterms:created xsi:type="dcterms:W3CDTF">2026-07-29T17:09:42Z</dcterms:created>
  <dcterms:modified xsi:type="dcterms:W3CDTF">2026-07-29T17:09:42Z</dcterms:modified>
  <cp:category>Security Assessment</cp:category>
</cp:coreProperties>
</file>